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8932F1" w:rsidRDefault="008932F1">
      <w:pPr>
        <w:rPr>
          <w:rStyle w:val="ofieldchar"/>
          <w:rFonts w:asciiTheme="majorHAnsi" w:hAnsiTheme="majorHAnsi" w:cstheme="majorHAnsi"/>
          <w:color w:val="0070C0"/>
          <w:sz w:val="40"/>
          <w:szCs w:val="40"/>
        </w:rPr>
      </w:pPr>
      <w:r w:rsidRPr="008932F1">
        <w:rPr>
          <w:rFonts w:asciiTheme="majorHAnsi" w:hAnsiTheme="majorHAnsi" w:cstheme="majorHAnsi"/>
          <w:color w:val="000000"/>
          <w:sz w:val="40"/>
          <w:szCs w:val="40"/>
        </w:rPr>
        <w:t>A New Insight on Tourism-Entrepreneurship Nexus: The Role of Tourism Market Diversification</w:t>
      </w:r>
      <w:r w:rsidR="008F7BAB" w:rsidRPr="008932F1">
        <w:rPr>
          <w:rFonts w:asciiTheme="majorHAnsi" w:hAnsiTheme="majorHAnsi" w:cstheme="majorHAnsi"/>
          <w:color w:val="000000"/>
          <w:sz w:val="40"/>
          <w:szCs w:val="40"/>
        </w:rPr>
        <w:t xml:space="preserve"> </w:t>
      </w:r>
    </w:p>
    <w:p w:rsidR="008932F1" w:rsidRDefault="008932F1">
      <w:pPr>
        <w:rPr>
          <w:rStyle w:val="ofieldchar"/>
          <w:color w:val="0070C0"/>
        </w:rPr>
      </w:pPr>
    </w:p>
    <w:p w:rsidR="00286666" w:rsidRPr="008932F1" w:rsidRDefault="008932F1">
      <w:pPr>
        <w:rPr>
          <w:rStyle w:val="blue-tooltip"/>
          <w:rFonts w:asciiTheme="majorHAnsi" w:hAnsiTheme="majorHAnsi" w:cstheme="majorHAnsi"/>
          <w:color w:val="0070C0"/>
          <w:sz w:val="24"/>
          <w:szCs w:val="24"/>
        </w:rPr>
      </w:pPr>
      <w:r w:rsidRPr="008932F1">
        <w:rPr>
          <w:rStyle w:val="ofieldchar"/>
          <w:rFonts w:asciiTheme="majorHAnsi" w:hAnsiTheme="majorHAnsi" w:cstheme="majorHAnsi"/>
          <w:color w:val="0070C0"/>
          <w:sz w:val="24"/>
          <w:szCs w:val="24"/>
        </w:rPr>
        <w:t xml:space="preserve">Syed </w:t>
      </w:r>
      <w:proofErr w:type="spellStart"/>
      <w:r w:rsidRPr="008932F1">
        <w:rPr>
          <w:rStyle w:val="ofieldchar"/>
          <w:rFonts w:asciiTheme="majorHAnsi" w:hAnsiTheme="majorHAnsi" w:cstheme="majorHAnsi"/>
          <w:color w:val="0070C0"/>
          <w:sz w:val="24"/>
          <w:szCs w:val="24"/>
        </w:rPr>
        <w:t>Abidur</w:t>
      </w:r>
      <w:proofErr w:type="spellEnd"/>
      <w:r w:rsidRPr="008932F1">
        <w:rPr>
          <w:rStyle w:val="ofieldchar"/>
          <w:rFonts w:asciiTheme="majorHAnsi" w:hAnsiTheme="majorHAnsi" w:cstheme="majorHAnsi"/>
          <w:color w:val="0070C0"/>
          <w:sz w:val="24"/>
          <w:szCs w:val="24"/>
        </w:rPr>
        <w:t xml:space="preserve"> Rahman</w:t>
      </w:r>
      <w:r w:rsidRPr="008932F1">
        <w:rPr>
          <w:rStyle w:val="ofieldchar"/>
          <w:rFonts w:asciiTheme="majorHAnsi" w:hAnsiTheme="majorHAnsi" w:cstheme="majorHAnsi"/>
          <w:color w:val="0070C0"/>
          <w:sz w:val="24"/>
          <w:szCs w:val="24"/>
        </w:rPr>
        <w:t xml:space="preserve">, </w:t>
      </w:r>
      <w:hyperlink r:id="rId4" w:history="1">
        <w:proofErr w:type="spellStart"/>
        <w:r w:rsidRPr="008932F1">
          <w:rPr>
            <w:rStyle w:val="Hyperlink"/>
            <w:rFonts w:asciiTheme="majorHAnsi" w:hAnsiTheme="majorHAnsi" w:cstheme="majorHAnsi"/>
            <w:color w:val="0070C0"/>
            <w:sz w:val="24"/>
            <w:szCs w:val="24"/>
            <w:u w:val="none"/>
          </w:rPr>
          <w:t>Behnaz</w:t>
        </w:r>
        <w:proofErr w:type="spellEnd"/>
        <w:r w:rsidRPr="008932F1">
          <w:rPr>
            <w:rStyle w:val="Hyperlink"/>
            <w:rFonts w:asciiTheme="majorHAnsi" w:hAnsiTheme="majorHAnsi" w:cstheme="majorHAnsi"/>
            <w:color w:val="0070C0"/>
            <w:sz w:val="24"/>
            <w:szCs w:val="24"/>
            <w:u w:val="none"/>
          </w:rPr>
          <w:t xml:space="preserve"> </w:t>
        </w:r>
        <w:proofErr w:type="spellStart"/>
        <w:r w:rsidRPr="008932F1">
          <w:rPr>
            <w:rStyle w:val="Hyperlink"/>
            <w:rFonts w:asciiTheme="majorHAnsi" w:hAnsiTheme="majorHAnsi" w:cstheme="majorHAnsi"/>
            <w:color w:val="0070C0"/>
            <w:sz w:val="24"/>
            <w:szCs w:val="24"/>
            <w:u w:val="none"/>
          </w:rPr>
          <w:t>Saboori</w:t>
        </w:r>
        <w:proofErr w:type="spellEnd"/>
      </w:hyperlink>
      <w:r w:rsidRPr="008932F1">
        <w:rPr>
          <w:rStyle w:val="contribdegrees"/>
          <w:rFonts w:asciiTheme="majorHAnsi" w:hAnsiTheme="majorHAnsi" w:cstheme="majorHAnsi"/>
          <w:color w:val="0070C0"/>
          <w:sz w:val="24"/>
          <w:szCs w:val="24"/>
        </w:rPr>
        <w:t xml:space="preserve">, </w:t>
      </w:r>
      <w:hyperlink r:id="rId5" w:history="1">
        <w:proofErr w:type="spellStart"/>
        <w:r w:rsidRPr="008932F1">
          <w:rPr>
            <w:rStyle w:val="Hyperlink"/>
            <w:rFonts w:asciiTheme="majorHAnsi" w:hAnsiTheme="majorHAnsi" w:cstheme="majorHAnsi"/>
            <w:color w:val="0070C0"/>
            <w:sz w:val="24"/>
            <w:szCs w:val="24"/>
            <w:u w:val="none"/>
          </w:rPr>
          <w:t>Seyedeh</w:t>
        </w:r>
        <w:proofErr w:type="spellEnd"/>
        <w:r w:rsidRPr="008932F1">
          <w:rPr>
            <w:rStyle w:val="Hyperlink"/>
            <w:rFonts w:asciiTheme="majorHAnsi" w:hAnsiTheme="majorHAnsi" w:cstheme="majorHAnsi"/>
            <w:color w:val="0070C0"/>
            <w:sz w:val="24"/>
            <w:szCs w:val="24"/>
            <w:u w:val="none"/>
          </w:rPr>
          <w:t xml:space="preserve"> </w:t>
        </w:r>
        <w:proofErr w:type="spellStart"/>
        <w:r w:rsidRPr="008932F1">
          <w:rPr>
            <w:rStyle w:val="Hyperlink"/>
            <w:rFonts w:asciiTheme="majorHAnsi" w:hAnsiTheme="majorHAnsi" w:cstheme="majorHAnsi"/>
            <w:color w:val="0070C0"/>
            <w:sz w:val="24"/>
            <w:szCs w:val="24"/>
            <w:u w:val="none"/>
          </w:rPr>
          <w:t>Khadijeh</w:t>
        </w:r>
        <w:proofErr w:type="spellEnd"/>
        <w:r w:rsidRPr="008932F1">
          <w:rPr>
            <w:rStyle w:val="Hyperlink"/>
            <w:rFonts w:asciiTheme="majorHAnsi" w:hAnsiTheme="majorHAnsi" w:cstheme="majorHAnsi"/>
            <w:color w:val="0070C0"/>
            <w:sz w:val="24"/>
            <w:szCs w:val="24"/>
            <w:u w:val="none"/>
          </w:rPr>
          <w:t xml:space="preserve"> </w:t>
        </w:r>
        <w:proofErr w:type="spellStart"/>
        <w:r w:rsidRPr="008932F1">
          <w:rPr>
            <w:rStyle w:val="Hyperlink"/>
            <w:rFonts w:asciiTheme="majorHAnsi" w:hAnsiTheme="majorHAnsi" w:cstheme="majorHAnsi"/>
            <w:color w:val="0070C0"/>
            <w:sz w:val="24"/>
            <w:szCs w:val="24"/>
            <w:u w:val="none"/>
          </w:rPr>
          <w:t>Taghizadeh</w:t>
        </w:r>
        <w:proofErr w:type="spellEnd"/>
      </w:hyperlink>
    </w:p>
    <w:p w:rsidR="008932F1" w:rsidRPr="008932F1" w:rsidRDefault="008932F1" w:rsidP="00F63824">
      <w:pPr>
        <w:jc w:val="both"/>
        <w:rPr>
          <w:rStyle w:val="blue-tooltip"/>
          <w:rFonts w:asciiTheme="majorHAnsi" w:hAnsiTheme="majorHAnsi" w:cstheme="majorHAnsi"/>
          <w:b/>
          <w:sz w:val="24"/>
          <w:szCs w:val="24"/>
        </w:rPr>
      </w:pPr>
    </w:p>
    <w:p w:rsidR="00286666" w:rsidRPr="008932F1" w:rsidRDefault="00286666" w:rsidP="00F63824">
      <w:pPr>
        <w:jc w:val="both"/>
        <w:rPr>
          <w:rStyle w:val="blue-tooltip"/>
          <w:rFonts w:asciiTheme="majorHAnsi" w:hAnsiTheme="majorHAnsi" w:cstheme="majorHAnsi"/>
          <w:b/>
          <w:sz w:val="24"/>
          <w:szCs w:val="24"/>
        </w:rPr>
      </w:pPr>
      <w:r w:rsidRPr="008932F1">
        <w:rPr>
          <w:rStyle w:val="blue-tooltip"/>
          <w:rFonts w:asciiTheme="majorHAnsi" w:hAnsiTheme="majorHAnsi" w:cstheme="majorHAnsi"/>
          <w:b/>
          <w:sz w:val="24"/>
          <w:szCs w:val="24"/>
        </w:rPr>
        <w:t xml:space="preserve">Abstract: </w:t>
      </w:r>
      <w:bookmarkStart w:id="0" w:name="_GoBack"/>
      <w:bookmarkEnd w:id="0"/>
    </w:p>
    <w:p w:rsidR="000816E0" w:rsidRPr="008932F1" w:rsidRDefault="008932F1" w:rsidP="00F63824">
      <w:pPr>
        <w:jc w:val="both"/>
        <w:rPr>
          <w:rFonts w:asciiTheme="majorHAnsi" w:hAnsiTheme="majorHAnsi" w:cstheme="majorHAnsi"/>
          <w:sz w:val="24"/>
          <w:szCs w:val="24"/>
        </w:rPr>
      </w:pPr>
      <w:r w:rsidRPr="008932F1">
        <w:rPr>
          <w:rFonts w:asciiTheme="majorHAnsi" w:hAnsiTheme="majorHAnsi" w:cstheme="majorHAnsi"/>
          <w:sz w:val="24"/>
          <w:szCs w:val="24"/>
        </w:rPr>
        <w:t>This study investigates the causality from Tourism Market Diversification (TMD) to entrepreneurial ecosystem and its sub-indexes (attitudes, abilities, and aspirations), across four sub-groups including high-rank, upper-middle-rank, middle-rank, and low-rank countries over the period 2006–2018. Employing the system-Generalized Method of Moments (sys-GMM) estimator of panel data, the result shows that TMD has a positive causal effect on entrepreneurship and its three sub-indexes at the global level. Using lagged values of TMD for up to three years, we found that TMD consistently has contributed the entrepreneurial activity in all countries. This finding suggests the accumulation of TMD in the past few years has a causality effect on the entrepreneurial ecosystem in the future. Tourists who are coming from diversified destinations would enhance the entrepreneurial ecosystem in the destination countries. This is a seminal study that empirically links and validates tourism market diversification with the entrepreneurial ecosystem.</w:t>
      </w:r>
    </w:p>
    <w:p w:rsidR="008932F1" w:rsidRPr="008932F1" w:rsidRDefault="008932F1"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8932F1"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8932F1">
        <w:rPr>
          <w:rFonts w:asciiTheme="majorHAnsi" w:hAnsiTheme="majorHAnsi" w:cstheme="majorHAnsi"/>
          <w:b/>
          <w:bCs/>
          <w:color w:val="4C4C4C"/>
          <w:sz w:val="24"/>
          <w:szCs w:val="24"/>
          <w:shd w:val="clear" w:color="auto" w:fill="FFFFFF"/>
        </w:rPr>
        <w:t>Conference / Journal Link:</w:t>
      </w:r>
    </w:p>
    <w:bookmarkStart w:id="1" w:name="cj_link"/>
    <w:p w:rsidR="00F63824" w:rsidRPr="008932F1" w:rsidRDefault="008932F1" w:rsidP="00F63824">
      <w:pPr>
        <w:spacing w:before="150"/>
        <w:jc w:val="both"/>
        <w:rPr>
          <w:rFonts w:asciiTheme="majorHAnsi" w:hAnsiTheme="majorHAnsi" w:cstheme="majorHAnsi"/>
          <w:b/>
          <w:color w:val="0070C0"/>
          <w:sz w:val="24"/>
          <w:szCs w:val="24"/>
        </w:rPr>
      </w:pPr>
      <w:r w:rsidRPr="008932F1">
        <w:rPr>
          <w:rFonts w:asciiTheme="majorHAnsi" w:hAnsiTheme="majorHAnsi" w:cstheme="majorHAnsi"/>
          <w:color w:val="0070C0"/>
          <w:sz w:val="24"/>
          <w:szCs w:val="24"/>
        </w:rPr>
        <w:fldChar w:fldCharType="begin"/>
      </w:r>
      <w:r w:rsidRPr="008932F1">
        <w:rPr>
          <w:rFonts w:asciiTheme="majorHAnsi" w:hAnsiTheme="majorHAnsi" w:cstheme="majorHAnsi"/>
          <w:color w:val="0070C0"/>
          <w:sz w:val="24"/>
          <w:szCs w:val="24"/>
        </w:rPr>
        <w:instrText xml:space="preserve"> HYPERLINK "https://www.tandfonline.com/doi/abs/10.1080/21568316.2023.2252413" \t "_blank" </w:instrText>
      </w:r>
      <w:r w:rsidRPr="008932F1">
        <w:rPr>
          <w:rFonts w:asciiTheme="majorHAnsi" w:hAnsiTheme="majorHAnsi" w:cstheme="majorHAnsi"/>
          <w:color w:val="0070C0"/>
          <w:sz w:val="24"/>
          <w:szCs w:val="24"/>
        </w:rPr>
        <w:fldChar w:fldCharType="separate"/>
      </w:r>
      <w:r w:rsidRPr="008932F1">
        <w:rPr>
          <w:rStyle w:val="Hyperlink"/>
          <w:rFonts w:asciiTheme="majorHAnsi" w:hAnsiTheme="majorHAnsi" w:cstheme="majorHAnsi"/>
          <w:color w:val="0070C0"/>
          <w:sz w:val="24"/>
          <w:szCs w:val="24"/>
          <w:u w:val="none"/>
        </w:rPr>
        <w:t>https://www.tandfonline.com/doi/abs/10.1080/21568316.2023.2252413</w:t>
      </w:r>
      <w:r w:rsidRPr="008932F1">
        <w:rPr>
          <w:rFonts w:asciiTheme="majorHAnsi" w:hAnsiTheme="majorHAnsi" w:cstheme="majorHAnsi"/>
          <w:color w:val="0070C0"/>
          <w:sz w:val="24"/>
          <w:szCs w:val="24"/>
        </w:rPr>
        <w:fldChar w:fldCharType="end"/>
      </w:r>
      <w:bookmarkEnd w:id="1"/>
    </w:p>
    <w:p w:rsidR="000816E0" w:rsidRPr="008932F1" w:rsidRDefault="000816E0" w:rsidP="00F63824">
      <w:pPr>
        <w:spacing w:before="150"/>
        <w:jc w:val="both"/>
        <w:rPr>
          <w:rFonts w:asciiTheme="majorHAnsi" w:hAnsiTheme="majorHAnsi" w:cstheme="majorHAnsi"/>
          <w:b/>
          <w:color w:val="4C4C4C"/>
          <w:sz w:val="24"/>
          <w:szCs w:val="24"/>
        </w:rPr>
      </w:pPr>
      <w:r w:rsidRPr="008932F1">
        <w:rPr>
          <w:rFonts w:asciiTheme="majorHAnsi" w:hAnsiTheme="majorHAnsi" w:cstheme="majorHAnsi"/>
          <w:b/>
          <w:color w:val="4C4C4C"/>
          <w:sz w:val="24"/>
          <w:szCs w:val="24"/>
        </w:rPr>
        <w:t>DOI:</w:t>
      </w:r>
    </w:p>
    <w:p w:rsidR="008932F1" w:rsidRPr="008932F1" w:rsidRDefault="008932F1" w:rsidP="00F63824">
      <w:pPr>
        <w:spacing w:before="150"/>
        <w:jc w:val="both"/>
        <w:rPr>
          <w:rFonts w:asciiTheme="majorHAnsi" w:hAnsiTheme="majorHAnsi" w:cstheme="majorHAnsi"/>
          <w:b/>
          <w:color w:val="0070C0"/>
          <w:sz w:val="24"/>
          <w:szCs w:val="24"/>
        </w:rPr>
      </w:pPr>
      <w:hyperlink r:id="rId6" w:history="1">
        <w:r w:rsidRPr="008932F1">
          <w:rPr>
            <w:rStyle w:val="Hyperlink"/>
            <w:rFonts w:asciiTheme="majorHAnsi" w:hAnsiTheme="majorHAnsi" w:cstheme="majorHAnsi"/>
            <w:color w:val="0070C0"/>
            <w:sz w:val="24"/>
            <w:szCs w:val="24"/>
            <w:u w:val="none"/>
          </w:rPr>
          <w:t>https://doi.org/10.1080/21568316.2023.2252413</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7A2B06"/>
    <w:rsid w:val="008932F1"/>
    <w:rsid w:val="008F7BAB"/>
    <w:rsid w:val="0090116F"/>
    <w:rsid w:val="00AC4B91"/>
    <w:rsid w:val="00BB2349"/>
    <w:rsid w:val="00C916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ontribdegrees">
    <w:name w:val="contribdegrees"/>
    <w:basedOn w:val="DefaultParagraphFont"/>
    <w:rsid w:val="00893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21568316.2023.2252413" TargetMode="External"/><Relationship Id="rId5" Type="http://schemas.openxmlformats.org/officeDocument/2006/relationships/hyperlink" Target="https://www.tandfonline.com/author/Taghizadeh%2C+Seyedeh+Khadijeh" TargetMode="External"/><Relationship Id="rId4" Type="http://schemas.openxmlformats.org/officeDocument/2006/relationships/hyperlink" Target="https://www.tandfonline.com/author/Saboori%2C+Behn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2024-04-06T05:23:00Z</dcterms:created>
  <dcterms:modified xsi:type="dcterms:W3CDTF">2024-04-06T06:37:00Z</dcterms:modified>
</cp:coreProperties>
</file>