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B070C1" w:rsidRDefault="00B070C1">
      <w:pPr>
        <w:rPr>
          <w:rStyle w:val="blue-tooltip"/>
          <w:rFonts w:asciiTheme="majorHAnsi" w:hAnsiTheme="majorHAnsi" w:cstheme="majorHAnsi"/>
          <w:bCs/>
          <w:sz w:val="40"/>
          <w:szCs w:val="40"/>
        </w:rPr>
      </w:pPr>
      <w:r w:rsidRPr="00B070C1">
        <w:rPr>
          <w:rStyle w:val="blue-tooltip"/>
          <w:rFonts w:asciiTheme="majorHAnsi" w:hAnsiTheme="majorHAnsi" w:cstheme="majorHAnsi"/>
          <w:bCs/>
          <w:sz w:val="40"/>
          <w:szCs w:val="40"/>
        </w:rPr>
        <w:t xml:space="preserve">A Bendable Wide Oblique Incident Angle Stable Polarization Insensitive </w:t>
      </w:r>
      <w:proofErr w:type="spellStart"/>
      <w:r w:rsidRPr="00B070C1">
        <w:rPr>
          <w:rStyle w:val="blue-tooltip"/>
          <w:rFonts w:asciiTheme="majorHAnsi" w:hAnsiTheme="majorHAnsi" w:cstheme="majorHAnsi"/>
          <w:bCs/>
          <w:sz w:val="40"/>
          <w:szCs w:val="40"/>
        </w:rPr>
        <w:t>Metamaterials</w:t>
      </w:r>
      <w:proofErr w:type="spellEnd"/>
      <w:r w:rsidRPr="00B070C1">
        <w:rPr>
          <w:rStyle w:val="blue-tooltip"/>
          <w:rFonts w:asciiTheme="majorHAnsi" w:hAnsiTheme="majorHAnsi" w:cstheme="majorHAnsi"/>
          <w:bCs/>
          <w:sz w:val="40"/>
          <w:szCs w:val="40"/>
        </w:rPr>
        <w:t xml:space="preserve"> Absorber for Visible Optical Wavelength Applications</w:t>
      </w:r>
    </w:p>
    <w:p w:rsidR="00B070C1" w:rsidRDefault="00B070C1">
      <w:pPr>
        <w:rPr>
          <w:rStyle w:val="blue-tooltip"/>
          <w:rFonts w:asciiTheme="majorHAnsi" w:hAnsiTheme="majorHAnsi" w:cstheme="majorHAnsi"/>
          <w:b/>
          <w:bCs/>
          <w:sz w:val="24"/>
          <w:szCs w:val="24"/>
        </w:rPr>
      </w:pPr>
    </w:p>
    <w:p w:rsidR="00111ACD" w:rsidRPr="00111ACD" w:rsidRDefault="00056A8C" w:rsidP="00111ACD">
      <w:pPr>
        <w:rPr>
          <w:rFonts w:ascii="Times New Roman" w:eastAsia="Times New Roman" w:hAnsi="Times New Roman" w:cs="Times New Roman"/>
          <w:sz w:val="24"/>
          <w:szCs w:val="24"/>
        </w:rPr>
      </w:pPr>
      <w:r w:rsidRPr="00A94B34">
        <w:rPr>
          <w:rStyle w:val="blue-tooltip"/>
          <w:rFonts w:asciiTheme="majorHAnsi" w:hAnsiTheme="majorHAnsi" w:cstheme="majorHAnsi"/>
          <w:b/>
          <w:bCs/>
          <w:sz w:val="24"/>
          <w:szCs w:val="24"/>
        </w:rPr>
        <w:t xml:space="preserve">Author: </w:t>
      </w:r>
      <w:r w:rsidR="009437E0">
        <w:rPr>
          <w:rStyle w:val="blue-tooltip"/>
          <w:rFonts w:asciiTheme="majorHAnsi" w:hAnsiTheme="majorHAnsi" w:cstheme="majorHAnsi"/>
          <w:color w:val="0070C0"/>
          <w:sz w:val="24"/>
          <w:szCs w:val="24"/>
        </w:rPr>
        <w:t xml:space="preserve"> </w:t>
      </w:r>
      <w:r w:rsidR="00111ACD" w:rsidRPr="00111ACD">
        <w:rPr>
          <w:rFonts w:ascii="Times New Roman" w:eastAsia="Times New Roman" w:hAnsi="Times New Roman" w:cs="Times New Roman"/>
          <w:color w:val="0070C0"/>
          <w:sz w:val="24"/>
          <w:szCs w:val="24"/>
        </w:rPr>
        <w:t xml:space="preserve">Md. </w:t>
      </w:r>
      <w:proofErr w:type="spellStart"/>
      <w:r w:rsidR="00111ACD" w:rsidRPr="00111ACD">
        <w:rPr>
          <w:rFonts w:ascii="Times New Roman" w:eastAsia="Times New Roman" w:hAnsi="Times New Roman" w:cs="Times New Roman"/>
          <w:color w:val="0070C0"/>
          <w:sz w:val="24"/>
          <w:szCs w:val="24"/>
        </w:rPr>
        <w:t>Zikrul</w:t>
      </w:r>
      <w:proofErr w:type="spellEnd"/>
      <w:r w:rsidR="00111ACD" w:rsidRPr="00111ACD">
        <w:rPr>
          <w:rFonts w:ascii="Times New Roman" w:eastAsia="Times New Roman" w:hAnsi="Times New Roman" w:cs="Times New Roman"/>
          <w:color w:val="0070C0"/>
          <w:sz w:val="24"/>
          <w:szCs w:val="24"/>
        </w:rPr>
        <w:t xml:space="preserve"> Bari Chowdhury,</w:t>
      </w:r>
      <w:r w:rsidR="00111ACD" w:rsidRPr="00111ACD">
        <w:rPr>
          <w:rStyle w:val="ofieldchar"/>
          <w:color w:val="0070C0"/>
        </w:rPr>
        <w:t xml:space="preserve"> </w:t>
      </w:r>
      <w:r w:rsidR="00111ACD" w:rsidRPr="00111ACD">
        <w:rPr>
          <w:rFonts w:ascii="Times New Roman" w:eastAsia="Times New Roman" w:hAnsi="Times New Roman" w:cs="Times New Roman"/>
          <w:color w:val="0070C0"/>
          <w:sz w:val="24"/>
          <w:szCs w:val="24"/>
        </w:rPr>
        <w:t xml:space="preserve">Mohammad </w:t>
      </w:r>
      <w:proofErr w:type="spellStart"/>
      <w:r w:rsidR="00111ACD" w:rsidRPr="00111ACD">
        <w:rPr>
          <w:rFonts w:ascii="Times New Roman" w:eastAsia="Times New Roman" w:hAnsi="Times New Roman" w:cs="Times New Roman"/>
          <w:color w:val="0070C0"/>
          <w:sz w:val="24"/>
          <w:szCs w:val="24"/>
        </w:rPr>
        <w:t>Tariqul</w:t>
      </w:r>
      <w:proofErr w:type="spellEnd"/>
      <w:r w:rsidR="00111ACD" w:rsidRPr="00111ACD">
        <w:rPr>
          <w:rFonts w:ascii="Times New Roman" w:eastAsia="Times New Roman" w:hAnsi="Times New Roman" w:cs="Times New Roman"/>
          <w:color w:val="0070C0"/>
          <w:sz w:val="24"/>
          <w:szCs w:val="24"/>
        </w:rPr>
        <w:t xml:space="preserve"> Islam, Ismail Hossain, </w:t>
      </w:r>
      <w:proofErr w:type="spellStart"/>
      <w:r w:rsidR="00111ACD" w:rsidRPr="00111ACD">
        <w:rPr>
          <w:rFonts w:ascii="Times New Roman" w:eastAsia="Times New Roman" w:hAnsi="Times New Roman" w:cs="Times New Roman"/>
          <w:color w:val="0070C0"/>
          <w:sz w:val="24"/>
          <w:szCs w:val="24"/>
        </w:rPr>
        <w:t>Haitham</w:t>
      </w:r>
      <w:proofErr w:type="spellEnd"/>
      <w:r w:rsidR="00111ACD" w:rsidRPr="00111ACD">
        <w:rPr>
          <w:rFonts w:ascii="Times New Roman" w:eastAsia="Times New Roman" w:hAnsi="Times New Roman" w:cs="Times New Roman"/>
          <w:color w:val="0070C0"/>
          <w:sz w:val="24"/>
          <w:szCs w:val="24"/>
        </w:rPr>
        <w:t xml:space="preserve"> </w:t>
      </w:r>
      <w:proofErr w:type="spellStart"/>
      <w:r w:rsidR="00111ACD" w:rsidRPr="00111ACD">
        <w:rPr>
          <w:rFonts w:ascii="Times New Roman" w:eastAsia="Times New Roman" w:hAnsi="Times New Roman" w:cs="Times New Roman"/>
          <w:color w:val="0070C0"/>
          <w:sz w:val="24"/>
          <w:szCs w:val="24"/>
        </w:rPr>
        <w:t>Alsaif</w:t>
      </w:r>
      <w:proofErr w:type="spellEnd"/>
      <w:r w:rsidR="00111ACD" w:rsidRPr="00111ACD">
        <w:rPr>
          <w:rFonts w:ascii="Times New Roman" w:eastAsia="Times New Roman" w:hAnsi="Times New Roman" w:cs="Times New Roman"/>
          <w:color w:val="0070C0"/>
          <w:sz w:val="24"/>
          <w:szCs w:val="24"/>
        </w:rPr>
        <w:t xml:space="preserve">, Ahmed S. </w:t>
      </w:r>
      <w:proofErr w:type="spellStart"/>
      <w:r w:rsidR="00111ACD" w:rsidRPr="00111ACD">
        <w:rPr>
          <w:rFonts w:ascii="Times New Roman" w:eastAsia="Times New Roman" w:hAnsi="Times New Roman" w:cs="Times New Roman"/>
          <w:color w:val="0070C0"/>
          <w:sz w:val="24"/>
          <w:szCs w:val="24"/>
        </w:rPr>
        <w:t>Alshammari</w:t>
      </w:r>
      <w:proofErr w:type="spellEnd"/>
      <w:r w:rsidR="00111ACD" w:rsidRPr="00111ACD">
        <w:rPr>
          <w:rFonts w:ascii="Times New Roman" w:eastAsia="Times New Roman" w:hAnsi="Times New Roman" w:cs="Times New Roman"/>
          <w:color w:val="0070C0"/>
          <w:sz w:val="24"/>
          <w:szCs w:val="24"/>
        </w:rPr>
        <w:t>,</w:t>
      </w:r>
      <w:r w:rsidR="00111ACD" w:rsidRPr="00111ACD">
        <w:rPr>
          <w:rStyle w:val="ofieldchar"/>
          <w:color w:val="0070C0"/>
        </w:rPr>
        <w:t xml:space="preserve"> </w:t>
      </w:r>
      <w:r w:rsidR="00111ACD" w:rsidRPr="00111ACD">
        <w:rPr>
          <w:rFonts w:ascii="Times New Roman" w:eastAsia="Times New Roman" w:hAnsi="Times New Roman" w:cs="Times New Roman"/>
          <w:color w:val="0070C0"/>
          <w:sz w:val="24"/>
          <w:szCs w:val="24"/>
        </w:rPr>
        <w:t xml:space="preserve">Ahmed </w:t>
      </w:r>
      <w:proofErr w:type="spellStart"/>
      <w:r w:rsidR="00111ACD" w:rsidRPr="00111ACD">
        <w:rPr>
          <w:rFonts w:ascii="Times New Roman" w:eastAsia="Times New Roman" w:hAnsi="Times New Roman" w:cs="Times New Roman"/>
          <w:color w:val="0070C0"/>
          <w:sz w:val="24"/>
          <w:szCs w:val="24"/>
        </w:rPr>
        <w:t>Alzamil</w:t>
      </w:r>
      <w:proofErr w:type="spellEnd"/>
      <w:r w:rsidR="00111ACD" w:rsidRPr="00111ACD">
        <w:rPr>
          <w:rFonts w:ascii="Times New Roman" w:eastAsia="Times New Roman" w:hAnsi="Times New Roman" w:cs="Times New Roman"/>
          <w:color w:val="0070C0"/>
          <w:sz w:val="24"/>
          <w:szCs w:val="24"/>
        </w:rPr>
        <w:t xml:space="preserve">, </w:t>
      </w:r>
      <w:proofErr w:type="spellStart"/>
      <w:r w:rsidR="00111ACD" w:rsidRPr="00111ACD">
        <w:rPr>
          <w:rFonts w:ascii="Times New Roman" w:eastAsia="Times New Roman" w:hAnsi="Times New Roman" w:cs="Times New Roman"/>
          <w:color w:val="0070C0"/>
          <w:sz w:val="24"/>
          <w:szCs w:val="24"/>
        </w:rPr>
        <w:t>Md</w:t>
      </w:r>
      <w:proofErr w:type="spellEnd"/>
      <w:r w:rsidR="00111ACD" w:rsidRPr="00111ACD">
        <w:rPr>
          <w:rFonts w:ascii="Times New Roman" w:eastAsia="Times New Roman" w:hAnsi="Times New Roman" w:cs="Times New Roman"/>
          <w:color w:val="0070C0"/>
          <w:sz w:val="24"/>
          <w:szCs w:val="24"/>
        </w:rPr>
        <w:t xml:space="preserve"> </w:t>
      </w:r>
      <w:proofErr w:type="spellStart"/>
      <w:r w:rsidR="00111ACD" w:rsidRPr="00111ACD">
        <w:rPr>
          <w:rFonts w:ascii="Times New Roman" w:eastAsia="Times New Roman" w:hAnsi="Times New Roman" w:cs="Times New Roman"/>
          <w:color w:val="0070C0"/>
          <w:sz w:val="24"/>
          <w:szCs w:val="24"/>
        </w:rPr>
        <w:t>Samsuzzaman</w:t>
      </w:r>
      <w:proofErr w:type="spellEnd"/>
    </w:p>
    <w:p w:rsidR="00111ACD" w:rsidRPr="00111ACD" w:rsidRDefault="00111ACD" w:rsidP="00111ACD">
      <w:pPr>
        <w:rPr>
          <w:rFonts w:ascii="Times New Roman" w:eastAsia="Times New Roman" w:hAnsi="Times New Roman" w:cs="Times New Roman"/>
          <w:sz w:val="24"/>
          <w:szCs w:val="24"/>
        </w:rPr>
      </w:pPr>
    </w:p>
    <w:p w:rsidR="00B070C1" w:rsidRPr="00111ACD" w:rsidRDefault="00B070C1">
      <w:pPr>
        <w:rPr>
          <w:rStyle w:val="blue-tooltip"/>
          <w:rFonts w:ascii="Times New Roman" w:eastAsia="Times New Roman" w:hAnsi="Times New Roman" w:cs="Times New Roman"/>
          <w:sz w:val="24"/>
          <w:szCs w:val="24"/>
        </w:rPr>
      </w:pPr>
      <w:r w:rsidRPr="00A94B34">
        <w:rPr>
          <w:rStyle w:val="blue-tooltip"/>
          <w:rFonts w:asciiTheme="majorHAnsi" w:hAnsiTheme="majorHAnsi" w:cstheme="majorHAnsi"/>
          <w:b/>
          <w:sz w:val="24"/>
          <w:szCs w:val="24"/>
        </w:rPr>
        <w:t xml:space="preserve">Abstract: </w:t>
      </w:r>
      <w:r>
        <w:rPr>
          <w:rStyle w:val="blue-tooltip"/>
          <w:rFonts w:asciiTheme="majorHAnsi" w:hAnsiTheme="majorHAnsi" w:cstheme="majorHAnsi"/>
          <w:b/>
          <w:sz w:val="24"/>
          <w:szCs w:val="24"/>
        </w:rPr>
        <w:t xml:space="preserve">  </w:t>
      </w:r>
    </w:p>
    <w:p w:rsidR="00B070C1" w:rsidRPr="00A94B34" w:rsidRDefault="00B070C1" w:rsidP="00B070C1">
      <w:pPr>
        <w:jc w:val="both"/>
        <w:rPr>
          <w:rStyle w:val="blue-tooltip"/>
          <w:rFonts w:asciiTheme="majorHAnsi" w:hAnsiTheme="majorHAnsi" w:cstheme="majorHAnsi"/>
          <w:b/>
          <w:bCs/>
          <w:color w:val="0070C0"/>
          <w:sz w:val="24"/>
          <w:szCs w:val="24"/>
        </w:rPr>
      </w:pPr>
      <w:r>
        <w:rPr>
          <w:rFonts w:ascii="Georgia" w:hAnsi="Georgia"/>
          <w:color w:val="2E2E2E"/>
        </w:rPr>
        <w:t>In the visible frequency range, the most common application is for the transmission of </w:t>
      </w:r>
      <w:hyperlink r:id="rId4" w:tooltip="Learn more about electromagnetic from ScienceDirect's AI-generated Topic Pages" w:history="1">
        <w:r>
          <w:rPr>
            <w:rStyle w:val="Hyperlink"/>
            <w:rFonts w:ascii="Georgia" w:hAnsi="Georgia"/>
            <w:color w:val="2E2E2E"/>
          </w:rPr>
          <w:t>electromagnetic</w:t>
        </w:r>
      </w:hyperlink>
      <w:r>
        <w:rPr>
          <w:rFonts w:ascii="Georgia" w:hAnsi="Georgia"/>
          <w:color w:val="2E2E2E"/>
        </w:rPr>
        <w:t> signals over air and time to an aerial receiver. They are implemented to check tapped live powered components as well as identify defects, thermal leaking hot spots, or electrical failures. This study investigates the use of a compact nonagon-shaped </w:t>
      </w:r>
      <w:proofErr w:type="spellStart"/>
      <w:r>
        <w:rPr>
          <w:rFonts w:ascii="Georgia" w:hAnsi="Georgia"/>
          <w:color w:val="2E2E2E"/>
        </w:rPr>
        <w:fldChar w:fldCharType="begin"/>
      </w:r>
      <w:r>
        <w:rPr>
          <w:rFonts w:ascii="Georgia" w:hAnsi="Georgia"/>
          <w:color w:val="2E2E2E"/>
        </w:rPr>
        <w:instrText xml:space="preserve"> HYPERLINK "https://www.sciencedirect.com/topics/physics-and-astronomy/metamaterial" \o "Learn more about metamaterial from ScienceDirect's AI-generated Topic Pages" </w:instrText>
      </w:r>
      <w:r>
        <w:rPr>
          <w:rFonts w:ascii="Georgia" w:hAnsi="Georgia"/>
          <w:color w:val="2E2E2E"/>
        </w:rPr>
        <w:fldChar w:fldCharType="separate"/>
      </w:r>
      <w:r>
        <w:rPr>
          <w:rStyle w:val="Hyperlink"/>
          <w:rFonts w:ascii="Georgia" w:hAnsi="Georgia"/>
          <w:color w:val="2E2E2E"/>
        </w:rPr>
        <w:t>metamaterial</w:t>
      </w:r>
      <w:proofErr w:type="spellEnd"/>
      <w:r>
        <w:rPr>
          <w:rFonts w:ascii="Georgia" w:hAnsi="Georgia"/>
          <w:color w:val="2E2E2E"/>
        </w:rPr>
        <w:fldChar w:fldCharType="end"/>
      </w:r>
      <w:r>
        <w:rPr>
          <w:rFonts w:ascii="Georgia" w:hAnsi="Georgia"/>
          <w:color w:val="2E2E2E"/>
        </w:rPr>
        <w:t> absorber (MMA) for wideband visible applications by employing a three-layer </w:t>
      </w:r>
      <w:hyperlink r:id="rId5" w:tooltip="Learn more about substrate material from ScienceDirect's AI-generated Topic Pages" w:history="1">
        <w:r>
          <w:rPr>
            <w:rStyle w:val="Hyperlink"/>
            <w:rFonts w:ascii="Georgia" w:hAnsi="Georgia"/>
            <w:color w:val="2E2E2E"/>
          </w:rPr>
          <w:t>substrate material</w:t>
        </w:r>
      </w:hyperlink>
      <w:r>
        <w:rPr>
          <w:rFonts w:ascii="Georgia" w:hAnsi="Georgia"/>
          <w:color w:val="2E2E2E"/>
        </w:rPr>
        <w:t> structure consisting of metal, dielectric, and metal. In comparison to the most current study, the presented MMA has a smaller size, which represents a noticeable novelty. Moreover, the proposed MMA has bendable properties and two numerical simulation software have been used to validate the proposed MMA. This demonstrates the successful acquisition of data from both the CST and HFSS simulations. The proposed </w:t>
      </w:r>
      <w:proofErr w:type="spellStart"/>
      <w:r>
        <w:rPr>
          <w:rFonts w:ascii="Georgia" w:hAnsi="Georgia"/>
          <w:color w:val="2E2E2E"/>
        </w:rPr>
        <w:fldChar w:fldCharType="begin"/>
      </w:r>
      <w:r>
        <w:rPr>
          <w:rFonts w:ascii="Georgia" w:hAnsi="Georgia"/>
          <w:color w:val="2E2E2E"/>
        </w:rPr>
        <w:instrText xml:space="preserve"> HYPERLINK "https://www.sciencedirect.com/topics/physics-and-astronomy/metamaterial" \o "Learn more about metamaterial from ScienceDirect's AI-generated Topic Pages" </w:instrText>
      </w:r>
      <w:r>
        <w:rPr>
          <w:rFonts w:ascii="Georgia" w:hAnsi="Georgia"/>
          <w:color w:val="2E2E2E"/>
        </w:rPr>
        <w:fldChar w:fldCharType="separate"/>
      </w:r>
      <w:r>
        <w:rPr>
          <w:rStyle w:val="Hyperlink"/>
          <w:rFonts w:ascii="Georgia" w:hAnsi="Georgia"/>
          <w:color w:val="2E2E2E"/>
        </w:rPr>
        <w:t>metamaterial</w:t>
      </w:r>
      <w:proofErr w:type="spellEnd"/>
      <w:r>
        <w:rPr>
          <w:rFonts w:ascii="Georgia" w:hAnsi="Georgia"/>
          <w:color w:val="2E2E2E"/>
        </w:rPr>
        <w:fldChar w:fldCharType="end"/>
      </w:r>
      <w:r>
        <w:rPr>
          <w:rFonts w:ascii="Georgia" w:hAnsi="Georgia"/>
          <w:color w:val="2E2E2E"/>
        </w:rPr>
        <w:t> absorber attained above 80% absorption in the visible ranges from 400 nm to 750 nm wavelength for the simulation mode of TE and TM, respectively. An overall unit cell size of 930 × 930 × 202 nm</w:t>
      </w:r>
      <w:r>
        <w:rPr>
          <w:rFonts w:ascii="Georgia" w:hAnsi="Georgia"/>
          <w:color w:val="2E2E2E"/>
          <w:sz w:val="18"/>
          <w:szCs w:val="18"/>
        </w:rPr>
        <w:t>3</w:t>
      </w:r>
      <w:r>
        <w:rPr>
          <w:rFonts w:ascii="Georgia" w:hAnsi="Georgia"/>
          <w:color w:val="2E2E2E"/>
        </w:rPr>
        <w:t> which achieves an average absorption of 95.61% in its operating band 519–677 nm for visible optical wavelength when the performance of the proposed MMA was verified using the HFSS software. Moreover, the constant absorption feature is stable over a large range of </w:t>
      </w:r>
      <w:hyperlink r:id="rId6" w:tooltip="Learn more about oblique incidence from ScienceDirect's AI-generated Topic Pages" w:history="1">
        <w:r>
          <w:rPr>
            <w:rStyle w:val="Hyperlink"/>
            <w:rFonts w:ascii="Georgia" w:hAnsi="Georgia"/>
            <w:color w:val="2E2E2E"/>
          </w:rPr>
          <w:t>oblique incidence</w:t>
        </w:r>
      </w:hyperlink>
      <w:r>
        <w:rPr>
          <w:rFonts w:ascii="Georgia" w:hAnsi="Georgia"/>
          <w:color w:val="2E2E2E"/>
        </w:rPr>
        <w:t> angles. The quality of the MMA is verified by assessing the PCR value. Wide-angle incidence angle stability, polarization insensitivity, and absorption with 15⁰ bending effects can all be observed in both modes (TM and TE). In addition, the </w:t>
      </w:r>
      <w:hyperlink r:id="rId7" w:tooltip="Learn more about absorption property from ScienceDirect's AI-generated Topic Pages" w:history="1">
        <w:r>
          <w:rPr>
            <w:rStyle w:val="Hyperlink"/>
            <w:rFonts w:ascii="Georgia" w:hAnsi="Georgia"/>
            <w:color w:val="2E2E2E"/>
          </w:rPr>
          <w:t>absorption property</w:t>
        </w:r>
      </w:hyperlink>
      <w:r>
        <w:rPr>
          <w:rFonts w:ascii="Georgia" w:hAnsi="Georgia"/>
          <w:color w:val="2E2E2E"/>
        </w:rPr>
        <w:t> of MMA was investigated structurally by applying electric and magnetic fields. The presented MMA can be used in wide-angle stability, MRI, color imaging, solar cells, thermal imaging, and so on.</w:t>
      </w:r>
    </w:p>
    <w:tbl>
      <w:tblPr>
        <w:tblpPr w:leftFromText="180" w:rightFromText="180" w:vertAnchor="text" w:horzAnchor="margin" w:tblpY="329"/>
        <w:tblW w:w="8555" w:type="dxa"/>
        <w:tblCellSpacing w:w="15" w:type="dxa"/>
        <w:tblCellMar>
          <w:top w:w="15" w:type="dxa"/>
          <w:left w:w="15" w:type="dxa"/>
          <w:bottom w:w="15" w:type="dxa"/>
          <w:right w:w="15" w:type="dxa"/>
        </w:tblCellMar>
        <w:tblLook w:val="04A0" w:firstRow="1" w:lastRow="0" w:firstColumn="1" w:lastColumn="0" w:noHBand="0" w:noVBand="1"/>
      </w:tblPr>
      <w:tblGrid>
        <w:gridCol w:w="407"/>
        <w:gridCol w:w="8148"/>
      </w:tblGrid>
      <w:tr w:rsidR="00E24485" w:rsidRPr="00056A8C" w:rsidTr="00E24485">
        <w:trPr>
          <w:trHeight w:val="162"/>
          <w:tblCellSpacing w:w="15" w:type="dxa"/>
        </w:trPr>
        <w:tc>
          <w:tcPr>
            <w:tcW w:w="0" w:type="auto"/>
            <w:vAlign w:val="center"/>
          </w:tcPr>
          <w:p w:rsidR="00E24485" w:rsidRPr="00056A8C" w:rsidRDefault="00E24485" w:rsidP="00E24485">
            <w:pPr>
              <w:spacing w:after="0" w:line="240" w:lineRule="auto"/>
              <w:jc w:val="both"/>
              <w:rPr>
                <w:rFonts w:asciiTheme="majorHAnsi" w:eastAsia="Times New Roman" w:hAnsiTheme="majorHAnsi" w:cstheme="majorHAnsi"/>
                <w:sz w:val="24"/>
                <w:szCs w:val="24"/>
                <w:lang w:bidi="bn-BD"/>
              </w:rPr>
            </w:pPr>
          </w:p>
        </w:tc>
        <w:tc>
          <w:tcPr>
            <w:tcW w:w="4786" w:type="pct"/>
            <w:vAlign w:val="center"/>
          </w:tcPr>
          <w:p w:rsidR="00E24485" w:rsidRPr="00056A8C" w:rsidRDefault="00E24485" w:rsidP="00E24485">
            <w:pPr>
              <w:spacing w:before="100" w:beforeAutospacing="1" w:after="100" w:afterAutospacing="1" w:line="240" w:lineRule="auto"/>
              <w:jc w:val="both"/>
              <w:rPr>
                <w:rFonts w:asciiTheme="majorHAnsi" w:eastAsia="Times New Roman" w:hAnsiTheme="majorHAnsi" w:cstheme="majorHAnsi"/>
                <w:sz w:val="24"/>
                <w:szCs w:val="24"/>
                <w:lang w:bidi="bn-BD"/>
              </w:rPr>
            </w:pPr>
          </w:p>
        </w:tc>
      </w:tr>
      <w:tr w:rsidR="00E24485" w:rsidRPr="00056A8C" w:rsidTr="00E24485">
        <w:trPr>
          <w:trHeight w:val="162"/>
          <w:tblCellSpacing w:w="15" w:type="dxa"/>
        </w:trPr>
        <w:tc>
          <w:tcPr>
            <w:tcW w:w="0" w:type="auto"/>
            <w:vAlign w:val="center"/>
          </w:tcPr>
          <w:p w:rsidR="00E24485" w:rsidRPr="00056A8C" w:rsidRDefault="00E24485" w:rsidP="00E24485">
            <w:pPr>
              <w:spacing w:after="0" w:line="240" w:lineRule="auto"/>
              <w:jc w:val="both"/>
              <w:rPr>
                <w:rFonts w:asciiTheme="majorHAnsi" w:eastAsia="Times New Roman" w:hAnsiTheme="majorHAnsi" w:cstheme="majorHAnsi"/>
                <w:sz w:val="24"/>
                <w:szCs w:val="24"/>
                <w:lang w:bidi="bn-BD"/>
              </w:rPr>
            </w:pPr>
          </w:p>
        </w:tc>
        <w:tc>
          <w:tcPr>
            <w:tcW w:w="4786" w:type="pct"/>
            <w:vAlign w:val="center"/>
          </w:tcPr>
          <w:p w:rsidR="00E24485" w:rsidRPr="00056A8C" w:rsidRDefault="00E24485" w:rsidP="00E24485">
            <w:pPr>
              <w:spacing w:before="100" w:beforeAutospacing="1" w:after="100" w:afterAutospacing="1" w:line="240" w:lineRule="auto"/>
              <w:jc w:val="both"/>
              <w:rPr>
                <w:rFonts w:asciiTheme="majorHAnsi" w:eastAsia="Times New Roman" w:hAnsiTheme="majorHAnsi" w:cstheme="majorHAnsi"/>
                <w:sz w:val="24"/>
                <w:szCs w:val="24"/>
                <w:lang w:bidi="bn-BD"/>
              </w:rPr>
            </w:pPr>
          </w:p>
        </w:tc>
      </w:tr>
    </w:tbl>
    <w:p w:rsidR="00056A8C" w:rsidRPr="00A94B34" w:rsidRDefault="00056A8C" w:rsidP="00F63824">
      <w:pPr>
        <w:jc w:val="both"/>
        <w:rPr>
          <w:rStyle w:val="blue-tooltip"/>
          <w:rFonts w:asciiTheme="majorHAnsi" w:hAnsiTheme="majorHAnsi" w:cstheme="majorHAnsi"/>
          <w:b/>
          <w:sz w:val="24"/>
          <w:szCs w:val="24"/>
        </w:rPr>
      </w:pPr>
    </w:p>
    <w:p w:rsidR="00286666" w:rsidRPr="00A94B34" w:rsidRDefault="00286666" w:rsidP="00F63824">
      <w:pPr>
        <w:jc w:val="both"/>
        <w:rPr>
          <w:rStyle w:val="blue-tooltip"/>
          <w:rFonts w:asciiTheme="majorHAnsi" w:hAnsiTheme="majorHAnsi" w:cstheme="majorHAnsi"/>
          <w:b/>
          <w:sz w:val="24"/>
          <w:szCs w:val="24"/>
        </w:rPr>
      </w:pPr>
    </w:p>
    <w:p w:rsidR="000816E0" w:rsidRDefault="000816E0" w:rsidP="00F63824">
      <w:pPr>
        <w:spacing w:before="150" w:after="150" w:line="240" w:lineRule="auto"/>
        <w:jc w:val="both"/>
        <w:rPr>
          <w:rFonts w:asciiTheme="majorHAnsi" w:hAnsiTheme="majorHAnsi" w:cstheme="majorHAnsi"/>
          <w:b/>
          <w:bCs/>
          <w:color w:val="4C4C4C"/>
          <w:sz w:val="24"/>
          <w:szCs w:val="24"/>
          <w:shd w:val="clear" w:color="auto" w:fill="FFFFFF"/>
        </w:rPr>
      </w:pPr>
      <w:r w:rsidRPr="00A94B34">
        <w:rPr>
          <w:rFonts w:asciiTheme="majorHAnsi" w:hAnsiTheme="majorHAnsi" w:cstheme="majorHAnsi"/>
          <w:b/>
          <w:bCs/>
          <w:color w:val="4C4C4C"/>
          <w:sz w:val="24"/>
          <w:szCs w:val="24"/>
          <w:shd w:val="clear" w:color="auto" w:fill="FFFFFF"/>
        </w:rPr>
        <w:t>Conference / Journal Link:</w:t>
      </w:r>
    </w:p>
    <w:bookmarkStart w:id="0" w:name="cj_link"/>
    <w:p w:rsidR="00B070C1" w:rsidRPr="00B070C1" w:rsidRDefault="00B070C1" w:rsidP="00F63824">
      <w:pPr>
        <w:spacing w:before="150" w:after="150" w:line="240" w:lineRule="auto"/>
        <w:jc w:val="both"/>
        <w:rPr>
          <w:rFonts w:asciiTheme="majorHAnsi" w:hAnsiTheme="majorHAnsi" w:cstheme="majorHAnsi"/>
          <w:b/>
          <w:bCs/>
          <w:color w:val="0070C0"/>
          <w:sz w:val="24"/>
          <w:szCs w:val="24"/>
          <w:shd w:val="clear" w:color="auto" w:fill="FFFFFF"/>
        </w:rPr>
      </w:pPr>
      <w:r w:rsidRPr="00B070C1">
        <w:rPr>
          <w:color w:val="0070C0"/>
        </w:rPr>
        <w:fldChar w:fldCharType="begin"/>
      </w:r>
      <w:r w:rsidRPr="00B070C1">
        <w:rPr>
          <w:color w:val="0070C0"/>
        </w:rPr>
        <w:instrText xml:space="preserve"> HYPERLINK "https://www.sciencedirect.com/science/article/abs/pii/S0030402623005120" \t "_blank" </w:instrText>
      </w:r>
      <w:r w:rsidRPr="00B070C1">
        <w:rPr>
          <w:color w:val="0070C0"/>
        </w:rPr>
        <w:fldChar w:fldCharType="separate"/>
      </w:r>
      <w:r w:rsidRPr="00B070C1">
        <w:rPr>
          <w:rStyle w:val="Hyperlink"/>
          <w:color w:val="0070C0"/>
          <w:u w:val="none"/>
        </w:rPr>
        <w:t>https://www.sciencedirect.com/science/article/abs/pii/S0030402623005120</w:t>
      </w:r>
      <w:r w:rsidRPr="00B070C1">
        <w:rPr>
          <w:color w:val="0070C0"/>
        </w:rPr>
        <w:fldChar w:fldCharType="end"/>
      </w:r>
      <w:bookmarkEnd w:id="0"/>
    </w:p>
    <w:p w:rsidR="00B070C1" w:rsidRDefault="00B070C1" w:rsidP="00F63824">
      <w:pPr>
        <w:spacing w:before="150"/>
        <w:jc w:val="both"/>
        <w:rPr>
          <w:rFonts w:asciiTheme="majorHAnsi" w:hAnsiTheme="majorHAnsi" w:cstheme="majorHAnsi"/>
          <w:b/>
          <w:color w:val="4C4C4C"/>
          <w:sz w:val="24"/>
          <w:szCs w:val="24"/>
        </w:rPr>
      </w:pPr>
    </w:p>
    <w:p w:rsidR="000816E0" w:rsidRDefault="000816E0" w:rsidP="00F63824">
      <w:pPr>
        <w:spacing w:before="150"/>
        <w:jc w:val="both"/>
        <w:rPr>
          <w:rFonts w:asciiTheme="majorHAnsi" w:hAnsiTheme="majorHAnsi" w:cstheme="majorHAnsi"/>
          <w:b/>
          <w:color w:val="4C4C4C"/>
          <w:sz w:val="24"/>
          <w:szCs w:val="24"/>
        </w:rPr>
      </w:pPr>
      <w:r w:rsidRPr="00A94B34">
        <w:rPr>
          <w:rFonts w:asciiTheme="majorHAnsi" w:hAnsiTheme="majorHAnsi" w:cstheme="majorHAnsi"/>
          <w:b/>
          <w:color w:val="4C4C4C"/>
          <w:sz w:val="24"/>
          <w:szCs w:val="24"/>
        </w:rPr>
        <w:t>DOI:</w:t>
      </w:r>
      <w:bookmarkStart w:id="1" w:name="_GoBack"/>
      <w:bookmarkEnd w:id="1"/>
    </w:p>
    <w:p w:rsidR="00B070C1" w:rsidRPr="00B070C1" w:rsidRDefault="00B070C1" w:rsidP="00F63824">
      <w:pPr>
        <w:spacing w:before="150"/>
        <w:jc w:val="both"/>
        <w:rPr>
          <w:rFonts w:asciiTheme="majorHAnsi" w:hAnsiTheme="majorHAnsi" w:cstheme="majorHAnsi"/>
          <w:b/>
          <w:color w:val="0070C0"/>
          <w:sz w:val="24"/>
          <w:szCs w:val="24"/>
        </w:rPr>
      </w:pPr>
      <w:hyperlink r:id="rId8" w:tgtFrame="_blank" w:tooltip="Persistent link using digital object identifier" w:history="1">
        <w:r w:rsidRPr="00B070C1">
          <w:rPr>
            <w:rStyle w:val="anchor-text"/>
            <w:color w:val="0070C0"/>
          </w:rPr>
          <w:t>https://doi.org/10.1016/j.ijleo.2023.171016</w:t>
        </w:r>
      </w:hyperlink>
    </w:p>
    <w:sectPr w:rsidR="00B070C1" w:rsidRPr="00B070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56A8C"/>
    <w:rsid w:val="000816E0"/>
    <w:rsid w:val="000C0475"/>
    <w:rsid w:val="00103261"/>
    <w:rsid w:val="00111ACD"/>
    <w:rsid w:val="00286666"/>
    <w:rsid w:val="00383B0C"/>
    <w:rsid w:val="00397E1D"/>
    <w:rsid w:val="003D493B"/>
    <w:rsid w:val="004F276A"/>
    <w:rsid w:val="005241A4"/>
    <w:rsid w:val="00542D8F"/>
    <w:rsid w:val="00597AC0"/>
    <w:rsid w:val="005A50A4"/>
    <w:rsid w:val="00680E6F"/>
    <w:rsid w:val="007A2B06"/>
    <w:rsid w:val="008659B7"/>
    <w:rsid w:val="008B4C75"/>
    <w:rsid w:val="008F7BAB"/>
    <w:rsid w:val="0090116F"/>
    <w:rsid w:val="009437E0"/>
    <w:rsid w:val="00A94B34"/>
    <w:rsid w:val="00AC4B91"/>
    <w:rsid w:val="00B070C1"/>
    <w:rsid w:val="00B2123C"/>
    <w:rsid w:val="00BB2349"/>
    <w:rsid w:val="00C433C0"/>
    <w:rsid w:val="00C916C7"/>
    <w:rsid w:val="00CD6A55"/>
    <w:rsid w:val="00D11FFB"/>
    <w:rsid w:val="00D26612"/>
    <w:rsid w:val="00DA36C1"/>
    <w:rsid w:val="00E24485"/>
    <w:rsid w:val="00E6500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nchor-text">
    <w:name w:val="anchor-text"/>
    <w:basedOn w:val="DefaultParagraphFont"/>
    <w:rsid w:val="00B070C1"/>
  </w:style>
  <w:style w:type="character" w:customStyle="1" w:styleId="given-name">
    <w:name w:val="given-name"/>
    <w:basedOn w:val="DefaultParagraphFont"/>
    <w:rsid w:val="00111ACD"/>
  </w:style>
  <w:style w:type="character" w:customStyle="1" w:styleId="text">
    <w:name w:val="text"/>
    <w:basedOn w:val="DefaultParagraphFont"/>
    <w:rsid w:val="00111A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065804">
      <w:bodyDiv w:val="1"/>
      <w:marLeft w:val="0"/>
      <w:marRight w:val="0"/>
      <w:marTop w:val="0"/>
      <w:marBottom w:val="0"/>
      <w:divBdr>
        <w:top w:val="none" w:sz="0" w:space="0" w:color="auto"/>
        <w:left w:val="none" w:sz="0" w:space="0" w:color="auto"/>
        <w:bottom w:val="none" w:sz="0" w:space="0" w:color="auto"/>
        <w:right w:val="none" w:sz="0" w:space="0" w:color="auto"/>
      </w:divBdr>
      <w:divsChild>
        <w:div w:id="2036344364">
          <w:marLeft w:val="0"/>
          <w:marRight w:val="0"/>
          <w:marTop w:val="0"/>
          <w:marBottom w:val="0"/>
          <w:divBdr>
            <w:top w:val="none" w:sz="0" w:space="0" w:color="auto"/>
            <w:left w:val="none" w:sz="0" w:space="0" w:color="auto"/>
            <w:bottom w:val="none" w:sz="0" w:space="0" w:color="auto"/>
            <w:right w:val="none" w:sz="0" w:space="0" w:color="auto"/>
          </w:divBdr>
        </w:div>
      </w:divsChild>
    </w:div>
    <w:div w:id="354425072">
      <w:bodyDiv w:val="1"/>
      <w:marLeft w:val="0"/>
      <w:marRight w:val="0"/>
      <w:marTop w:val="0"/>
      <w:marBottom w:val="0"/>
      <w:divBdr>
        <w:top w:val="none" w:sz="0" w:space="0" w:color="auto"/>
        <w:left w:val="none" w:sz="0" w:space="0" w:color="auto"/>
        <w:bottom w:val="none" w:sz="0" w:space="0" w:color="auto"/>
        <w:right w:val="none" w:sz="0" w:space="0" w:color="auto"/>
      </w:divBdr>
      <w:divsChild>
        <w:div w:id="1793133462">
          <w:marLeft w:val="0"/>
          <w:marRight w:val="0"/>
          <w:marTop w:val="0"/>
          <w:marBottom w:val="0"/>
          <w:divBdr>
            <w:top w:val="none" w:sz="0" w:space="0" w:color="auto"/>
            <w:left w:val="none" w:sz="0" w:space="0" w:color="auto"/>
            <w:bottom w:val="none" w:sz="0" w:space="0" w:color="auto"/>
            <w:right w:val="none" w:sz="0" w:space="0" w:color="auto"/>
          </w:divBdr>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713312736">
      <w:bodyDiv w:val="1"/>
      <w:marLeft w:val="0"/>
      <w:marRight w:val="0"/>
      <w:marTop w:val="0"/>
      <w:marBottom w:val="0"/>
      <w:divBdr>
        <w:top w:val="none" w:sz="0" w:space="0" w:color="auto"/>
        <w:left w:val="none" w:sz="0" w:space="0" w:color="auto"/>
        <w:bottom w:val="none" w:sz="0" w:space="0" w:color="auto"/>
        <w:right w:val="none" w:sz="0" w:space="0" w:color="auto"/>
      </w:divBdr>
      <w:divsChild>
        <w:div w:id="634026043">
          <w:marLeft w:val="0"/>
          <w:marRight w:val="0"/>
          <w:marTop w:val="0"/>
          <w:marBottom w:val="0"/>
          <w:divBdr>
            <w:top w:val="none" w:sz="0" w:space="0" w:color="auto"/>
            <w:left w:val="none" w:sz="0" w:space="0" w:color="auto"/>
            <w:bottom w:val="none" w:sz="0" w:space="0" w:color="auto"/>
            <w:right w:val="none" w:sz="0" w:space="0" w:color="auto"/>
          </w:divBdr>
        </w:div>
      </w:divsChild>
    </w:div>
    <w:div w:id="773868000">
      <w:bodyDiv w:val="1"/>
      <w:marLeft w:val="0"/>
      <w:marRight w:val="0"/>
      <w:marTop w:val="0"/>
      <w:marBottom w:val="0"/>
      <w:divBdr>
        <w:top w:val="none" w:sz="0" w:space="0" w:color="auto"/>
        <w:left w:val="none" w:sz="0" w:space="0" w:color="auto"/>
        <w:bottom w:val="none" w:sz="0" w:space="0" w:color="auto"/>
        <w:right w:val="none" w:sz="0" w:space="0" w:color="auto"/>
      </w:divBdr>
      <w:divsChild>
        <w:div w:id="204604661">
          <w:marLeft w:val="0"/>
          <w:marRight w:val="0"/>
          <w:marTop w:val="0"/>
          <w:marBottom w:val="0"/>
          <w:divBdr>
            <w:top w:val="none" w:sz="0" w:space="0" w:color="auto"/>
            <w:left w:val="none" w:sz="0" w:space="0" w:color="auto"/>
            <w:bottom w:val="none" w:sz="0" w:space="0" w:color="auto"/>
            <w:right w:val="none" w:sz="0" w:space="0" w:color="auto"/>
          </w:divBdr>
        </w:div>
      </w:divsChild>
    </w:div>
    <w:div w:id="862329612">
      <w:bodyDiv w:val="1"/>
      <w:marLeft w:val="0"/>
      <w:marRight w:val="0"/>
      <w:marTop w:val="0"/>
      <w:marBottom w:val="0"/>
      <w:divBdr>
        <w:top w:val="none" w:sz="0" w:space="0" w:color="auto"/>
        <w:left w:val="none" w:sz="0" w:space="0" w:color="auto"/>
        <w:bottom w:val="none" w:sz="0" w:space="0" w:color="auto"/>
        <w:right w:val="none" w:sz="0" w:space="0" w:color="auto"/>
      </w:divBdr>
      <w:divsChild>
        <w:div w:id="88162173">
          <w:marLeft w:val="0"/>
          <w:marRight w:val="0"/>
          <w:marTop w:val="0"/>
          <w:marBottom w:val="0"/>
          <w:divBdr>
            <w:top w:val="none" w:sz="0" w:space="0" w:color="auto"/>
            <w:left w:val="none" w:sz="0" w:space="0" w:color="auto"/>
            <w:bottom w:val="none" w:sz="0" w:space="0" w:color="auto"/>
            <w:right w:val="none" w:sz="0" w:space="0" w:color="auto"/>
          </w:divBdr>
        </w:div>
      </w:divsChild>
    </w:div>
    <w:div w:id="867638955">
      <w:bodyDiv w:val="1"/>
      <w:marLeft w:val="0"/>
      <w:marRight w:val="0"/>
      <w:marTop w:val="0"/>
      <w:marBottom w:val="0"/>
      <w:divBdr>
        <w:top w:val="none" w:sz="0" w:space="0" w:color="auto"/>
        <w:left w:val="none" w:sz="0" w:space="0" w:color="auto"/>
        <w:bottom w:val="none" w:sz="0" w:space="0" w:color="auto"/>
        <w:right w:val="none" w:sz="0" w:space="0" w:color="auto"/>
      </w:divBdr>
      <w:divsChild>
        <w:div w:id="683439080">
          <w:marLeft w:val="0"/>
          <w:marRight w:val="0"/>
          <w:marTop w:val="0"/>
          <w:marBottom w:val="0"/>
          <w:divBdr>
            <w:top w:val="none" w:sz="0" w:space="0" w:color="auto"/>
            <w:left w:val="none" w:sz="0" w:space="0" w:color="auto"/>
            <w:bottom w:val="none" w:sz="0" w:space="0" w:color="auto"/>
            <w:right w:val="none" w:sz="0" w:space="0" w:color="auto"/>
          </w:divBdr>
        </w:div>
      </w:divsChild>
    </w:div>
    <w:div w:id="1372654085">
      <w:bodyDiv w:val="1"/>
      <w:marLeft w:val="0"/>
      <w:marRight w:val="0"/>
      <w:marTop w:val="0"/>
      <w:marBottom w:val="0"/>
      <w:divBdr>
        <w:top w:val="none" w:sz="0" w:space="0" w:color="auto"/>
        <w:left w:val="none" w:sz="0" w:space="0" w:color="auto"/>
        <w:bottom w:val="none" w:sz="0" w:space="0" w:color="auto"/>
        <w:right w:val="none" w:sz="0" w:space="0" w:color="auto"/>
      </w:divBdr>
      <w:divsChild>
        <w:div w:id="387994789">
          <w:marLeft w:val="0"/>
          <w:marRight w:val="0"/>
          <w:marTop w:val="0"/>
          <w:marBottom w:val="0"/>
          <w:divBdr>
            <w:top w:val="none" w:sz="0" w:space="0" w:color="auto"/>
            <w:left w:val="none" w:sz="0" w:space="0" w:color="auto"/>
            <w:bottom w:val="none" w:sz="0" w:space="0" w:color="auto"/>
            <w:right w:val="none" w:sz="0" w:space="0" w:color="auto"/>
          </w:divBdr>
        </w:div>
      </w:divsChild>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ijleo.2023.171016" TargetMode="External"/><Relationship Id="rId3" Type="http://schemas.openxmlformats.org/officeDocument/2006/relationships/webSettings" Target="webSettings.xml"/><Relationship Id="rId7" Type="http://schemas.openxmlformats.org/officeDocument/2006/relationships/hyperlink" Target="https://www.sciencedirect.com/topics/engineering/absorption-proper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topics/engineering/oblique-incidence" TargetMode="External"/><Relationship Id="rId5" Type="http://schemas.openxmlformats.org/officeDocument/2006/relationships/hyperlink" Target="https://www.sciencedirect.com/topics/engineering/substrate-material" TargetMode="External"/><Relationship Id="rId10" Type="http://schemas.openxmlformats.org/officeDocument/2006/relationships/theme" Target="theme/theme1.xml"/><Relationship Id="rId4" Type="http://schemas.openxmlformats.org/officeDocument/2006/relationships/hyperlink" Target="https://www.sciencedirect.com/topics/physics-and-astronomy/electromagnetics"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525</Words>
  <Characters>2999</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8</cp:revision>
  <dcterms:created xsi:type="dcterms:W3CDTF">2024-04-08T04:51:00Z</dcterms:created>
  <dcterms:modified xsi:type="dcterms:W3CDTF">2024-04-09T04:27:00Z</dcterms:modified>
</cp:coreProperties>
</file>