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56A8C" w:rsidRPr="00253B9E" w:rsidRDefault="00253B9E" w:rsidP="00253B9E">
      <w:pPr>
        <w:rPr>
          <w:rStyle w:val="blue-tooltip"/>
          <w:bCs/>
          <w:sz w:val="40"/>
          <w:szCs w:val="40"/>
        </w:rPr>
      </w:pPr>
      <w:r w:rsidRPr="00253B9E">
        <w:rPr>
          <w:rStyle w:val="blue-tooltip"/>
          <w:bCs/>
          <w:sz w:val="40"/>
          <w:szCs w:val="40"/>
        </w:rPr>
        <w:t>A Regional Appraisal of Electricity Accessibility Determinants: The Relevance of International Remittances, Clean Energy, Income Inequality, and Institutional Quality</w:t>
      </w:r>
    </w:p>
    <w:p w:rsidR="00253B9E" w:rsidRDefault="00253B9E">
      <w:pPr>
        <w:rPr>
          <w:rStyle w:val="blue-tooltip"/>
          <w:rFonts w:asciiTheme="majorHAnsi" w:hAnsiTheme="majorHAnsi" w:cstheme="majorHAnsi"/>
          <w:b/>
          <w:bCs/>
          <w:sz w:val="24"/>
          <w:szCs w:val="24"/>
        </w:rPr>
      </w:pPr>
    </w:p>
    <w:p w:rsidR="00286666" w:rsidRPr="00253B9E" w:rsidRDefault="00056A8C">
      <w:pPr>
        <w:rPr>
          <w:rStyle w:val="blue-tooltip"/>
          <w:rFonts w:cstheme="minorHAnsi"/>
          <w:b/>
          <w:bCs/>
          <w:color w:val="0070C0"/>
          <w:sz w:val="24"/>
          <w:szCs w:val="24"/>
        </w:rPr>
      </w:pPr>
      <w:r w:rsidRPr="00253B9E">
        <w:rPr>
          <w:rStyle w:val="blue-tooltip"/>
          <w:rFonts w:cstheme="minorHAnsi"/>
          <w:b/>
          <w:bCs/>
          <w:sz w:val="24"/>
          <w:szCs w:val="24"/>
        </w:rPr>
        <w:t xml:space="preserve">Author: </w:t>
      </w:r>
      <w:r w:rsidR="009437E0" w:rsidRPr="00253B9E">
        <w:rPr>
          <w:rStyle w:val="blue-tooltip"/>
          <w:rFonts w:cstheme="minorHAnsi"/>
          <w:color w:val="0070C0"/>
          <w:sz w:val="24"/>
          <w:szCs w:val="24"/>
        </w:rPr>
        <w:t xml:space="preserve"> </w:t>
      </w:r>
      <w:hyperlink r:id="rId4" w:anchor="auth-Muntasir-Murshed-Aff1-Aff2-Aff3" w:history="1">
        <w:proofErr w:type="spellStart"/>
        <w:r w:rsidR="00253B9E" w:rsidRPr="00253B9E">
          <w:rPr>
            <w:rStyle w:val="Hyperlink"/>
            <w:rFonts w:cstheme="minorHAnsi"/>
            <w:color w:val="0070C0"/>
            <w:sz w:val="24"/>
            <w:szCs w:val="24"/>
          </w:rPr>
          <w:t>Muntasir</w:t>
        </w:r>
        <w:proofErr w:type="spellEnd"/>
        <w:r w:rsidR="00253B9E" w:rsidRPr="00253B9E">
          <w:rPr>
            <w:rStyle w:val="Hyperlink"/>
            <w:rFonts w:cstheme="minorHAnsi"/>
            <w:color w:val="0070C0"/>
            <w:sz w:val="24"/>
            <w:szCs w:val="24"/>
          </w:rPr>
          <w:t xml:space="preserve"> </w:t>
        </w:r>
        <w:proofErr w:type="spellStart"/>
        <w:r w:rsidR="00253B9E" w:rsidRPr="00253B9E">
          <w:rPr>
            <w:rStyle w:val="Hyperlink"/>
            <w:rFonts w:cstheme="minorHAnsi"/>
            <w:color w:val="0070C0"/>
            <w:sz w:val="24"/>
            <w:szCs w:val="24"/>
          </w:rPr>
          <w:t>Murshed</w:t>
        </w:r>
        <w:proofErr w:type="spellEnd"/>
      </w:hyperlink>
    </w:p>
    <w:p w:rsidR="00056A8C" w:rsidRPr="00253B9E" w:rsidRDefault="00056A8C" w:rsidP="00F63824">
      <w:pPr>
        <w:jc w:val="both"/>
        <w:rPr>
          <w:rStyle w:val="blue-tooltip"/>
          <w:rFonts w:cstheme="minorHAnsi"/>
          <w:b/>
          <w:sz w:val="24"/>
          <w:szCs w:val="24"/>
        </w:rPr>
      </w:pPr>
    </w:p>
    <w:p w:rsidR="00286666" w:rsidRPr="00253B9E" w:rsidRDefault="00286666" w:rsidP="00F63824">
      <w:pPr>
        <w:jc w:val="both"/>
        <w:rPr>
          <w:rStyle w:val="blue-tooltip"/>
          <w:rFonts w:cstheme="minorHAnsi"/>
          <w:b/>
          <w:sz w:val="24"/>
          <w:szCs w:val="24"/>
        </w:rPr>
      </w:pPr>
      <w:r w:rsidRPr="00253B9E">
        <w:rPr>
          <w:rStyle w:val="blue-tooltip"/>
          <w:rFonts w:cstheme="minorHAnsi"/>
          <w:b/>
          <w:sz w:val="24"/>
          <w:szCs w:val="24"/>
        </w:rPr>
        <w:t xml:space="preserve">Abstract: </w:t>
      </w:r>
      <w:r w:rsidR="00C433C0" w:rsidRPr="00253B9E">
        <w:rPr>
          <w:rStyle w:val="blue-tooltip"/>
          <w:rFonts w:cstheme="minorHAnsi"/>
          <w:b/>
          <w:sz w:val="24"/>
          <w:szCs w:val="24"/>
        </w:rPr>
        <w:t xml:space="preserve"> </w:t>
      </w:r>
      <w:r w:rsidR="004F276A" w:rsidRPr="00253B9E">
        <w:rPr>
          <w:rStyle w:val="blue-tooltip"/>
          <w:rFonts w:cstheme="minorHAnsi"/>
          <w:b/>
          <w:sz w:val="24"/>
          <w:szCs w:val="24"/>
        </w:rPr>
        <w:t xml:space="preserve"> </w:t>
      </w:r>
    </w:p>
    <w:p w:rsidR="00253B9E" w:rsidRPr="00253B9E" w:rsidRDefault="00253B9E" w:rsidP="00F63824">
      <w:pPr>
        <w:jc w:val="both"/>
        <w:rPr>
          <w:rStyle w:val="blue-tooltip"/>
          <w:rFonts w:cstheme="minorHAnsi"/>
          <w:b/>
          <w:sz w:val="24"/>
          <w:szCs w:val="24"/>
        </w:rPr>
      </w:pPr>
      <w:r w:rsidRPr="00253B9E">
        <w:rPr>
          <w:rFonts w:cstheme="minorHAnsi"/>
          <w:color w:val="333333"/>
          <w:sz w:val="24"/>
          <w:szCs w:val="24"/>
          <w:shd w:val="clear" w:color="auto" w:fill="FCFCFC"/>
        </w:rPr>
        <w:t xml:space="preserve">The majority of developing nations worldwide face severe challenges in ensuring universal electricity access for their respective populations. Hence, this study focuses on assessing the factors stimulating and inhibiting national electricity access rates in 61 developing nations from six global regions during the 2000–2020 period. For analytical purposes, both parametric and non-parametric estimation techniques that are efficient in handling major panel data-related problems are used. Overall, the results reveal that a higher influx of remittances sent by the expatriates does not directly influence electricity accessibility. However, adoption of clean energy and improvement in institutional quality promote electricity accessibility while higher income inequality undermines it. More importantly, good institutional quality mediates between international remittance receipts and electricity accessibility as results endorse that international remittance receipts and institutional quality improvement jointly exert electricity accessibility–promoting impacts. Moreover, these findings depict regional heterogeneity while the </w:t>
      </w:r>
      <w:proofErr w:type="spellStart"/>
      <w:r w:rsidRPr="00253B9E">
        <w:rPr>
          <w:rFonts w:cstheme="minorHAnsi"/>
          <w:color w:val="333333"/>
          <w:sz w:val="24"/>
          <w:szCs w:val="24"/>
          <w:shd w:val="clear" w:color="auto" w:fill="FCFCFC"/>
        </w:rPr>
        <w:t>quantile</w:t>
      </w:r>
      <w:proofErr w:type="spellEnd"/>
      <w:r w:rsidRPr="00253B9E">
        <w:rPr>
          <w:rFonts w:cstheme="minorHAnsi"/>
          <w:color w:val="333333"/>
          <w:sz w:val="24"/>
          <w:szCs w:val="24"/>
          <w:shd w:val="clear" w:color="auto" w:fill="FCFCFC"/>
        </w:rPr>
        <w:t xml:space="preserve">-based analysis highlights contrasting impacts of international remittance receipts, clean energy use, and institutional quality across different </w:t>
      </w:r>
      <w:proofErr w:type="spellStart"/>
      <w:r w:rsidRPr="00253B9E">
        <w:rPr>
          <w:rFonts w:cstheme="minorHAnsi"/>
          <w:color w:val="333333"/>
          <w:sz w:val="24"/>
          <w:szCs w:val="24"/>
          <w:shd w:val="clear" w:color="auto" w:fill="FCFCFC"/>
        </w:rPr>
        <w:t>quantiles</w:t>
      </w:r>
      <w:proofErr w:type="spellEnd"/>
      <w:r w:rsidRPr="00253B9E">
        <w:rPr>
          <w:rFonts w:cstheme="minorHAnsi"/>
          <w:color w:val="333333"/>
          <w:sz w:val="24"/>
          <w:szCs w:val="24"/>
          <w:shd w:val="clear" w:color="auto" w:fill="FCFCFC"/>
        </w:rPr>
        <w:t xml:space="preserve"> of electricity accessibility. Contrarily, worsening incidences of income inequality are evidenced to undermine electricity accessibility across all </w:t>
      </w:r>
      <w:proofErr w:type="spellStart"/>
      <w:r w:rsidRPr="00253B9E">
        <w:rPr>
          <w:rFonts w:cstheme="minorHAnsi"/>
          <w:color w:val="333333"/>
          <w:sz w:val="24"/>
          <w:szCs w:val="24"/>
          <w:shd w:val="clear" w:color="auto" w:fill="FCFCFC"/>
        </w:rPr>
        <w:t>quantiles</w:t>
      </w:r>
      <w:proofErr w:type="spellEnd"/>
      <w:r w:rsidRPr="00253B9E">
        <w:rPr>
          <w:rFonts w:cstheme="minorHAnsi"/>
          <w:color w:val="333333"/>
          <w:sz w:val="24"/>
          <w:szCs w:val="24"/>
          <w:shd w:val="clear" w:color="auto" w:fill="FCFCFC"/>
        </w:rPr>
        <w:t>. Therefore, considering these key findings, several electricity accessibility–boosting policies are suggested.</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1"/>
        <w:gridCol w:w="9279"/>
      </w:tblGrid>
      <w:tr w:rsidR="00056A8C" w:rsidRPr="00253B9E" w:rsidTr="009437E0">
        <w:trPr>
          <w:tblCellSpacing w:w="15" w:type="dxa"/>
        </w:trPr>
        <w:tc>
          <w:tcPr>
            <w:tcW w:w="0" w:type="auto"/>
            <w:vAlign w:val="center"/>
          </w:tcPr>
          <w:p w:rsidR="00056A8C" w:rsidRPr="00253B9E" w:rsidRDefault="00056A8C" w:rsidP="00056A8C">
            <w:pPr>
              <w:spacing w:after="0" w:line="240" w:lineRule="auto"/>
              <w:jc w:val="both"/>
              <w:rPr>
                <w:rFonts w:eastAsia="Times New Roman" w:cstheme="minorHAnsi"/>
                <w:sz w:val="24"/>
                <w:szCs w:val="24"/>
                <w:lang w:bidi="bn-BD"/>
              </w:rPr>
            </w:pPr>
          </w:p>
        </w:tc>
        <w:tc>
          <w:tcPr>
            <w:tcW w:w="5000" w:type="pct"/>
            <w:vAlign w:val="center"/>
          </w:tcPr>
          <w:p w:rsidR="00056A8C" w:rsidRPr="00253B9E" w:rsidRDefault="00056A8C" w:rsidP="00056A8C">
            <w:pPr>
              <w:spacing w:before="100" w:beforeAutospacing="1" w:after="100" w:afterAutospacing="1" w:line="240" w:lineRule="auto"/>
              <w:jc w:val="both"/>
              <w:rPr>
                <w:rFonts w:eastAsia="Times New Roman" w:cstheme="minorHAnsi"/>
                <w:sz w:val="24"/>
                <w:szCs w:val="24"/>
                <w:lang w:bidi="bn-BD"/>
              </w:rPr>
            </w:pPr>
          </w:p>
        </w:tc>
      </w:tr>
    </w:tbl>
    <w:p w:rsidR="000816E0" w:rsidRPr="00253B9E" w:rsidRDefault="000816E0" w:rsidP="00F63824">
      <w:pPr>
        <w:spacing w:before="150" w:after="150" w:line="240" w:lineRule="auto"/>
        <w:jc w:val="both"/>
        <w:rPr>
          <w:rFonts w:cstheme="minorHAnsi"/>
          <w:b/>
          <w:bCs/>
          <w:color w:val="4C4C4C"/>
          <w:sz w:val="24"/>
          <w:szCs w:val="24"/>
          <w:shd w:val="clear" w:color="auto" w:fill="FFFFFF"/>
        </w:rPr>
      </w:pPr>
      <w:bookmarkStart w:id="0" w:name="_GoBack"/>
      <w:bookmarkEnd w:id="0"/>
      <w:r w:rsidRPr="00253B9E">
        <w:rPr>
          <w:rFonts w:cstheme="minorHAnsi"/>
          <w:b/>
          <w:bCs/>
          <w:color w:val="4C4C4C"/>
          <w:sz w:val="24"/>
          <w:szCs w:val="24"/>
          <w:shd w:val="clear" w:color="auto" w:fill="FFFFFF"/>
        </w:rPr>
        <w:t>Conference / Journal Link:</w:t>
      </w:r>
    </w:p>
    <w:bookmarkStart w:id="1" w:name="cj_link"/>
    <w:p w:rsidR="00253B9E" w:rsidRPr="00253B9E" w:rsidRDefault="00253B9E" w:rsidP="00F63824">
      <w:pPr>
        <w:spacing w:before="150" w:after="150" w:line="240" w:lineRule="auto"/>
        <w:jc w:val="both"/>
        <w:rPr>
          <w:rFonts w:cstheme="minorHAnsi"/>
          <w:b/>
          <w:bCs/>
          <w:color w:val="0070C0"/>
          <w:sz w:val="24"/>
          <w:szCs w:val="24"/>
          <w:shd w:val="clear" w:color="auto" w:fill="FFFFFF"/>
        </w:rPr>
      </w:pPr>
      <w:r w:rsidRPr="00253B9E">
        <w:rPr>
          <w:rFonts w:cstheme="minorHAnsi"/>
          <w:color w:val="0070C0"/>
          <w:sz w:val="24"/>
          <w:szCs w:val="24"/>
        </w:rPr>
        <w:fldChar w:fldCharType="begin"/>
      </w:r>
      <w:r w:rsidRPr="00253B9E">
        <w:rPr>
          <w:rFonts w:cstheme="minorHAnsi"/>
          <w:color w:val="0070C0"/>
          <w:sz w:val="24"/>
          <w:szCs w:val="24"/>
        </w:rPr>
        <w:instrText xml:space="preserve"> HYPERLINK "https://link.springer.com/article/10.1007/s11356-023-25889-7" \l ":~:text=Overall%2C%20the%20results%20reveal%20that,higher%20income%20inequality%20undermines%20it." \t "_blank" </w:instrText>
      </w:r>
      <w:r w:rsidRPr="00253B9E">
        <w:rPr>
          <w:rFonts w:cstheme="minorHAnsi"/>
          <w:color w:val="0070C0"/>
          <w:sz w:val="24"/>
          <w:szCs w:val="24"/>
        </w:rPr>
        <w:fldChar w:fldCharType="separate"/>
      </w:r>
      <w:r w:rsidRPr="00253B9E">
        <w:rPr>
          <w:rStyle w:val="Hyperlink"/>
          <w:rFonts w:cstheme="minorHAnsi"/>
          <w:color w:val="0070C0"/>
          <w:sz w:val="24"/>
          <w:szCs w:val="24"/>
          <w:u w:val="none"/>
        </w:rPr>
        <w:t>https://link.springer.com/article/10.1007/s11356-023-25889-7#:~:text=Overall%</w:t>
      </w:r>
      <w:r w:rsidRPr="00253B9E">
        <w:rPr>
          <w:rFonts w:cstheme="minorHAnsi"/>
          <w:color w:val="0070C0"/>
          <w:sz w:val="24"/>
          <w:szCs w:val="24"/>
        </w:rPr>
        <w:fldChar w:fldCharType="end"/>
      </w:r>
      <w:bookmarkEnd w:id="1"/>
    </w:p>
    <w:p w:rsidR="000816E0" w:rsidRPr="00253B9E" w:rsidRDefault="000816E0" w:rsidP="00F63824">
      <w:pPr>
        <w:spacing w:before="150"/>
        <w:jc w:val="both"/>
        <w:rPr>
          <w:rFonts w:cstheme="minorHAnsi"/>
          <w:b/>
          <w:color w:val="4C4C4C"/>
          <w:sz w:val="24"/>
          <w:szCs w:val="24"/>
        </w:rPr>
      </w:pPr>
      <w:r w:rsidRPr="00253B9E">
        <w:rPr>
          <w:rFonts w:cstheme="minorHAnsi"/>
          <w:b/>
          <w:color w:val="4C4C4C"/>
          <w:sz w:val="24"/>
          <w:szCs w:val="24"/>
        </w:rPr>
        <w:t>DOI:</w:t>
      </w:r>
    </w:p>
    <w:p w:rsidR="00253B9E" w:rsidRPr="00253B9E" w:rsidRDefault="00253B9E" w:rsidP="00F63824">
      <w:pPr>
        <w:spacing w:before="150"/>
        <w:jc w:val="both"/>
        <w:rPr>
          <w:rFonts w:cstheme="minorHAnsi"/>
          <w:b/>
          <w:color w:val="0070C0"/>
          <w:sz w:val="24"/>
          <w:szCs w:val="24"/>
        </w:rPr>
      </w:pPr>
      <w:r w:rsidRPr="00253B9E">
        <w:rPr>
          <w:rStyle w:val="c-bibliographic-informationvalue"/>
          <w:rFonts w:cstheme="minorHAnsi"/>
          <w:color w:val="0070C0"/>
          <w:sz w:val="24"/>
          <w:szCs w:val="24"/>
        </w:rPr>
        <w:t>https://doi.org/10.1007/s11356-023-25889-7</w:t>
      </w:r>
    </w:p>
    <w:p w:rsidR="000816E0" w:rsidRPr="00253B9E" w:rsidRDefault="000816E0">
      <w:pPr>
        <w:rPr>
          <w:rFonts w:cstheme="minorHAnsi"/>
          <w:sz w:val="24"/>
          <w:szCs w:val="24"/>
        </w:rPr>
      </w:pPr>
    </w:p>
    <w:p w:rsidR="00286666" w:rsidRPr="00286666" w:rsidRDefault="00286666">
      <w:pPr>
        <w:rPr>
          <w:rStyle w:val="ofieldchar"/>
          <w:sz w:val="24"/>
          <w:szCs w:val="24"/>
        </w:rPr>
      </w:pPr>
    </w:p>
    <w:sectPr w:rsidR="00286666" w:rsidRPr="0028666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Vrinda">
    <w:altName w:val="Courier New"/>
    <w:panose1 w:val="00000400000000000000"/>
    <w:charset w:val="01"/>
    <w:family w:val="roman"/>
    <w:notTrueType/>
    <w:pitch w:val="variable"/>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7E1D"/>
    <w:rsid w:val="00040441"/>
    <w:rsid w:val="00056A8C"/>
    <w:rsid w:val="000816E0"/>
    <w:rsid w:val="000C0475"/>
    <w:rsid w:val="00103261"/>
    <w:rsid w:val="0010426F"/>
    <w:rsid w:val="001D5399"/>
    <w:rsid w:val="001F7B56"/>
    <w:rsid w:val="00215958"/>
    <w:rsid w:val="00225D3F"/>
    <w:rsid w:val="00253B9E"/>
    <w:rsid w:val="00286666"/>
    <w:rsid w:val="002D5FDC"/>
    <w:rsid w:val="00311D7C"/>
    <w:rsid w:val="00383B0C"/>
    <w:rsid w:val="00397E1D"/>
    <w:rsid w:val="003D59CD"/>
    <w:rsid w:val="004F276A"/>
    <w:rsid w:val="004F707F"/>
    <w:rsid w:val="005241A4"/>
    <w:rsid w:val="00542D8F"/>
    <w:rsid w:val="00597AC0"/>
    <w:rsid w:val="005A50A4"/>
    <w:rsid w:val="005E4D36"/>
    <w:rsid w:val="00655110"/>
    <w:rsid w:val="00680E6F"/>
    <w:rsid w:val="00760E88"/>
    <w:rsid w:val="007A2B06"/>
    <w:rsid w:val="00821EA2"/>
    <w:rsid w:val="008659B7"/>
    <w:rsid w:val="008B4C75"/>
    <w:rsid w:val="008C0668"/>
    <w:rsid w:val="008F7BAB"/>
    <w:rsid w:val="0090116F"/>
    <w:rsid w:val="00912B01"/>
    <w:rsid w:val="009437E0"/>
    <w:rsid w:val="00A24DA0"/>
    <w:rsid w:val="00A94B34"/>
    <w:rsid w:val="00AC4B91"/>
    <w:rsid w:val="00AD1085"/>
    <w:rsid w:val="00B2123C"/>
    <w:rsid w:val="00B23E19"/>
    <w:rsid w:val="00BA1A4C"/>
    <w:rsid w:val="00BB2349"/>
    <w:rsid w:val="00C433C0"/>
    <w:rsid w:val="00C916C7"/>
    <w:rsid w:val="00CD2B4C"/>
    <w:rsid w:val="00CD6A55"/>
    <w:rsid w:val="00D11FFB"/>
    <w:rsid w:val="00D26612"/>
    <w:rsid w:val="00D41E39"/>
    <w:rsid w:val="00E65008"/>
    <w:rsid w:val="00EE32F2"/>
    <w:rsid w:val="00EE6099"/>
    <w:rsid w:val="00F63824"/>
    <w:rsid w:val="00FD39A4"/>
    <w:rsid w:val="00FD7BD8"/>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DC1B652-B21E-4A6A-A809-2293C79FB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ofieldchar">
    <w:name w:val="o_field_char"/>
    <w:basedOn w:val="DefaultParagraphFont"/>
    <w:rsid w:val="00397E1D"/>
  </w:style>
  <w:style w:type="character" w:customStyle="1" w:styleId="blue-tooltip">
    <w:name w:val="blue-tooltip"/>
    <w:basedOn w:val="DefaultParagraphFont"/>
    <w:rsid w:val="00286666"/>
  </w:style>
  <w:style w:type="character" w:styleId="Hyperlink">
    <w:name w:val="Hyperlink"/>
    <w:basedOn w:val="DefaultParagraphFont"/>
    <w:uiPriority w:val="99"/>
    <w:semiHidden/>
    <w:unhideWhenUsed/>
    <w:rsid w:val="00286666"/>
    <w:rPr>
      <w:color w:val="0000FF"/>
      <w:u w:val="single"/>
    </w:rPr>
  </w:style>
  <w:style w:type="character" w:customStyle="1" w:styleId="authors-info">
    <w:name w:val="authors-info"/>
    <w:basedOn w:val="DefaultParagraphFont"/>
    <w:rsid w:val="00056A8C"/>
  </w:style>
  <w:style w:type="paragraph" w:styleId="NormalWeb">
    <w:name w:val="Normal (Web)"/>
    <w:basedOn w:val="Normal"/>
    <w:uiPriority w:val="99"/>
    <w:semiHidden/>
    <w:unhideWhenUsed/>
    <w:rsid w:val="00056A8C"/>
    <w:pPr>
      <w:spacing w:before="100" w:beforeAutospacing="1" w:after="100" w:afterAutospacing="1" w:line="240" w:lineRule="auto"/>
    </w:pPr>
    <w:rPr>
      <w:rFonts w:ascii="Times New Roman" w:eastAsia="Times New Roman" w:hAnsi="Times New Roman" w:cs="Times New Roman"/>
      <w:sz w:val="24"/>
      <w:szCs w:val="24"/>
      <w:lang w:bidi="bn-BD"/>
    </w:rPr>
  </w:style>
  <w:style w:type="character" w:customStyle="1" w:styleId="c-bibliographic-informationvalue">
    <w:name w:val="c-bibliographic-information__value"/>
    <w:basedOn w:val="DefaultParagraphFont"/>
    <w:rsid w:val="00253B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2373900">
      <w:bodyDiv w:val="1"/>
      <w:marLeft w:val="0"/>
      <w:marRight w:val="0"/>
      <w:marTop w:val="0"/>
      <w:marBottom w:val="0"/>
      <w:divBdr>
        <w:top w:val="none" w:sz="0" w:space="0" w:color="auto"/>
        <w:left w:val="none" w:sz="0" w:space="0" w:color="auto"/>
        <w:bottom w:val="none" w:sz="0" w:space="0" w:color="auto"/>
        <w:right w:val="none" w:sz="0" w:space="0" w:color="auto"/>
      </w:divBdr>
      <w:divsChild>
        <w:div w:id="1386568272">
          <w:marLeft w:val="0"/>
          <w:marRight w:val="0"/>
          <w:marTop w:val="0"/>
          <w:marBottom w:val="0"/>
          <w:divBdr>
            <w:top w:val="none" w:sz="0" w:space="0" w:color="auto"/>
            <w:left w:val="none" w:sz="0" w:space="0" w:color="auto"/>
            <w:bottom w:val="none" w:sz="0" w:space="0" w:color="auto"/>
            <w:right w:val="none" w:sz="0" w:space="0" w:color="auto"/>
          </w:divBdr>
          <w:divsChild>
            <w:div w:id="1333951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2657627">
      <w:bodyDiv w:val="1"/>
      <w:marLeft w:val="0"/>
      <w:marRight w:val="0"/>
      <w:marTop w:val="0"/>
      <w:marBottom w:val="0"/>
      <w:divBdr>
        <w:top w:val="none" w:sz="0" w:space="0" w:color="auto"/>
        <w:left w:val="none" w:sz="0" w:space="0" w:color="auto"/>
        <w:bottom w:val="none" w:sz="0" w:space="0" w:color="auto"/>
        <w:right w:val="none" w:sz="0" w:space="0" w:color="auto"/>
      </w:divBdr>
    </w:div>
    <w:div w:id="1760522111">
      <w:bodyDiv w:val="1"/>
      <w:marLeft w:val="0"/>
      <w:marRight w:val="0"/>
      <w:marTop w:val="0"/>
      <w:marBottom w:val="0"/>
      <w:divBdr>
        <w:top w:val="none" w:sz="0" w:space="0" w:color="auto"/>
        <w:left w:val="none" w:sz="0" w:space="0" w:color="auto"/>
        <w:bottom w:val="none" w:sz="0" w:space="0" w:color="auto"/>
        <w:right w:val="none" w:sz="0" w:space="0" w:color="auto"/>
      </w:divBdr>
      <w:divsChild>
        <w:div w:id="800266894">
          <w:marLeft w:val="0"/>
          <w:marRight w:val="0"/>
          <w:marTop w:val="0"/>
          <w:marBottom w:val="0"/>
          <w:divBdr>
            <w:top w:val="none" w:sz="0" w:space="0" w:color="auto"/>
            <w:left w:val="none" w:sz="0" w:space="0" w:color="auto"/>
            <w:bottom w:val="none" w:sz="0" w:space="0" w:color="auto"/>
            <w:right w:val="none" w:sz="0" w:space="0" w:color="auto"/>
          </w:divBdr>
          <w:divsChild>
            <w:div w:id="19818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link.springer.com/article/10.1007/s11356-023-25889-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335</Words>
  <Characters>1910</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3</cp:revision>
  <dcterms:created xsi:type="dcterms:W3CDTF">2024-04-21T04:17:00Z</dcterms:created>
  <dcterms:modified xsi:type="dcterms:W3CDTF">2024-04-21T06:08:00Z</dcterms:modified>
</cp:coreProperties>
</file>