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847973" w:rsidRDefault="00847973">
      <w:pPr>
        <w:rPr>
          <w:rStyle w:val="blue-tooltip"/>
          <w:bCs/>
          <w:sz w:val="40"/>
          <w:szCs w:val="40"/>
        </w:rPr>
      </w:pPr>
      <w:r w:rsidRPr="00847973">
        <w:rPr>
          <w:rStyle w:val="blue-tooltip"/>
          <w:bCs/>
          <w:sz w:val="40"/>
          <w:szCs w:val="40"/>
        </w:rPr>
        <w:t xml:space="preserve">A Study </w:t>
      </w:r>
      <w:bookmarkStart w:id="0" w:name="_GoBack"/>
      <w:bookmarkEnd w:id="0"/>
      <w:r w:rsidR="00773C00" w:rsidRPr="00847973">
        <w:rPr>
          <w:rStyle w:val="blue-tooltip"/>
          <w:bCs/>
          <w:sz w:val="40"/>
          <w:szCs w:val="40"/>
        </w:rPr>
        <w:t>into</w:t>
      </w:r>
      <w:r w:rsidRPr="00847973">
        <w:rPr>
          <w:rStyle w:val="blue-tooltip"/>
          <w:bCs/>
          <w:sz w:val="40"/>
          <w:szCs w:val="40"/>
        </w:rPr>
        <w:t xml:space="preserve"> the Long-Overlooked Carcinogenic Radon in Bottled Water and Deep Well Water in Dhaka, Bangladesh</w:t>
      </w:r>
    </w:p>
    <w:p w:rsidR="00847973" w:rsidRDefault="00847973" w:rsidP="00847973">
      <w:pPr>
        <w:rPr>
          <w:rStyle w:val="blue-tooltip"/>
          <w:rFonts w:asciiTheme="majorHAnsi" w:hAnsiTheme="majorHAnsi" w:cstheme="majorHAnsi"/>
          <w:b/>
          <w:bCs/>
          <w:sz w:val="24"/>
          <w:szCs w:val="24"/>
        </w:rPr>
      </w:pPr>
    </w:p>
    <w:p w:rsidR="00847973" w:rsidRPr="00847973" w:rsidRDefault="00056A8C" w:rsidP="00847973">
      <w:pPr>
        <w:jc w:val="both"/>
        <w:rPr>
          <w:rFonts w:cstheme="minorHAnsi"/>
          <w:color w:val="0070C0"/>
          <w:sz w:val="24"/>
          <w:szCs w:val="24"/>
        </w:rPr>
      </w:pPr>
      <w:r w:rsidRPr="00847973">
        <w:rPr>
          <w:rStyle w:val="blue-tooltip"/>
          <w:rFonts w:cstheme="minorHAnsi"/>
          <w:b/>
          <w:bCs/>
          <w:sz w:val="24"/>
          <w:szCs w:val="24"/>
        </w:rPr>
        <w:t xml:space="preserve">Author: </w:t>
      </w:r>
      <w:r w:rsidR="009437E0" w:rsidRPr="00847973">
        <w:rPr>
          <w:rStyle w:val="blue-tooltip"/>
          <w:rFonts w:cstheme="minorHAnsi"/>
          <w:color w:val="0070C0"/>
          <w:sz w:val="24"/>
          <w:szCs w:val="24"/>
        </w:rPr>
        <w:t xml:space="preserve"> </w:t>
      </w:r>
      <w:proofErr w:type="spellStart"/>
      <w:r w:rsidR="00847973" w:rsidRPr="00847973">
        <w:rPr>
          <w:rStyle w:val="blue-tooltip"/>
          <w:rFonts w:cstheme="minorHAnsi"/>
          <w:color w:val="0070C0"/>
          <w:sz w:val="24"/>
          <w:szCs w:val="24"/>
        </w:rPr>
        <w:t>Jubaier</w:t>
      </w:r>
      <w:proofErr w:type="spellEnd"/>
      <w:r w:rsidR="00847973" w:rsidRPr="00847973">
        <w:rPr>
          <w:rStyle w:val="blue-tooltip"/>
          <w:rFonts w:cstheme="minorHAnsi"/>
          <w:color w:val="0070C0"/>
          <w:sz w:val="24"/>
          <w:szCs w:val="24"/>
        </w:rPr>
        <w:t xml:space="preserve"> Al Mahmud, </w:t>
      </w:r>
      <w:hyperlink r:id="rId4" w:history="1">
        <w:r w:rsidR="00847973" w:rsidRPr="00847973">
          <w:rPr>
            <w:rStyle w:val="Hyperlink"/>
            <w:rFonts w:cstheme="minorHAnsi"/>
            <w:color w:val="0070C0"/>
            <w:sz w:val="24"/>
            <w:szCs w:val="24"/>
            <w:u w:val="none"/>
          </w:rPr>
          <w:t xml:space="preserve">M. M. </w:t>
        </w:r>
        <w:proofErr w:type="spellStart"/>
        <w:r w:rsidR="00847973" w:rsidRPr="00847973">
          <w:rPr>
            <w:rStyle w:val="Hyperlink"/>
            <w:rFonts w:cstheme="minorHAnsi"/>
            <w:color w:val="0070C0"/>
            <w:sz w:val="24"/>
            <w:szCs w:val="24"/>
            <w:u w:val="none"/>
          </w:rPr>
          <w:t>Mahfuz</w:t>
        </w:r>
        <w:proofErr w:type="spellEnd"/>
        <w:r w:rsidR="00847973" w:rsidRPr="00847973">
          <w:rPr>
            <w:rStyle w:val="Hyperlink"/>
            <w:rFonts w:cstheme="minorHAnsi"/>
            <w:color w:val="0070C0"/>
            <w:sz w:val="24"/>
            <w:szCs w:val="24"/>
            <w:u w:val="none"/>
          </w:rPr>
          <w:t xml:space="preserve"> </w:t>
        </w:r>
        <w:proofErr w:type="spellStart"/>
        <w:r w:rsidR="00847973" w:rsidRPr="00847973">
          <w:rPr>
            <w:rStyle w:val="Hyperlink"/>
            <w:rFonts w:cstheme="minorHAnsi"/>
            <w:color w:val="0070C0"/>
            <w:sz w:val="24"/>
            <w:szCs w:val="24"/>
            <w:u w:val="none"/>
          </w:rPr>
          <w:t>Siraz</w:t>
        </w:r>
      </w:hyperlink>
      <w:r w:rsidR="00847973" w:rsidRPr="00847973">
        <w:rPr>
          <w:rFonts w:cstheme="minorHAnsi"/>
          <w:color w:val="0070C0"/>
          <w:sz w:val="24"/>
          <w:szCs w:val="24"/>
        </w:rPr>
        <w:t>,</w:t>
      </w:r>
      <w:hyperlink r:id="rId5" w:history="1">
        <w:r w:rsidR="00847973" w:rsidRPr="00847973">
          <w:rPr>
            <w:rStyle w:val="Hyperlink"/>
            <w:rFonts w:cstheme="minorHAnsi"/>
            <w:color w:val="0070C0"/>
            <w:sz w:val="24"/>
            <w:szCs w:val="24"/>
            <w:u w:val="none"/>
          </w:rPr>
          <w:t>Mohammad</w:t>
        </w:r>
        <w:proofErr w:type="spellEnd"/>
        <w:r w:rsidR="00847973" w:rsidRPr="00847973">
          <w:rPr>
            <w:rStyle w:val="Hyperlink"/>
            <w:rFonts w:cstheme="minorHAnsi"/>
            <w:color w:val="0070C0"/>
            <w:sz w:val="24"/>
            <w:szCs w:val="24"/>
            <w:u w:val="none"/>
          </w:rPr>
          <w:t xml:space="preserve"> </w:t>
        </w:r>
        <w:proofErr w:type="spellStart"/>
        <w:r w:rsidR="00847973" w:rsidRPr="00847973">
          <w:rPr>
            <w:rStyle w:val="Hyperlink"/>
            <w:rFonts w:cstheme="minorHAnsi"/>
            <w:color w:val="0070C0"/>
            <w:sz w:val="24"/>
            <w:szCs w:val="24"/>
            <w:u w:val="none"/>
          </w:rPr>
          <w:t>Shafiqul</w:t>
        </w:r>
        <w:proofErr w:type="spellEnd"/>
        <w:r w:rsidR="00847973" w:rsidRPr="00847973">
          <w:rPr>
            <w:rStyle w:val="Hyperlink"/>
            <w:rFonts w:cstheme="minorHAnsi"/>
            <w:color w:val="0070C0"/>
            <w:sz w:val="24"/>
            <w:szCs w:val="24"/>
            <w:u w:val="none"/>
          </w:rPr>
          <w:t xml:space="preserve"> </w:t>
        </w:r>
        <w:proofErr w:type="spellStart"/>
        <w:r w:rsidR="00847973" w:rsidRPr="00847973">
          <w:rPr>
            <w:rStyle w:val="Hyperlink"/>
            <w:rFonts w:cstheme="minorHAnsi"/>
            <w:color w:val="0070C0"/>
            <w:sz w:val="24"/>
            <w:szCs w:val="24"/>
            <w:u w:val="none"/>
          </w:rPr>
          <w:t>Alam</w:t>
        </w:r>
        <w:proofErr w:type="spellEnd"/>
      </w:hyperlink>
      <w:r w:rsidR="00847973" w:rsidRPr="00847973">
        <w:rPr>
          <w:rFonts w:cstheme="minorHAnsi"/>
          <w:color w:val="0070C0"/>
          <w:sz w:val="24"/>
          <w:szCs w:val="24"/>
        </w:rPr>
        <w:t xml:space="preserve">, </w:t>
      </w:r>
      <w:hyperlink r:id="rId6" w:history="1">
        <w:proofErr w:type="spellStart"/>
        <w:r w:rsidR="00847973" w:rsidRPr="00847973">
          <w:rPr>
            <w:rStyle w:val="Hyperlink"/>
            <w:rFonts w:cstheme="minorHAnsi"/>
            <w:color w:val="0070C0"/>
            <w:sz w:val="24"/>
            <w:szCs w:val="24"/>
            <w:u w:val="none"/>
          </w:rPr>
          <w:t>Sudeb</w:t>
        </w:r>
        <w:proofErr w:type="spellEnd"/>
        <w:r w:rsidR="00847973" w:rsidRPr="00847973">
          <w:rPr>
            <w:rStyle w:val="Hyperlink"/>
            <w:rFonts w:cstheme="minorHAnsi"/>
            <w:color w:val="0070C0"/>
            <w:sz w:val="24"/>
            <w:szCs w:val="24"/>
            <w:u w:val="none"/>
          </w:rPr>
          <w:t xml:space="preserve"> Chandra Das</w:t>
        </w:r>
      </w:hyperlink>
      <w:r w:rsidR="00847973" w:rsidRPr="00847973">
        <w:rPr>
          <w:rFonts w:cstheme="minorHAnsi"/>
          <w:color w:val="0070C0"/>
          <w:sz w:val="24"/>
          <w:szCs w:val="24"/>
        </w:rPr>
        <w:t xml:space="preserve">, </w:t>
      </w:r>
      <w:hyperlink r:id="rId7" w:history="1">
        <w:r w:rsidR="00847973" w:rsidRPr="00847973">
          <w:rPr>
            <w:rStyle w:val="Hyperlink"/>
            <w:rFonts w:cstheme="minorHAnsi"/>
            <w:color w:val="0070C0"/>
            <w:sz w:val="24"/>
            <w:szCs w:val="24"/>
            <w:u w:val="none"/>
          </w:rPr>
          <w:t>David Andrew Bradley</w:t>
        </w:r>
      </w:hyperlink>
      <w:r w:rsidR="00847973" w:rsidRPr="00847973">
        <w:rPr>
          <w:rFonts w:cstheme="minorHAnsi"/>
          <w:color w:val="0070C0"/>
          <w:sz w:val="24"/>
          <w:szCs w:val="24"/>
        </w:rPr>
        <w:t xml:space="preserve">, </w:t>
      </w:r>
      <w:hyperlink r:id="rId8" w:history="1">
        <w:proofErr w:type="spellStart"/>
        <w:r w:rsidR="00847973" w:rsidRPr="00847973">
          <w:rPr>
            <w:rStyle w:val="Hyperlink"/>
            <w:rFonts w:cstheme="minorHAnsi"/>
            <w:color w:val="0070C0"/>
            <w:sz w:val="24"/>
            <w:szCs w:val="24"/>
            <w:u w:val="none"/>
          </w:rPr>
          <w:t>Mayeen</w:t>
        </w:r>
        <w:proofErr w:type="spellEnd"/>
        <w:r w:rsidR="00847973" w:rsidRPr="00847973">
          <w:rPr>
            <w:rStyle w:val="Hyperlink"/>
            <w:rFonts w:cstheme="minorHAnsi"/>
            <w:color w:val="0070C0"/>
            <w:sz w:val="24"/>
            <w:szCs w:val="24"/>
            <w:u w:val="none"/>
          </w:rPr>
          <w:t xml:space="preserve"> Uddin </w:t>
        </w:r>
        <w:proofErr w:type="spellStart"/>
        <w:r w:rsidR="00847973" w:rsidRPr="00847973">
          <w:rPr>
            <w:rStyle w:val="Hyperlink"/>
            <w:rFonts w:cstheme="minorHAnsi"/>
            <w:color w:val="0070C0"/>
            <w:sz w:val="24"/>
            <w:szCs w:val="24"/>
            <w:u w:val="none"/>
          </w:rPr>
          <w:t>Khandaker</w:t>
        </w:r>
        <w:proofErr w:type="spellEnd"/>
      </w:hyperlink>
      <w:r w:rsidR="00847973" w:rsidRPr="00847973">
        <w:rPr>
          <w:rFonts w:cstheme="minorHAnsi"/>
          <w:color w:val="0070C0"/>
          <w:sz w:val="24"/>
          <w:szCs w:val="24"/>
        </w:rPr>
        <w:t xml:space="preserve">, </w:t>
      </w:r>
      <w:hyperlink r:id="rId9" w:history="1">
        <w:r w:rsidR="00847973" w:rsidRPr="00847973">
          <w:rPr>
            <w:rStyle w:val="Hyperlink"/>
            <w:rFonts w:cstheme="minorHAnsi"/>
            <w:color w:val="0070C0"/>
            <w:sz w:val="24"/>
            <w:szCs w:val="24"/>
            <w:u w:val="none"/>
          </w:rPr>
          <w:t xml:space="preserve">Shinji </w:t>
        </w:r>
        <w:proofErr w:type="spellStart"/>
        <w:r w:rsidR="00847973" w:rsidRPr="00847973">
          <w:rPr>
            <w:rStyle w:val="Hyperlink"/>
            <w:rFonts w:cstheme="minorHAnsi"/>
            <w:color w:val="0070C0"/>
            <w:sz w:val="24"/>
            <w:szCs w:val="24"/>
            <w:u w:val="none"/>
          </w:rPr>
          <w:t>Tokonami</w:t>
        </w:r>
        <w:proofErr w:type="spellEnd"/>
      </w:hyperlink>
      <w:r w:rsidR="00847973" w:rsidRPr="00847973">
        <w:rPr>
          <w:rFonts w:cstheme="minorHAnsi"/>
          <w:color w:val="0070C0"/>
          <w:sz w:val="24"/>
          <w:szCs w:val="24"/>
        </w:rPr>
        <w:t xml:space="preserve">, </w:t>
      </w:r>
      <w:hyperlink r:id="rId10" w:history="1">
        <w:proofErr w:type="spellStart"/>
        <w:r w:rsidR="00847973" w:rsidRPr="00847973">
          <w:rPr>
            <w:rStyle w:val="Hyperlink"/>
            <w:rFonts w:cstheme="minorHAnsi"/>
            <w:color w:val="0070C0"/>
            <w:sz w:val="24"/>
            <w:szCs w:val="24"/>
            <w:u w:val="none"/>
          </w:rPr>
          <w:t>Afroza</w:t>
        </w:r>
        <w:proofErr w:type="spellEnd"/>
        <w:r w:rsidR="00847973" w:rsidRPr="00847973">
          <w:rPr>
            <w:rStyle w:val="Hyperlink"/>
            <w:rFonts w:cstheme="minorHAnsi"/>
            <w:color w:val="0070C0"/>
            <w:sz w:val="24"/>
            <w:szCs w:val="24"/>
            <w:u w:val="none"/>
          </w:rPr>
          <w:t xml:space="preserve"> Shelley</w:t>
        </w:r>
      </w:hyperlink>
      <w:r w:rsidR="00847973" w:rsidRPr="00847973">
        <w:rPr>
          <w:rFonts w:cstheme="minorHAnsi"/>
          <w:color w:val="0070C0"/>
          <w:sz w:val="24"/>
          <w:szCs w:val="24"/>
        </w:rPr>
        <w:t xml:space="preserve">, </w:t>
      </w:r>
      <w:hyperlink r:id="rId11" w:history="1">
        <w:r w:rsidR="00847973" w:rsidRPr="00847973">
          <w:rPr>
            <w:rStyle w:val="Hyperlink"/>
            <w:rFonts w:cstheme="minorHAnsi"/>
            <w:color w:val="0070C0"/>
            <w:sz w:val="24"/>
            <w:szCs w:val="24"/>
            <w:u w:val="none"/>
          </w:rPr>
          <w:t xml:space="preserve">Selina </w:t>
        </w:r>
        <w:proofErr w:type="spellStart"/>
        <w:r w:rsidR="00847973" w:rsidRPr="00847973">
          <w:rPr>
            <w:rStyle w:val="Hyperlink"/>
            <w:rFonts w:cstheme="minorHAnsi"/>
            <w:color w:val="0070C0"/>
            <w:sz w:val="24"/>
            <w:szCs w:val="24"/>
            <w:u w:val="none"/>
          </w:rPr>
          <w:t>Yeasmin</w:t>
        </w:r>
        <w:proofErr w:type="spellEnd"/>
      </w:hyperlink>
    </w:p>
    <w:p w:rsidR="00056A8C" w:rsidRPr="00847973" w:rsidRDefault="00056A8C" w:rsidP="00847973">
      <w:pPr>
        <w:jc w:val="both"/>
        <w:rPr>
          <w:rStyle w:val="blue-tooltip"/>
          <w:rFonts w:cstheme="minorHAnsi"/>
          <w:b/>
          <w:color w:val="0070C0"/>
          <w:sz w:val="24"/>
          <w:szCs w:val="24"/>
        </w:rPr>
      </w:pPr>
    </w:p>
    <w:p w:rsidR="00286666" w:rsidRPr="00847973" w:rsidRDefault="00286666" w:rsidP="00847973">
      <w:pPr>
        <w:jc w:val="both"/>
        <w:rPr>
          <w:rStyle w:val="blue-tooltip"/>
          <w:rFonts w:cstheme="minorHAnsi"/>
          <w:b/>
          <w:sz w:val="24"/>
          <w:szCs w:val="24"/>
        </w:rPr>
      </w:pPr>
      <w:r w:rsidRPr="00847973">
        <w:rPr>
          <w:rStyle w:val="blue-tooltip"/>
          <w:rFonts w:cstheme="minorHAnsi"/>
          <w:b/>
          <w:sz w:val="24"/>
          <w:szCs w:val="24"/>
        </w:rPr>
        <w:t xml:space="preserve">Abstract: </w:t>
      </w:r>
      <w:r w:rsidR="00C433C0" w:rsidRPr="00847973">
        <w:rPr>
          <w:rStyle w:val="blue-tooltip"/>
          <w:rFonts w:cstheme="minorHAnsi"/>
          <w:b/>
          <w:sz w:val="24"/>
          <w:szCs w:val="24"/>
        </w:rPr>
        <w:t xml:space="preserve"> </w:t>
      </w:r>
      <w:r w:rsidR="004F276A" w:rsidRPr="00847973">
        <w:rPr>
          <w:rStyle w:val="blue-tooltip"/>
          <w:rFonts w:cstheme="minorHAnsi"/>
          <w:b/>
          <w:sz w:val="24"/>
          <w:szCs w:val="24"/>
        </w:rPr>
        <w:t xml:space="preserve"> </w:t>
      </w:r>
    </w:p>
    <w:p w:rsidR="00847973" w:rsidRPr="00847973" w:rsidRDefault="00847973" w:rsidP="00847973">
      <w:pPr>
        <w:jc w:val="both"/>
        <w:rPr>
          <w:rStyle w:val="blue-tooltip"/>
          <w:rFonts w:cstheme="minorHAnsi"/>
          <w:b/>
          <w:sz w:val="24"/>
          <w:szCs w:val="24"/>
        </w:rPr>
      </w:pPr>
      <w:r w:rsidRPr="00847973">
        <w:rPr>
          <w:rFonts w:cstheme="minorHAnsi"/>
          <w:sz w:val="24"/>
          <w:szCs w:val="24"/>
        </w:rPr>
        <w:t>Radon (222Rn), a radioactive and gaseous progeny of Uranium (238U) decay series, accounts for almost 50% of the total background radiation in our dwelling environment. Inhalation and ingestion of radon in excessive amounts pose serious health effects to humans. The first-ever measurement of radon concentration in commercial bottled water available in Dhaka city and deep well water samples from the campus of the University of Dhaka was carried out using the RAD7 Radon monitoring system. The concentration of radon in the bottled water ranged from 0.11 </w:t>
      </w:r>
      <w:proofErr w:type="spellStart"/>
      <w:r w:rsidRPr="00847973">
        <w:rPr>
          <w:rFonts w:cstheme="minorHAnsi"/>
          <w:sz w:val="24"/>
          <w:szCs w:val="24"/>
        </w:rPr>
        <w:t>Bq</w:t>
      </w:r>
      <w:proofErr w:type="spellEnd"/>
      <w:r w:rsidRPr="00847973">
        <w:rPr>
          <w:rFonts w:cstheme="minorHAnsi"/>
          <w:sz w:val="24"/>
          <w:szCs w:val="24"/>
        </w:rPr>
        <w:t>/L to 1.30 </w:t>
      </w:r>
      <w:proofErr w:type="spellStart"/>
      <w:r w:rsidRPr="00847973">
        <w:rPr>
          <w:rFonts w:cstheme="minorHAnsi"/>
          <w:sz w:val="24"/>
          <w:szCs w:val="24"/>
        </w:rPr>
        <w:t>Bq</w:t>
      </w:r>
      <w:proofErr w:type="spellEnd"/>
      <w:r w:rsidRPr="00847973">
        <w:rPr>
          <w:rFonts w:cstheme="minorHAnsi"/>
          <w:sz w:val="24"/>
          <w:szCs w:val="24"/>
        </w:rPr>
        <w:t>/L with a mean of 0.59 </w:t>
      </w:r>
      <w:proofErr w:type="spellStart"/>
      <w:r w:rsidRPr="00847973">
        <w:rPr>
          <w:rFonts w:cstheme="minorHAnsi"/>
          <w:sz w:val="24"/>
          <w:szCs w:val="24"/>
        </w:rPr>
        <w:t>Bq</w:t>
      </w:r>
      <w:proofErr w:type="spellEnd"/>
      <w:r w:rsidRPr="00847973">
        <w:rPr>
          <w:rFonts w:cstheme="minorHAnsi"/>
          <w:sz w:val="24"/>
          <w:szCs w:val="24"/>
        </w:rPr>
        <w:t>/L, and the deep well water showed a mean of 4.88 </w:t>
      </w:r>
      <w:proofErr w:type="spellStart"/>
      <w:r w:rsidRPr="00847973">
        <w:rPr>
          <w:rFonts w:cstheme="minorHAnsi"/>
          <w:sz w:val="24"/>
          <w:szCs w:val="24"/>
        </w:rPr>
        <w:t>Bq</w:t>
      </w:r>
      <w:proofErr w:type="spellEnd"/>
      <w:r w:rsidRPr="00847973">
        <w:rPr>
          <w:rFonts w:cstheme="minorHAnsi"/>
          <w:sz w:val="24"/>
          <w:szCs w:val="24"/>
        </w:rPr>
        <w:t>/L with a range of 3.02 </w:t>
      </w:r>
      <w:proofErr w:type="spellStart"/>
      <w:r w:rsidRPr="00847973">
        <w:rPr>
          <w:rFonts w:cstheme="minorHAnsi"/>
          <w:sz w:val="24"/>
          <w:szCs w:val="24"/>
        </w:rPr>
        <w:t>Bq</w:t>
      </w:r>
      <w:proofErr w:type="spellEnd"/>
      <w:r w:rsidRPr="00847973">
        <w:rPr>
          <w:rFonts w:cstheme="minorHAnsi"/>
          <w:sz w:val="24"/>
          <w:szCs w:val="24"/>
        </w:rPr>
        <w:t>/L to 5.98 </w:t>
      </w:r>
      <w:proofErr w:type="spellStart"/>
      <w:r w:rsidRPr="00847973">
        <w:rPr>
          <w:rFonts w:cstheme="minorHAnsi"/>
          <w:sz w:val="24"/>
          <w:szCs w:val="24"/>
        </w:rPr>
        <w:t>Bq</w:t>
      </w:r>
      <w:proofErr w:type="spellEnd"/>
      <w:r w:rsidRPr="00847973">
        <w:rPr>
          <w:rFonts w:cstheme="minorHAnsi"/>
          <w:sz w:val="24"/>
          <w:szCs w:val="24"/>
        </w:rPr>
        <w:t>/L. All twenty-five samples of water had radon concentrations within the recommended limits of USEPA and WHO. The mean annual effective doses from radon in bottled water and deep well water were evaluated to be 0.126 µ</w:t>
      </w:r>
      <w:proofErr w:type="spellStart"/>
      <w:r w:rsidRPr="00847973">
        <w:rPr>
          <w:rFonts w:cstheme="minorHAnsi"/>
          <w:sz w:val="24"/>
          <w:szCs w:val="24"/>
        </w:rPr>
        <w:t>Sv</w:t>
      </w:r>
      <w:proofErr w:type="spellEnd"/>
      <w:r w:rsidRPr="00847973">
        <w:rPr>
          <w:rFonts w:cstheme="minorHAnsi"/>
          <w:sz w:val="24"/>
          <w:szCs w:val="24"/>
        </w:rPr>
        <w:t>/y and 12.481 µ</w:t>
      </w:r>
      <w:proofErr w:type="spellStart"/>
      <w:r w:rsidRPr="00847973">
        <w:rPr>
          <w:rFonts w:cstheme="minorHAnsi"/>
          <w:sz w:val="24"/>
          <w:szCs w:val="24"/>
        </w:rPr>
        <w:t>Sv</w:t>
      </w:r>
      <w:proofErr w:type="spellEnd"/>
      <w:r w:rsidRPr="00847973">
        <w:rPr>
          <w:rFonts w:cstheme="minorHAnsi"/>
          <w:sz w:val="24"/>
          <w:szCs w:val="24"/>
        </w:rPr>
        <w:t>/y, respectively. Although the calculated doses indicate the least potential risk according to WHO and UNSCEAR, however, it is expected that the present results play an important role in setting up a national guideline for radon in drinking water, and the monitoring of radon for the safety of public health.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847973" w:rsidTr="009437E0">
        <w:trPr>
          <w:tblCellSpacing w:w="15" w:type="dxa"/>
        </w:trPr>
        <w:tc>
          <w:tcPr>
            <w:tcW w:w="0" w:type="auto"/>
            <w:vAlign w:val="center"/>
          </w:tcPr>
          <w:p w:rsidR="00056A8C" w:rsidRPr="00847973" w:rsidRDefault="00056A8C" w:rsidP="00847973">
            <w:pPr>
              <w:spacing w:after="0" w:line="240" w:lineRule="auto"/>
              <w:jc w:val="both"/>
              <w:rPr>
                <w:rFonts w:eastAsia="Times New Roman" w:cstheme="minorHAnsi"/>
                <w:sz w:val="24"/>
                <w:szCs w:val="24"/>
                <w:lang w:bidi="bn-BD"/>
              </w:rPr>
            </w:pPr>
          </w:p>
        </w:tc>
        <w:tc>
          <w:tcPr>
            <w:tcW w:w="5000" w:type="pct"/>
            <w:vAlign w:val="center"/>
          </w:tcPr>
          <w:p w:rsidR="00056A8C" w:rsidRPr="00847973" w:rsidRDefault="00056A8C" w:rsidP="00847973">
            <w:pPr>
              <w:spacing w:before="100" w:beforeAutospacing="1" w:after="100" w:afterAutospacing="1" w:line="240" w:lineRule="auto"/>
              <w:jc w:val="both"/>
              <w:rPr>
                <w:rFonts w:eastAsia="Times New Roman" w:cstheme="minorHAnsi"/>
                <w:sz w:val="24"/>
                <w:szCs w:val="24"/>
                <w:lang w:bidi="bn-BD"/>
              </w:rPr>
            </w:pPr>
          </w:p>
        </w:tc>
      </w:tr>
    </w:tbl>
    <w:p w:rsidR="000816E0" w:rsidRPr="00847973" w:rsidRDefault="000816E0" w:rsidP="00847973">
      <w:pPr>
        <w:spacing w:before="150" w:after="150" w:line="240" w:lineRule="auto"/>
        <w:jc w:val="both"/>
        <w:rPr>
          <w:rFonts w:cstheme="minorHAnsi"/>
          <w:b/>
          <w:bCs/>
          <w:color w:val="4C4C4C"/>
          <w:sz w:val="24"/>
          <w:szCs w:val="24"/>
          <w:shd w:val="clear" w:color="auto" w:fill="FFFFFF"/>
        </w:rPr>
      </w:pPr>
      <w:r w:rsidRPr="00847973">
        <w:rPr>
          <w:rFonts w:cstheme="minorHAnsi"/>
          <w:b/>
          <w:bCs/>
          <w:color w:val="4C4C4C"/>
          <w:sz w:val="24"/>
          <w:szCs w:val="24"/>
          <w:shd w:val="clear" w:color="auto" w:fill="FFFFFF"/>
        </w:rPr>
        <w:t>Conference / Journal Link:</w:t>
      </w:r>
    </w:p>
    <w:bookmarkStart w:id="1" w:name="cj_link"/>
    <w:p w:rsidR="00847973" w:rsidRPr="00847973" w:rsidRDefault="00847973" w:rsidP="00847973">
      <w:pPr>
        <w:spacing w:before="150" w:after="150" w:line="240" w:lineRule="auto"/>
        <w:jc w:val="both"/>
        <w:rPr>
          <w:rFonts w:cstheme="minorHAnsi"/>
          <w:b/>
          <w:bCs/>
          <w:color w:val="0070C0"/>
          <w:sz w:val="24"/>
          <w:szCs w:val="24"/>
          <w:shd w:val="clear" w:color="auto" w:fill="FFFFFF"/>
        </w:rPr>
      </w:pPr>
      <w:r w:rsidRPr="00847973">
        <w:rPr>
          <w:rFonts w:cstheme="minorHAnsi"/>
          <w:color w:val="0070C0"/>
          <w:sz w:val="24"/>
          <w:szCs w:val="24"/>
        </w:rPr>
        <w:fldChar w:fldCharType="begin"/>
      </w:r>
      <w:r w:rsidRPr="00847973">
        <w:rPr>
          <w:rFonts w:cstheme="minorHAnsi"/>
          <w:color w:val="0070C0"/>
          <w:sz w:val="24"/>
          <w:szCs w:val="24"/>
        </w:rPr>
        <w:instrText xml:space="preserve"> HYPERLINK "https://www.tandfonline.com/doi/abs/10.1080/03067319.2022.2163895?journalCode=geac20" \t "_blank" </w:instrText>
      </w:r>
      <w:r w:rsidRPr="00847973">
        <w:rPr>
          <w:rFonts w:cstheme="minorHAnsi"/>
          <w:color w:val="0070C0"/>
          <w:sz w:val="24"/>
          <w:szCs w:val="24"/>
        </w:rPr>
        <w:fldChar w:fldCharType="separate"/>
      </w:r>
      <w:r w:rsidRPr="00847973">
        <w:rPr>
          <w:rStyle w:val="Hyperlink"/>
          <w:rFonts w:cstheme="minorHAnsi"/>
          <w:color w:val="0070C0"/>
          <w:sz w:val="24"/>
          <w:szCs w:val="24"/>
          <w:u w:val="none"/>
        </w:rPr>
        <w:t>https://www.tandfonline.com/doi/abs/10.1080/03067319.2022.2163895?journalCode</w:t>
      </w:r>
      <w:r w:rsidRPr="00847973">
        <w:rPr>
          <w:rFonts w:cstheme="minorHAnsi"/>
          <w:color w:val="0070C0"/>
          <w:sz w:val="24"/>
          <w:szCs w:val="24"/>
        </w:rPr>
        <w:fldChar w:fldCharType="end"/>
      </w:r>
      <w:bookmarkEnd w:id="1"/>
    </w:p>
    <w:p w:rsidR="000816E0" w:rsidRPr="00847973" w:rsidRDefault="000816E0" w:rsidP="00847973">
      <w:pPr>
        <w:spacing w:before="150"/>
        <w:jc w:val="both"/>
        <w:rPr>
          <w:rFonts w:cstheme="minorHAnsi"/>
          <w:b/>
          <w:color w:val="4C4C4C"/>
          <w:sz w:val="24"/>
          <w:szCs w:val="24"/>
        </w:rPr>
      </w:pPr>
      <w:r w:rsidRPr="00847973">
        <w:rPr>
          <w:rFonts w:cstheme="minorHAnsi"/>
          <w:b/>
          <w:color w:val="4C4C4C"/>
          <w:sz w:val="24"/>
          <w:szCs w:val="24"/>
        </w:rPr>
        <w:t>DOI:</w:t>
      </w:r>
    </w:p>
    <w:p w:rsidR="00847973" w:rsidRPr="00847973" w:rsidRDefault="00847973" w:rsidP="00847973">
      <w:pPr>
        <w:spacing w:before="150"/>
        <w:jc w:val="both"/>
        <w:rPr>
          <w:rFonts w:cstheme="minorHAnsi"/>
          <w:b/>
          <w:color w:val="0070C0"/>
          <w:sz w:val="24"/>
          <w:szCs w:val="24"/>
        </w:rPr>
      </w:pPr>
      <w:hyperlink r:id="rId12" w:history="1">
        <w:r w:rsidRPr="00847973">
          <w:rPr>
            <w:rStyle w:val="Hyperlink"/>
            <w:rFonts w:cstheme="minorHAnsi"/>
            <w:color w:val="0070C0"/>
            <w:sz w:val="24"/>
            <w:szCs w:val="24"/>
            <w:u w:val="none"/>
          </w:rPr>
          <w:t>https://doi.org/10.1080/03067319.2022.2163895</w:t>
        </w:r>
      </w:hyperlink>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40441"/>
    <w:rsid w:val="00056A8C"/>
    <w:rsid w:val="000816E0"/>
    <w:rsid w:val="000C0475"/>
    <w:rsid w:val="00103261"/>
    <w:rsid w:val="0010426F"/>
    <w:rsid w:val="001D5399"/>
    <w:rsid w:val="001F7B56"/>
    <w:rsid w:val="00215958"/>
    <w:rsid w:val="00225D3F"/>
    <w:rsid w:val="00286666"/>
    <w:rsid w:val="002D5FDC"/>
    <w:rsid w:val="00383B0C"/>
    <w:rsid w:val="00397E1D"/>
    <w:rsid w:val="003D59CD"/>
    <w:rsid w:val="004F276A"/>
    <w:rsid w:val="004F707F"/>
    <w:rsid w:val="005241A4"/>
    <w:rsid w:val="00542D8F"/>
    <w:rsid w:val="00597AC0"/>
    <w:rsid w:val="005A50A4"/>
    <w:rsid w:val="005E4D36"/>
    <w:rsid w:val="00655110"/>
    <w:rsid w:val="00680E6F"/>
    <w:rsid w:val="00760E88"/>
    <w:rsid w:val="00773C00"/>
    <w:rsid w:val="007A2B06"/>
    <w:rsid w:val="00821EA2"/>
    <w:rsid w:val="00847973"/>
    <w:rsid w:val="008659B7"/>
    <w:rsid w:val="008B4C75"/>
    <w:rsid w:val="008C0668"/>
    <w:rsid w:val="008F7BAB"/>
    <w:rsid w:val="0090116F"/>
    <w:rsid w:val="00912B01"/>
    <w:rsid w:val="009437E0"/>
    <w:rsid w:val="00A24DA0"/>
    <w:rsid w:val="00A94B34"/>
    <w:rsid w:val="00AC4B91"/>
    <w:rsid w:val="00AD1085"/>
    <w:rsid w:val="00B2123C"/>
    <w:rsid w:val="00B23E19"/>
    <w:rsid w:val="00BA1A4C"/>
    <w:rsid w:val="00BB2349"/>
    <w:rsid w:val="00C433C0"/>
    <w:rsid w:val="00C916C7"/>
    <w:rsid w:val="00CD2B4C"/>
    <w:rsid w:val="00CD6A55"/>
    <w:rsid w:val="00D11FFB"/>
    <w:rsid w:val="00D26612"/>
    <w:rsid w:val="00D41E39"/>
    <w:rsid w:val="00E65008"/>
    <w:rsid w:val="00EE32F2"/>
    <w:rsid w:val="00EE6099"/>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nlmcontrib-group">
    <w:name w:val="nlm_contrib-group"/>
    <w:basedOn w:val="DefaultParagraphFont"/>
    <w:rsid w:val="00847973"/>
  </w:style>
  <w:style w:type="character" w:customStyle="1" w:styleId="contribdegrees">
    <w:name w:val="contribdegrees"/>
    <w:basedOn w:val="DefaultParagraphFont"/>
    <w:rsid w:val="00847973"/>
  </w:style>
  <w:style w:type="character" w:customStyle="1" w:styleId="overlay">
    <w:name w:val="overlay"/>
    <w:basedOn w:val="DefaultParagraphFont"/>
    <w:rsid w:val="00847973"/>
  </w:style>
  <w:style w:type="character" w:customStyle="1" w:styleId="orcid-icon">
    <w:name w:val="orcid-icon"/>
    <w:basedOn w:val="DefaultParagraphFont"/>
    <w:rsid w:val="008479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579422">
      <w:bodyDiv w:val="1"/>
      <w:marLeft w:val="0"/>
      <w:marRight w:val="0"/>
      <w:marTop w:val="0"/>
      <w:marBottom w:val="0"/>
      <w:divBdr>
        <w:top w:val="none" w:sz="0" w:space="0" w:color="auto"/>
        <w:left w:val="none" w:sz="0" w:space="0" w:color="auto"/>
        <w:bottom w:val="none" w:sz="0" w:space="0" w:color="auto"/>
        <w:right w:val="none" w:sz="0" w:space="0" w:color="auto"/>
      </w:divBdr>
      <w:divsChild>
        <w:div w:id="1816727085">
          <w:marLeft w:val="0"/>
          <w:marRight w:val="0"/>
          <w:marTop w:val="0"/>
          <w:marBottom w:val="0"/>
          <w:divBdr>
            <w:top w:val="none" w:sz="0" w:space="0" w:color="auto"/>
            <w:left w:val="none" w:sz="0" w:space="0" w:color="auto"/>
            <w:bottom w:val="none" w:sz="0" w:space="0" w:color="auto"/>
            <w:right w:val="none" w:sz="0" w:space="0" w:color="auto"/>
          </w:divBdr>
        </w:div>
        <w:div w:id="1317346511">
          <w:marLeft w:val="0"/>
          <w:marRight w:val="0"/>
          <w:marTop w:val="0"/>
          <w:marBottom w:val="0"/>
          <w:divBdr>
            <w:top w:val="none" w:sz="0" w:space="0" w:color="auto"/>
            <w:left w:val="none" w:sz="0" w:space="0" w:color="auto"/>
            <w:bottom w:val="none" w:sz="0" w:space="0" w:color="auto"/>
            <w:right w:val="none" w:sz="0" w:space="0" w:color="auto"/>
          </w:divBdr>
        </w:div>
        <w:div w:id="990403809">
          <w:marLeft w:val="0"/>
          <w:marRight w:val="0"/>
          <w:marTop w:val="0"/>
          <w:marBottom w:val="0"/>
          <w:divBdr>
            <w:top w:val="none" w:sz="0" w:space="0" w:color="auto"/>
            <w:left w:val="none" w:sz="0" w:space="0" w:color="auto"/>
            <w:bottom w:val="none" w:sz="0" w:space="0" w:color="auto"/>
            <w:right w:val="none" w:sz="0" w:space="0" w:color="auto"/>
          </w:divBdr>
        </w:div>
        <w:div w:id="1126775724">
          <w:marLeft w:val="0"/>
          <w:marRight w:val="0"/>
          <w:marTop w:val="0"/>
          <w:marBottom w:val="0"/>
          <w:divBdr>
            <w:top w:val="none" w:sz="0" w:space="0" w:color="auto"/>
            <w:left w:val="none" w:sz="0" w:space="0" w:color="auto"/>
            <w:bottom w:val="none" w:sz="0" w:space="0" w:color="auto"/>
            <w:right w:val="none" w:sz="0" w:space="0" w:color="auto"/>
          </w:divBdr>
        </w:div>
        <w:div w:id="1397313918">
          <w:marLeft w:val="0"/>
          <w:marRight w:val="0"/>
          <w:marTop w:val="0"/>
          <w:marBottom w:val="0"/>
          <w:divBdr>
            <w:top w:val="none" w:sz="0" w:space="0" w:color="auto"/>
            <w:left w:val="none" w:sz="0" w:space="0" w:color="auto"/>
            <w:bottom w:val="none" w:sz="0" w:space="0" w:color="auto"/>
            <w:right w:val="none" w:sz="0" w:space="0" w:color="auto"/>
          </w:divBdr>
        </w:div>
        <w:div w:id="2014070554">
          <w:marLeft w:val="0"/>
          <w:marRight w:val="0"/>
          <w:marTop w:val="0"/>
          <w:marBottom w:val="0"/>
          <w:divBdr>
            <w:top w:val="none" w:sz="0" w:space="0" w:color="auto"/>
            <w:left w:val="none" w:sz="0" w:space="0" w:color="auto"/>
            <w:bottom w:val="none" w:sz="0" w:space="0" w:color="auto"/>
            <w:right w:val="none" w:sz="0" w:space="0" w:color="auto"/>
          </w:divBdr>
        </w:div>
        <w:div w:id="1291323070">
          <w:marLeft w:val="0"/>
          <w:marRight w:val="0"/>
          <w:marTop w:val="0"/>
          <w:marBottom w:val="0"/>
          <w:divBdr>
            <w:top w:val="none" w:sz="0" w:space="0" w:color="auto"/>
            <w:left w:val="none" w:sz="0" w:space="0" w:color="auto"/>
            <w:bottom w:val="none" w:sz="0" w:space="0" w:color="auto"/>
            <w:right w:val="none" w:sz="0" w:space="0" w:color="auto"/>
          </w:divBdr>
        </w:div>
        <w:div w:id="929041576">
          <w:marLeft w:val="0"/>
          <w:marRight w:val="0"/>
          <w:marTop w:val="0"/>
          <w:marBottom w:val="0"/>
          <w:divBdr>
            <w:top w:val="none" w:sz="0" w:space="0" w:color="auto"/>
            <w:left w:val="none" w:sz="0" w:space="0" w:color="auto"/>
            <w:bottom w:val="none" w:sz="0" w:space="0" w:color="auto"/>
            <w:right w:val="none" w:sz="0" w:space="0" w:color="auto"/>
          </w:divBdr>
        </w:div>
        <w:div w:id="2683913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Khandaker%2C+Mayeen+Uddi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andfonline.com/author/Bradley%2C+David+Andrew" TargetMode="External"/><Relationship Id="rId12" Type="http://schemas.openxmlformats.org/officeDocument/2006/relationships/hyperlink" Target="https://doi.org/10.1080/03067319.2022.216389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author/Das%2C+Sudeb+Chandra" TargetMode="External"/><Relationship Id="rId11" Type="http://schemas.openxmlformats.org/officeDocument/2006/relationships/hyperlink" Target="https://www.tandfonline.com/author/Yeasmin%2C+Selina" TargetMode="External"/><Relationship Id="rId5" Type="http://schemas.openxmlformats.org/officeDocument/2006/relationships/hyperlink" Target="https://www.tandfonline.com/author/Alam%2C+Mohammad+Shafiqul" TargetMode="External"/><Relationship Id="rId10" Type="http://schemas.openxmlformats.org/officeDocument/2006/relationships/hyperlink" Target="https://www.tandfonline.com/author/Shelley%2C+Afroza" TargetMode="External"/><Relationship Id="rId4" Type="http://schemas.openxmlformats.org/officeDocument/2006/relationships/hyperlink" Target="https://www.tandfonline.com/author/Siraz%2C+M+M+Mahfuz" TargetMode="External"/><Relationship Id="rId9" Type="http://schemas.openxmlformats.org/officeDocument/2006/relationships/hyperlink" Target="https://www.tandfonline.com/author/Tokonami%2C+Shinj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367</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2024-04-21T04:17:00Z</dcterms:created>
  <dcterms:modified xsi:type="dcterms:W3CDTF">2024-04-21T06:50:00Z</dcterms:modified>
</cp:coreProperties>
</file>