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3A1E9F" w:rsidRDefault="003A1E9F">
      <w:pPr>
        <w:rPr>
          <w:rStyle w:val="blue-tooltip"/>
          <w:bCs/>
          <w:sz w:val="40"/>
          <w:szCs w:val="40"/>
        </w:rPr>
      </w:pPr>
      <w:r w:rsidRPr="003A1E9F">
        <w:rPr>
          <w:rStyle w:val="blue-tooltip"/>
          <w:bCs/>
          <w:sz w:val="40"/>
          <w:szCs w:val="40"/>
        </w:rPr>
        <w:t xml:space="preserve">A Symmetric Plus-Shape Resonator Based Dual Band Perfect </w:t>
      </w:r>
      <w:proofErr w:type="spellStart"/>
      <w:r w:rsidRPr="003A1E9F">
        <w:rPr>
          <w:rStyle w:val="blue-tooltip"/>
          <w:bCs/>
          <w:sz w:val="40"/>
          <w:szCs w:val="40"/>
        </w:rPr>
        <w:t>Metamaterial</w:t>
      </w:r>
      <w:proofErr w:type="spellEnd"/>
      <w:r w:rsidRPr="003A1E9F">
        <w:rPr>
          <w:rStyle w:val="blue-tooltip"/>
          <w:bCs/>
          <w:sz w:val="40"/>
          <w:szCs w:val="40"/>
        </w:rPr>
        <w:t xml:space="preserve"> Absorber for Ku Band Wireless Applications</w:t>
      </w:r>
    </w:p>
    <w:p w:rsidR="003A1E9F" w:rsidRDefault="003A1E9F" w:rsidP="003A1E9F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</w:p>
    <w:p w:rsidR="003A1E9F" w:rsidRPr="003A1E9F" w:rsidRDefault="00056A8C" w:rsidP="003A1E9F">
      <w:pPr>
        <w:jc w:val="both"/>
        <w:rPr>
          <w:rFonts w:eastAsia="Times New Roman" w:cstheme="minorHAnsi"/>
          <w:color w:val="0070C0"/>
          <w:sz w:val="24"/>
          <w:szCs w:val="24"/>
        </w:rPr>
      </w:pPr>
      <w:r w:rsidRPr="003A1E9F">
        <w:rPr>
          <w:rStyle w:val="blue-tooltip"/>
          <w:rFonts w:cstheme="minorHAnsi"/>
          <w:b/>
          <w:bCs/>
          <w:sz w:val="24"/>
          <w:szCs w:val="24"/>
        </w:rPr>
        <w:t xml:space="preserve">Author: </w:t>
      </w:r>
      <w:r w:rsidR="009437E0" w:rsidRPr="003A1E9F">
        <w:rPr>
          <w:rStyle w:val="blue-tooltip"/>
          <w:rFonts w:cstheme="minorHAnsi"/>
          <w:color w:val="0070C0"/>
          <w:sz w:val="24"/>
          <w:szCs w:val="24"/>
        </w:rPr>
        <w:t xml:space="preserve"> </w:t>
      </w:r>
      <w:proofErr w:type="spellStart"/>
      <w:r w:rsidR="003A1E9F" w:rsidRPr="003A1E9F">
        <w:rPr>
          <w:rFonts w:eastAsia="Times New Roman" w:cstheme="minorHAnsi"/>
          <w:color w:val="0070C0"/>
          <w:sz w:val="24"/>
          <w:szCs w:val="24"/>
        </w:rPr>
        <w:t>Md</w:t>
      </w:r>
      <w:proofErr w:type="spellEnd"/>
      <w:r w:rsidR="003A1E9F" w:rsidRPr="003A1E9F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3A1E9F" w:rsidRPr="003A1E9F">
        <w:rPr>
          <w:rFonts w:eastAsia="Times New Roman" w:cstheme="minorHAnsi"/>
          <w:color w:val="0070C0"/>
          <w:sz w:val="24"/>
          <w:szCs w:val="24"/>
        </w:rPr>
        <w:t>Shakibul</w:t>
      </w:r>
      <w:proofErr w:type="spellEnd"/>
      <w:r w:rsidR="003A1E9F" w:rsidRPr="003A1E9F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3A1E9F" w:rsidRPr="003A1E9F">
        <w:rPr>
          <w:rFonts w:eastAsia="Times New Roman" w:cstheme="minorHAnsi"/>
          <w:color w:val="0070C0"/>
          <w:sz w:val="24"/>
          <w:szCs w:val="24"/>
        </w:rPr>
        <w:t>Hasan</w:t>
      </w:r>
      <w:proofErr w:type="spellEnd"/>
      <w:r w:rsidR="003A1E9F" w:rsidRPr="003A1E9F">
        <w:rPr>
          <w:rFonts w:eastAsia="Times New Roman" w:cstheme="minorHAnsi"/>
          <w:color w:val="0070C0"/>
          <w:sz w:val="24"/>
          <w:szCs w:val="24"/>
        </w:rPr>
        <w:t xml:space="preserve">, Mohammad </w:t>
      </w:r>
      <w:proofErr w:type="spellStart"/>
      <w:r w:rsidR="003A1E9F" w:rsidRPr="003A1E9F">
        <w:rPr>
          <w:rFonts w:eastAsia="Times New Roman" w:cstheme="minorHAnsi"/>
          <w:color w:val="0070C0"/>
          <w:sz w:val="24"/>
          <w:szCs w:val="24"/>
        </w:rPr>
        <w:t>Tariqul</w:t>
      </w:r>
      <w:proofErr w:type="spellEnd"/>
      <w:r w:rsidR="003A1E9F" w:rsidRPr="003A1E9F">
        <w:rPr>
          <w:rFonts w:eastAsia="Times New Roman" w:cstheme="minorHAnsi"/>
          <w:color w:val="0070C0"/>
          <w:sz w:val="24"/>
          <w:szCs w:val="24"/>
        </w:rPr>
        <w:t xml:space="preserve"> Islam, </w:t>
      </w:r>
      <w:proofErr w:type="spellStart"/>
      <w:r w:rsidR="003A1E9F" w:rsidRPr="003A1E9F">
        <w:rPr>
          <w:rFonts w:eastAsia="Times New Roman" w:cstheme="minorHAnsi"/>
          <w:color w:val="0070C0"/>
          <w:sz w:val="24"/>
          <w:szCs w:val="24"/>
        </w:rPr>
        <w:t>Md</w:t>
      </w:r>
      <w:proofErr w:type="spellEnd"/>
      <w:r w:rsidR="003A1E9F" w:rsidRPr="003A1E9F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="003A1E9F" w:rsidRPr="003A1E9F">
        <w:rPr>
          <w:rFonts w:eastAsia="Times New Roman" w:cstheme="minorHAnsi"/>
          <w:color w:val="0070C0"/>
          <w:sz w:val="24"/>
          <w:szCs w:val="24"/>
        </w:rPr>
        <w:t>Moniruzzaman</w:t>
      </w:r>
      <w:proofErr w:type="spellEnd"/>
    </w:p>
    <w:p w:rsidR="003A1E9F" w:rsidRPr="003A1E9F" w:rsidRDefault="003A1E9F" w:rsidP="003A1E9F">
      <w:pPr>
        <w:jc w:val="both"/>
        <w:rPr>
          <w:rFonts w:eastAsia="Times New Roman" w:cstheme="minorHAnsi"/>
          <w:color w:val="0070C0"/>
          <w:sz w:val="24"/>
          <w:szCs w:val="24"/>
        </w:rPr>
      </w:pP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Md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Samsuzzaman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Hatem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Rmili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,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Norbahiah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 Misran,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Md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Kutub</w:t>
      </w:r>
      <w:proofErr w:type="spellEnd"/>
      <w:r w:rsidRPr="003A1E9F">
        <w:rPr>
          <w:rFonts w:eastAsia="Times New Roman" w:cstheme="minorHAnsi"/>
          <w:color w:val="0070C0"/>
          <w:sz w:val="24"/>
          <w:szCs w:val="24"/>
        </w:rPr>
        <w:t xml:space="preserve"> Uddin, Mohamed S. </w:t>
      </w:r>
      <w:proofErr w:type="spellStart"/>
      <w:r w:rsidRPr="003A1E9F">
        <w:rPr>
          <w:rFonts w:eastAsia="Times New Roman" w:cstheme="minorHAnsi"/>
          <w:color w:val="0070C0"/>
          <w:sz w:val="24"/>
          <w:szCs w:val="24"/>
        </w:rPr>
        <w:t>Soliman</w:t>
      </w:r>
      <w:proofErr w:type="spellEnd"/>
    </w:p>
    <w:p w:rsidR="003A1E9F" w:rsidRPr="003A1E9F" w:rsidRDefault="003A1E9F" w:rsidP="003A1E9F">
      <w:pPr>
        <w:jc w:val="both"/>
        <w:rPr>
          <w:rFonts w:eastAsia="Times New Roman" w:cstheme="minorHAnsi"/>
          <w:color w:val="0070C0"/>
          <w:sz w:val="24"/>
          <w:szCs w:val="24"/>
        </w:rPr>
      </w:pPr>
    </w:p>
    <w:p w:rsidR="00286666" w:rsidRPr="003A1E9F" w:rsidRDefault="00286666" w:rsidP="003A1E9F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3A1E9F">
        <w:rPr>
          <w:rStyle w:val="blue-tooltip"/>
          <w:rFonts w:cstheme="minorHAnsi"/>
          <w:b/>
          <w:sz w:val="24"/>
          <w:szCs w:val="24"/>
        </w:rPr>
        <w:t xml:space="preserve">Abstract: </w:t>
      </w:r>
      <w:r w:rsidR="00C433C0" w:rsidRPr="003A1E9F">
        <w:rPr>
          <w:rStyle w:val="blue-tooltip"/>
          <w:rFonts w:cstheme="minorHAnsi"/>
          <w:b/>
          <w:sz w:val="24"/>
          <w:szCs w:val="24"/>
        </w:rPr>
        <w:t xml:space="preserve"> </w:t>
      </w:r>
      <w:r w:rsidR="004F276A" w:rsidRPr="003A1E9F">
        <w:rPr>
          <w:rStyle w:val="blue-tooltip"/>
          <w:rFonts w:cstheme="minorHAnsi"/>
          <w:b/>
          <w:sz w:val="24"/>
          <w:szCs w:val="24"/>
        </w:rPr>
        <w:t xml:space="preserve"> </w:t>
      </w:r>
    </w:p>
    <w:p w:rsidR="003A1E9F" w:rsidRPr="003A1E9F" w:rsidRDefault="003A1E9F" w:rsidP="003A1E9F">
      <w:pPr>
        <w:jc w:val="both"/>
        <w:rPr>
          <w:rStyle w:val="blue-tooltip"/>
          <w:rFonts w:cstheme="minorHAnsi"/>
          <w:b/>
          <w:sz w:val="24"/>
          <w:szCs w:val="24"/>
        </w:rPr>
      </w:pPr>
      <w:r w:rsidRPr="003A1E9F">
        <w:rPr>
          <w:rFonts w:cstheme="minorHAnsi"/>
          <w:sz w:val="24"/>
          <w:szCs w:val="24"/>
        </w:rPr>
        <w:t xml:space="preserve">In this article, introduce a </w:t>
      </w:r>
      <w:hyperlink r:id="rId4" w:tooltip="Learn more about metamaterial from ScienceDirect's AI-generated Topic Pages" w:history="1">
        <w:proofErr w:type="spellStart"/>
        <w:r w:rsidRPr="003A1E9F">
          <w:rPr>
            <w:rStyle w:val="Hyperlink"/>
            <w:rFonts w:cstheme="minorHAnsi"/>
            <w:sz w:val="24"/>
            <w:szCs w:val="24"/>
          </w:rPr>
          <w:t>metamaterial</w:t>
        </w:r>
        <w:proofErr w:type="spellEnd"/>
      </w:hyperlink>
      <w:r w:rsidRPr="003A1E9F">
        <w:rPr>
          <w:rFonts w:cstheme="minorHAnsi"/>
          <w:sz w:val="24"/>
          <w:szCs w:val="24"/>
        </w:rPr>
        <w:t xml:space="preserve"> for microwave absorber applications based on a variant of the symmetric plus-shape </w:t>
      </w:r>
      <w:hyperlink r:id="rId5" w:tooltip="Learn more about resonator from ScienceDirect's AI-generated Topic Pages" w:history="1">
        <w:r w:rsidRPr="003A1E9F">
          <w:rPr>
            <w:rStyle w:val="Hyperlink"/>
            <w:rFonts w:cstheme="minorHAnsi"/>
            <w:sz w:val="24"/>
            <w:szCs w:val="24"/>
          </w:rPr>
          <w:t>resonator</w:t>
        </w:r>
      </w:hyperlink>
      <w:r w:rsidRPr="003A1E9F">
        <w:rPr>
          <w:rFonts w:cstheme="minorHAnsi"/>
          <w:sz w:val="24"/>
          <w:szCs w:val="24"/>
        </w:rPr>
        <w:t xml:space="preserve">. This MA has two absorption peaks, making it suitable for Ku frequency band use. The MA unit cell built on a cheap FR4 substrate. The unit cell's </w:t>
      </w:r>
      <w:hyperlink r:id="rId6" w:tooltip="Learn more about resonator from ScienceDirect's AI-generated Topic Pages" w:history="1">
        <w:r w:rsidRPr="003A1E9F">
          <w:rPr>
            <w:rStyle w:val="Hyperlink"/>
            <w:rFonts w:cstheme="minorHAnsi"/>
            <w:sz w:val="24"/>
            <w:szCs w:val="24"/>
          </w:rPr>
          <w:t>resonator</w:t>
        </w:r>
      </w:hyperlink>
      <w:r w:rsidRPr="003A1E9F">
        <w:rPr>
          <w:rFonts w:cstheme="minorHAnsi"/>
          <w:sz w:val="24"/>
          <w:szCs w:val="24"/>
        </w:rPr>
        <w:t xml:space="preserve"> is designed in the form of a four-plus-shape with an eight-square-point in one of the corners, and its dimensions have been tweaked to achieve maximum absorption peaks of 99.04%, and 99.90% at 12.32 GHz, and 16.00 GHz, respectively. </w:t>
      </w:r>
      <w:proofErr w:type="spellStart"/>
      <w:r w:rsidRPr="003A1E9F">
        <w:rPr>
          <w:rFonts w:cstheme="minorHAnsi"/>
          <w:sz w:val="24"/>
          <w:szCs w:val="24"/>
        </w:rPr>
        <w:t>Analysing</w:t>
      </w:r>
      <w:proofErr w:type="spellEnd"/>
      <w:r w:rsidRPr="003A1E9F">
        <w:rPr>
          <w:rFonts w:cstheme="minorHAnsi"/>
          <w:sz w:val="24"/>
          <w:szCs w:val="24"/>
        </w:rPr>
        <w:t xml:space="preserve"> the surface current, electric and magnetic fields, permittivity, permeability, and </w:t>
      </w:r>
      <w:proofErr w:type="spellStart"/>
      <w:r w:rsidRPr="003A1E9F">
        <w:rPr>
          <w:rFonts w:cstheme="minorHAnsi"/>
          <w:sz w:val="24"/>
          <w:szCs w:val="24"/>
        </w:rPr>
        <w:t>normalised</w:t>
      </w:r>
      <w:proofErr w:type="spellEnd"/>
      <w:r w:rsidRPr="003A1E9F">
        <w:rPr>
          <w:rFonts w:cstheme="minorHAnsi"/>
          <w:sz w:val="24"/>
          <w:szCs w:val="24"/>
        </w:rPr>
        <w:t xml:space="preserve"> impedance provides insight into the nature of </w:t>
      </w:r>
      <w:hyperlink r:id="rId7" w:tooltip="Learn more about metamaterial from ScienceDirect's AI-generated Topic Pages" w:history="1">
        <w:proofErr w:type="spellStart"/>
        <w:r w:rsidRPr="003A1E9F">
          <w:rPr>
            <w:rStyle w:val="Hyperlink"/>
            <w:rFonts w:cstheme="minorHAnsi"/>
            <w:sz w:val="24"/>
            <w:szCs w:val="24"/>
          </w:rPr>
          <w:t>metamaterial</w:t>
        </w:r>
        <w:proofErr w:type="spellEnd"/>
      </w:hyperlink>
      <w:r w:rsidRPr="003A1E9F">
        <w:rPr>
          <w:rFonts w:cstheme="minorHAnsi"/>
          <w:sz w:val="24"/>
          <w:szCs w:val="24"/>
        </w:rPr>
        <w:t xml:space="preserve"> and absorber. The incidence and polarization angle insensitivity of the suggested dual-band absorber allows for pretty much constant absorbance efficiency when the angle is changed. Moreover, for both TE mode and TM mode, the developed </w:t>
      </w:r>
      <w:proofErr w:type="spellStart"/>
      <w:r w:rsidRPr="003A1E9F">
        <w:rPr>
          <w:rFonts w:cstheme="minorHAnsi"/>
          <w:sz w:val="24"/>
          <w:szCs w:val="24"/>
        </w:rPr>
        <w:t>metamaterial</w:t>
      </w:r>
      <w:proofErr w:type="spellEnd"/>
      <w:r w:rsidRPr="003A1E9F">
        <w:rPr>
          <w:rFonts w:cstheme="minorHAnsi"/>
          <w:sz w:val="24"/>
          <w:szCs w:val="24"/>
        </w:rPr>
        <w:t xml:space="preserve"> absorber demonstrates near unity absorption for polarization and oblique incident angles up to 90°. These are single negative </w:t>
      </w:r>
      <w:proofErr w:type="spellStart"/>
      <w:r w:rsidRPr="003A1E9F">
        <w:rPr>
          <w:rFonts w:cstheme="minorHAnsi"/>
          <w:sz w:val="24"/>
          <w:szCs w:val="24"/>
        </w:rPr>
        <w:t>metamaterial</w:t>
      </w:r>
      <w:proofErr w:type="spellEnd"/>
      <w:r w:rsidRPr="003A1E9F">
        <w:rPr>
          <w:rFonts w:cstheme="minorHAnsi"/>
          <w:sz w:val="24"/>
          <w:szCs w:val="24"/>
        </w:rPr>
        <w:t xml:space="preserve"> qualities. The fact that the patch as a whole is rotationally symmetrical is one of the most important factors in determining whether or not it will retain its polarization-insensitive quality. Because of its outstanding insensitivity performance and nearly perfect absorption, it could be a good option for use in Ku band applications.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"/>
        <w:gridCol w:w="9279"/>
      </w:tblGrid>
      <w:tr w:rsidR="00056A8C" w:rsidRPr="003A1E9F" w:rsidTr="009437E0">
        <w:trPr>
          <w:tblCellSpacing w:w="15" w:type="dxa"/>
        </w:trPr>
        <w:tc>
          <w:tcPr>
            <w:tcW w:w="0" w:type="auto"/>
            <w:vAlign w:val="center"/>
          </w:tcPr>
          <w:p w:rsidR="00056A8C" w:rsidRPr="003A1E9F" w:rsidRDefault="00056A8C" w:rsidP="003A1E9F">
            <w:pPr>
              <w:spacing w:after="0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  <w:tc>
          <w:tcPr>
            <w:tcW w:w="5000" w:type="pct"/>
            <w:vAlign w:val="center"/>
          </w:tcPr>
          <w:p w:rsidR="00056A8C" w:rsidRPr="003A1E9F" w:rsidRDefault="00056A8C" w:rsidP="003A1E9F">
            <w:pPr>
              <w:spacing w:before="100" w:beforeAutospacing="1" w:after="100" w:afterAutospacing="1" w:line="240" w:lineRule="auto"/>
              <w:jc w:val="both"/>
              <w:rPr>
                <w:rFonts w:eastAsia="Times New Roman" w:cstheme="minorHAnsi"/>
                <w:sz w:val="24"/>
                <w:szCs w:val="24"/>
                <w:lang w:bidi="bn-BD"/>
              </w:rPr>
            </w:pPr>
          </w:p>
        </w:tc>
      </w:tr>
    </w:tbl>
    <w:p w:rsidR="000816E0" w:rsidRPr="003A1E9F" w:rsidRDefault="000816E0" w:rsidP="003A1E9F">
      <w:pPr>
        <w:jc w:val="both"/>
        <w:rPr>
          <w:rFonts w:cstheme="minorHAnsi"/>
          <w:sz w:val="24"/>
          <w:szCs w:val="24"/>
        </w:rPr>
      </w:pPr>
    </w:p>
    <w:p w:rsidR="000816E0" w:rsidRPr="003A1E9F" w:rsidRDefault="000816E0" w:rsidP="003A1E9F">
      <w:pPr>
        <w:spacing w:before="150" w:after="150" w:line="240" w:lineRule="auto"/>
        <w:jc w:val="both"/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</w:pPr>
      <w:r w:rsidRPr="003A1E9F">
        <w:rPr>
          <w:rFonts w:cstheme="minorHAnsi"/>
          <w:b/>
          <w:bCs/>
          <w:color w:val="4C4C4C"/>
          <w:sz w:val="24"/>
          <w:szCs w:val="24"/>
          <w:shd w:val="clear" w:color="auto" w:fill="FFFFFF"/>
        </w:rPr>
        <w:t>Conference / Journal Link:</w:t>
      </w:r>
    </w:p>
    <w:bookmarkStart w:id="0" w:name="cj_link"/>
    <w:p w:rsidR="003A1E9F" w:rsidRPr="003A1E9F" w:rsidRDefault="003A1E9F" w:rsidP="003A1E9F">
      <w:pPr>
        <w:spacing w:before="150" w:after="150" w:line="240" w:lineRule="auto"/>
        <w:jc w:val="both"/>
        <w:rPr>
          <w:rFonts w:cstheme="minorHAnsi"/>
          <w:b/>
          <w:bCs/>
          <w:color w:val="0070C0"/>
          <w:sz w:val="24"/>
          <w:szCs w:val="24"/>
          <w:shd w:val="clear" w:color="auto" w:fill="FFFFFF"/>
        </w:rPr>
      </w:pPr>
      <w:r w:rsidRPr="003A1E9F">
        <w:rPr>
          <w:rFonts w:cstheme="minorHAnsi"/>
          <w:color w:val="0070C0"/>
          <w:sz w:val="24"/>
          <w:szCs w:val="24"/>
        </w:rPr>
        <w:fldChar w:fldCharType="begin"/>
      </w:r>
      <w:r w:rsidRPr="003A1E9F">
        <w:rPr>
          <w:rFonts w:cstheme="minorHAnsi"/>
          <w:color w:val="0070C0"/>
          <w:sz w:val="24"/>
          <w:szCs w:val="24"/>
        </w:rPr>
        <w:instrText xml:space="preserve"> HYPERLINK "https://www.sciencedirect.com/science/article/abs/pii/S0925346723007966" \t "_blank" </w:instrText>
      </w:r>
      <w:r w:rsidRPr="003A1E9F">
        <w:rPr>
          <w:rFonts w:cstheme="minorHAnsi"/>
          <w:color w:val="0070C0"/>
          <w:sz w:val="24"/>
          <w:szCs w:val="24"/>
        </w:rPr>
        <w:fldChar w:fldCharType="separate"/>
      </w:r>
      <w:r w:rsidRPr="003A1E9F">
        <w:rPr>
          <w:rStyle w:val="Hyperlink"/>
          <w:rFonts w:cstheme="minorHAnsi"/>
          <w:color w:val="0070C0"/>
          <w:sz w:val="24"/>
          <w:szCs w:val="24"/>
          <w:u w:val="none"/>
        </w:rPr>
        <w:t>https://www.sciencedirect.com/science/article/abs/pii/S0925346723007966</w:t>
      </w:r>
      <w:r w:rsidRPr="003A1E9F">
        <w:rPr>
          <w:rFonts w:cstheme="minorHAnsi"/>
          <w:color w:val="0070C0"/>
          <w:sz w:val="24"/>
          <w:szCs w:val="24"/>
        </w:rPr>
        <w:fldChar w:fldCharType="end"/>
      </w:r>
      <w:bookmarkEnd w:id="0"/>
    </w:p>
    <w:p w:rsidR="000816E0" w:rsidRPr="003A1E9F" w:rsidRDefault="000816E0" w:rsidP="003A1E9F">
      <w:pPr>
        <w:spacing w:before="150"/>
        <w:jc w:val="both"/>
        <w:rPr>
          <w:rFonts w:cstheme="minorHAnsi"/>
          <w:b/>
          <w:color w:val="4C4C4C"/>
          <w:sz w:val="24"/>
          <w:szCs w:val="24"/>
        </w:rPr>
      </w:pPr>
      <w:r w:rsidRPr="003A1E9F">
        <w:rPr>
          <w:rFonts w:cstheme="minorHAnsi"/>
          <w:b/>
          <w:color w:val="4C4C4C"/>
          <w:sz w:val="24"/>
          <w:szCs w:val="24"/>
        </w:rPr>
        <w:t>DOI:</w:t>
      </w:r>
    </w:p>
    <w:p w:rsidR="003A1E9F" w:rsidRPr="003A1E9F" w:rsidRDefault="003A1E9F" w:rsidP="003A1E9F">
      <w:pPr>
        <w:spacing w:before="150"/>
        <w:jc w:val="both"/>
        <w:rPr>
          <w:rFonts w:cstheme="minorHAnsi"/>
          <w:b/>
          <w:color w:val="0070C0"/>
          <w:sz w:val="24"/>
          <w:szCs w:val="24"/>
        </w:rPr>
      </w:pPr>
      <w:hyperlink r:id="rId8" w:tgtFrame="_blank" w:tooltip="Persistent link using digital object identifier" w:history="1">
        <w:r w:rsidRPr="003A1E9F">
          <w:rPr>
            <w:rStyle w:val="anchor-text"/>
            <w:rFonts w:cstheme="minorHAnsi"/>
            <w:color w:val="0070C0"/>
            <w:sz w:val="24"/>
            <w:szCs w:val="24"/>
          </w:rPr>
          <w:t>https://doi.org/10.1016/j.optmat.2023.114224</w:t>
        </w:r>
      </w:hyperlink>
    </w:p>
    <w:p w:rsidR="000816E0" w:rsidRPr="003A1E9F" w:rsidRDefault="000816E0" w:rsidP="003A1E9F">
      <w:pPr>
        <w:jc w:val="both"/>
        <w:rPr>
          <w:rFonts w:cstheme="minorHAnsi"/>
          <w:sz w:val="24"/>
          <w:szCs w:val="24"/>
        </w:rPr>
      </w:pPr>
    </w:p>
    <w:p w:rsidR="00286666" w:rsidRPr="003A1E9F" w:rsidRDefault="00286666" w:rsidP="003A1E9F">
      <w:pPr>
        <w:jc w:val="both"/>
        <w:rPr>
          <w:rStyle w:val="ofieldchar"/>
          <w:rFonts w:cstheme="minorHAnsi"/>
          <w:sz w:val="24"/>
          <w:szCs w:val="24"/>
        </w:rPr>
      </w:pPr>
      <w:bookmarkStart w:id="1" w:name="_GoBack"/>
      <w:bookmarkEnd w:id="1"/>
    </w:p>
    <w:sectPr w:rsidR="00286666" w:rsidRPr="003A1E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56A8C"/>
    <w:rsid w:val="000816E0"/>
    <w:rsid w:val="000C0475"/>
    <w:rsid w:val="00103261"/>
    <w:rsid w:val="001F7B56"/>
    <w:rsid w:val="00225D3F"/>
    <w:rsid w:val="00286666"/>
    <w:rsid w:val="002D5FDC"/>
    <w:rsid w:val="00383B0C"/>
    <w:rsid w:val="00397E1D"/>
    <w:rsid w:val="003A1E9F"/>
    <w:rsid w:val="003D59CD"/>
    <w:rsid w:val="004F276A"/>
    <w:rsid w:val="005241A4"/>
    <w:rsid w:val="00542D8F"/>
    <w:rsid w:val="00597AC0"/>
    <w:rsid w:val="005A50A4"/>
    <w:rsid w:val="00680E6F"/>
    <w:rsid w:val="007A2B06"/>
    <w:rsid w:val="00821EA2"/>
    <w:rsid w:val="008659B7"/>
    <w:rsid w:val="008B4C75"/>
    <w:rsid w:val="008F7BAB"/>
    <w:rsid w:val="0090116F"/>
    <w:rsid w:val="009437E0"/>
    <w:rsid w:val="00A24DA0"/>
    <w:rsid w:val="00A94B34"/>
    <w:rsid w:val="00AC4B91"/>
    <w:rsid w:val="00AD1085"/>
    <w:rsid w:val="00B2123C"/>
    <w:rsid w:val="00B23E19"/>
    <w:rsid w:val="00BA1A4C"/>
    <w:rsid w:val="00BB2349"/>
    <w:rsid w:val="00C433C0"/>
    <w:rsid w:val="00C916C7"/>
    <w:rsid w:val="00CD6A55"/>
    <w:rsid w:val="00D11FFB"/>
    <w:rsid w:val="00D26612"/>
    <w:rsid w:val="00D41E39"/>
    <w:rsid w:val="00E6500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  <w:style w:type="character" w:customStyle="1" w:styleId="given-name">
    <w:name w:val="given-name"/>
    <w:basedOn w:val="DefaultParagraphFont"/>
    <w:rsid w:val="003A1E9F"/>
  </w:style>
  <w:style w:type="character" w:customStyle="1" w:styleId="text">
    <w:name w:val="text"/>
    <w:basedOn w:val="DefaultParagraphFont"/>
    <w:rsid w:val="003A1E9F"/>
  </w:style>
  <w:style w:type="character" w:customStyle="1" w:styleId="anchor-text">
    <w:name w:val="anchor-text"/>
    <w:basedOn w:val="DefaultParagraphFont"/>
    <w:rsid w:val="003A1E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5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10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10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246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06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67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36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6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2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16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06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0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24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8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8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optmat.2023.11422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sciencedirect.com/topics/physics-and-astronomy/metamateria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ncedirect.com/topics/materials-science/resonator" TargetMode="External"/><Relationship Id="rId5" Type="http://schemas.openxmlformats.org/officeDocument/2006/relationships/hyperlink" Target="https://www.sciencedirect.com/topics/materials-science/resonator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sciencedirect.com/topics/physics-and-astronomy/metamaterial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2024-04-21T04:13:00Z</dcterms:created>
  <dcterms:modified xsi:type="dcterms:W3CDTF">2024-04-22T07:10:00Z</dcterms:modified>
</cp:coreProperties>
</file>