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C00B5" w:rsidRDefault="004C00B5">
      <w:pPr>
        <w:rPr>
          <w:rStyle w:val="blue-tooltip"/>
          <w:bCs/>
          <w:sz w:val="40"/>
          <w:szCs w:val="40"/>
        </w:rPr>
      </w:pPr>
      <w:r w:rsidRPr="004C00B5">
        <w:rPr>
          <w:rStyle w:val="blue-tooltip"/>
          <w:bCs/>
          <w:sz w:val="40"/>
          <w:szCs w:val="40"/>
        </w:rPr>
        <w:t>An Alternative Method for Calculation of Half-Value Layers without the Knowledge of Attenuation Coefficient</w:t>
      </w:r>
    </w:p>
    <w:p w:rsidR="004C00B5" w:rsidRDefault="004C00B5">
      <w:pPr>
        <w:rPr>
          <w:rStyle w:val="blue-tooltip"/>
          <w:rFonts w:asciiTheme="majorHAnsi" w:hAnsiTheme="majorHAnsi" w:cstheme="majorHAnsi"/>
          <w:b/>
          <w:bCs/>
          <w:sz w:val="24"/>
          <w:szCs w:val="24"/>
        </w:rPr>
      </w:pPr>
    </w:p>
    <w:p w:rsidR="004C00B5" w:rsidRPr="004C00B5" w:rsidRDefault="00056A8C" w:rsidP="00107E21">
      <w:pPr>
        <w:jc w:val="both"/>
        <w:rPr>
          <w:rFonts w:eastAsia="Times New Roman" w:cstheme="minorHAnsi"/>
          <w:color w:val="0070C0"/>
          <w:sz w:val="24"/>
          <w:szCs w:val="24"/>
        </w:rPr>
      </w:pPr>
      <w:r w:rsidRPr="004C00B5">
        <w:rPr>
          <w:rStyle w:val="blue-tooltip"/>
          <w:rFonts w:cstheme="minorHAnsi"/>
          <w:b/>
          <w:bCs/>
          <w:sz w:val="24"/>
          <w:szCs w:val="24"/>
        </w:rPr>
        <w:t xml:space="preserve">Author: </w:t>
      </w:r>
      <w:r w:rsidR="009437E0" w:rsidRPr="004C00B5">
        <w:rPr>
          <w:rStyle w:val="blue-tooltip"/>
          <w:rFonts w:cstheme="minorHAnsi"/>
          <w:color w:val="0070C0"/>
          <w:sz w:val="24"/>
          <w:szCs w:val="24"/>
        </w:rPr>
        <w:t xml:space="preserve"> </w:t>
      </w:r>
      <w:r w:rsidR="004C00B5" w:rsidRPr="004C00B5">
        <w:rPr>
          <w:rFonts w:eastAsia="Times New Roman" w:cstheme="minorHAnsi"/>
          <w:color w:val="0070C0"/>
          <w:sz w:val="24"/>
          <w:szCs w:val="24"/>
        </w:rPr>
        <w:t xml:space="preserve">Mehdi </w:t>
      </w:r>
      <w:proofErr w:type="spellStart"/>
      <w:r w:rsidR="004C00B5" w:rsidRPr="004C00B5">
        <w:rPr>
          <w:rFonts w:eastAsia="Times New Roman" w:cstheme="minorHAnsi"/>
          <w:color w:val="0070C0"/>
          <w:sz w:val="24"/>
          <w:szCs w:val="24"/>
        </w:rPr>
        <w:t>Hassanpour</w:t>
      </w:r>
      <w:proofErr w:type="spellEnd"/>
      <w:r w:rsidR="004C00B5" w:rsidRPr="004C00B5">
        <w:rPr>
          <w:rFonts w:eastAsia="Times New Roman" w:cstheme="minorHAnsi"/>
          <w:color w:val="0070C0"/>
          <w:sz w:val="24"/>
          <w:szCs w:val="24"/>
        </w:rPr>
        <w:t xml:space="preserve">, </w:t>
      </w:r>
      <w:proofErr w:type="spellStart"/>
      <w:r w:rsidR="004C00B5" w:rsidRPr="004C00B5">
        <w:rPr>
          <w:rFonts w:eastAsia="Times New Roman" w:cstheme="minorHAnsi"/>
          <w:color w:val="0070C0"/>
          <w:sz w:val="24"/>
          <w:szCs w:val="24"/>
        </w:rPr>
        <w:t>Marzieh</w:t>
      </w:r>
      <w:proofErr w:type="spellEnd"/>
      <w:r w:rsidR="004C00B5" w:rsidRPr="004C00B5">
        <w:rPr>
          <w:rFonts w:eastAsia="Times New Roman" w:cstheme="minorHAnsi"/>
          <w:color w:val="0070C0"/>
          <w:sz w:val="24"/>
          <w:szCs w:val="24"/>
        </w:rPr>
        <w:t xml:space="preserve"> </w:t>
      </w:r>
      <w:proofErr w:type="spellStart"/>
      <w:r w:rsidR="004C00B5" w:rsidRPr="004C00B5">
        <w:rPr>
          <w:rFonts w:eastAsia="Times New Roman" w:cstheme="minorHAnsi"/>
          <w:color w:val="0070C0"/>
          <w:sz w:val="24"/>
          <w:szCs w:val="24"/>
        </w:rPr>
        <w:t>Hassanpour</w:t>
      </w:r>
      <w:proofErr w:type="spellEnd"/>
      <w:r w:rsidR="004C00B5" w:rsidRPr="004C00B5">
        <w:rPr>
          <w:rFonts w:eastAsia="Times New Roman" w:cstheme="minorHAnsi"/>
          <w:color w:val="0070C0"/>
          <w:sz w:val="24"/>
          <w:szCs w:val="24"/>
        </w:rPr>
        <w:t xml:space="preserve">, </w:t>
      </w:r>
      <w:proofErr w:type="spellStart"/>
      <w:r w:rsidR="004C00B5" w:rsidRPr="004C00B5">
        <w:rPr>
          <w:rFonts w:eastAsia="Times New Roman" w:cstheme="minorHAnsi"/>
          <w:color w:val="0070C0"/>
          <w:sz w:val="24"/>
          <w:szCs w:val="24"/>
        </w:rPr>
        <w:t>Mayeen</w:t>
      </w:r>
      <w:proofErr w:type="spellEnd"/>
      <w:r w:rsidR="004C00B5" w:rsidRPr="004C00B5">
        <w:rPr>
          <w:rFonts w:eastAsia="Times New Roman" w:cstheme="minorHAnsi"/>
          <w:color w:val="0070C0"/>
          <w:sz w:val="24"/>
          <w:szCs w:val="24"/>
        </w:rPr>
        <w:t xml:space="preserve"> Uddin </w:t>
      </w:r>
      <w:proofErr w:type="spellStart"/>
      <w:r w:rsidR="004C00B5" w:rsidRPr="004C00B5">
        <w:rPr>
          <w:rFonts w:eastAsia="Times New Roman" w:cstheme="minorHAnsi"/>
          <w:color w:val="0070C0"/>
          <w:sz w:val="24"/>
          <w:szCs w:val="24"/>
        </w:rPr>
        <w:t>Khandaker</w:t>
      </w:r>
      <w:proofErr w:type="spellEnd"/>
      <w:r w:rsidR="004C00B5" w:rsidRPr="004C00B5">
        <w:rPr>
          <w:rFonts w:eastAsia="Times New Roman" w:cstheme="minorHAnsi"/>
          <w:color w:val="0070C0"/>
          <w:sz w:val="24"/>
          <w:szCs w:val="24"/>
        </w:rPr>
        <w:t xml:space="preserve">, Mohammad </w:t>
      </w:r>
      <w:proofErr w:type="spellStart"/>
      <w:r w:rsidR="004C00B5" w:rsidRPr="004C00B5">
        <w:rPr>
          <w:rFonts w:eastAsia="Times New Roman" w:cstheme="minorHAnsi"/>
          <w:color w:val="0070C0"/>
          <w:sz w:val="24"/>
          <w:szCs w:val="24"/>
        </w:rPr>
        <w:t>Rashed</w:t>
      </w:r>
      <w:proofErr w:type="spellEnd"/>
      <w:r w:rsidR="004C00B5" w:rsidRPr="004C00B5">
        <w:rPr>
          <w:rFonts w:eastAsia="Times New Roman" w:cstheme="minorHAnsi"/>
          <w:color w:val="0070C0"/>
          <w:sz w:val="24"/>
          <w:szCs w:val="24"/>
        </w:rPr>
        <w:t xml:space="preserve"> Iqbal </w:t>
      </w:r>
      <w:proofErr w:type="spellStart"/>
      <w:r w:rsidR="004C00B5" w:rsidRPr="004C00B5">
        <w:rPr>
          <w:rFonts w:eastAsia="Times New Roman" w:cstheme="minorHAnsi"/>
          <w:color w:val="0070C0"/>
          <w:sz w:val="24"/>
          <w:szCs w:val="24"/>
        </w:rPr>
        <w:t>Faruque</w:t>
      </w:r>
      <w:proofErr w:type="spellEnd"/>
      <w:r w:rsidR="004C00B5" w:rsidRPr="004C00B5">
        <w:rPr>
          <w:rFonts w:eastAsia="Times New Roman" w:cstheme="minorHAnsi"/>
          <w:color w:val="0070C0"/>
          <w:sz w:val="24"/>
          <w:szCs w:val="24"/>
        </w:rPr>
        <w:t xml:space="preserve">, B. </w:t>
      </w:r>
      <w:proofErr w:type="spellStart"/>
      <w:r w:rsidR="004C00B5" w:rsidRPr="004C00B5">
        <w:rPr>
          <w:rFonts w:eastAsia="Times New Roman" w:cstheme="minorHAnsi"/>
          <w:color w:val="0070C0"/>
          <w:sz w:val="24"/>
          <w:szCs w:val="24"/>
        </w:rPr>
        <w:t>Alshahrani</w:t>
      </w:r>
      <w:proofErr w:type="spellEnd"/>
      <w:r w:rsidR="004C00B5" w:rsidRPr="004C00B5">
        <w:rPr>
          <w:rFonts w:eastAsia="Times New Roman" w:cstheme="minorHAnsi"/>
          <w:color w:val="0070C0"/>
          <w:sz w:val="24"/>
          <w:szCs w:val="24"/>
        </w:rPr>
        <w:t>, Hamid Osman</w:t>
      </w:r>
    </w:p>
    <w:p w:rsidR="004C00B5" w:rsidRPr="004C00B5" w:rsidRDefault="004C00B5" w:rsidP="00107E21">
      <w:pPr>
        <w:jc w:val="both"/>
        <w:rPr>
          <w:rFonts w:eastAsia="Times New Roman" w:cstheme="minorHAnsi"/>
          <w:color w:val="0070C0"/>
          <w:sz w:val="24"/>
          <w:szCs w:val="24"/>
        </w:rPr>
      </w:pPr>
    </w:p>
    <w:p w:rsidR="00286666" w:rsidRPr="004C00B5" w:rsidRDefault="00286666" w:rsidP="00107E21">
      <w:pPr>
        <w:jc w:val="both"/>
        <w:rPr>
          <w:rStyle w:val="blue-tooltip"/>
          <w:rFonts w:cstheme="minorHAnsi"/>
          <w:b/>
          <w:sz w:val="24"/>
          <w:szCs w:val="24"/>
        </w:rPr>
      </w:pPr>
      <w:r w:rsidRPr="004C00B5">
        <w:rPr>
          <w:rStyle w:val="blue-tooltip"/>
          <w:rFonts w:cstheme="minorHAnsi"/>
          <w:b/>
          <w:sz w:val="24"/>
          <w:szCs w:val="24"/>
        </w:rPr>
        <w:t xml:space="preserve">Abstract: </w:t>
      </w:r>
      <w:r w:rsidR="00C433C0" w:rsidRPr="004C00B5">
        <w:rPr>
          <w:rStyle w:val="blue-tooltip"/>
          <w:rFonts w:cstheme="minorHAnsi"/>
          <w:b/>
          <w:sz w:val="24"/>
          <w:szCs w:val="24"/>
        </w:rPr>
        <w:t xml:space="preserve"> </w:t>
      </w:r>
      <w:r w:rsidR="004F276A" w:rsidRPr="004C00B5">
        <w:rPr>
          <w:rStyle w:val="blue-tooltip"/>
          <w:rFonts w:cstheme="minorHAnsi"/>
          <w:b/>
          <w:sz w:val="24"/>
          <w:szCs w:val="24"/>
        </w:rPr>
        <w:t xml:space="preserve"> </w:t>
      </w:r>
    </w:p>
    <w:p w:rsidR="004C00B5" w:rsidRPr="004C00B5" w:rsidRDefault="004C00B5" w:rsidP="00107E21">
      <w:pPr>
        <w:jc w:val="both"/>
        <w:rPr>
          <w:rStyle w:val="blue-tooltip"/>
          <w:rFonts w:cstheme="minorHAnsi"/>
          <w:b/>
          <w:sz w:val="24"/>
          <w:szCs w:val="24"/>
        </w:rPr>
      </w:pPr>
      <w:r w:rsidRPr="004C00B5">
        <w:rPr>
          <w:rFonts w:cstheme="minorHAnsi"/>
          <w:color w:val="2E2E2E"/>
          <w:sz w:val="24"/>
          <w:szCs w:val="24"/>
        </w:rPr>
        <w:t>Radiation protection is crucial for the safe utilization of </w:t>
      </w:r>
      <w:hyperlink r:id="rId4" w:tooltip="Learn more about ionizing radiation from ScienceDirect's AI-generated Topic Pages" w:history="1">
        <w:r w:rsidRPr="004C00B5">
          <w:rPr>
            <w:rStyle w:val="Hyperlink"/>
            <w:rFonts w:cstheme="minorHAnsi"/>
            <w:color w:val="2E2E2E"/>
            <w:sz w:val="24"/>
            <w:szCs w:val="24"/>
          </w:rPr>
          <w:t>ionizing radiation</w:t>
        </w:r>
      </w:hyperlink>
      <w:r w:rsidRPr="004C00B5">
        <w:rPr>
          <w:rFonts w:cstheme="minorHAnsi"/>
          <w:color w:val="2E2E2E"/>
          <w:sz w:val="24"/>
          <w:szCs w:val="24"/>
        </w:rPr>
        <w:t> and minimizing the harmful effect upon exposure, hence some standards have been defined by some relevant organizations for the safe uses of radiation. One of the parameters relevant to the calculation of </w:t>
      </w:r>
      <w:hyperlink r:id="rId5" w:tooltip="Learn more about gamma ray from ScienceDirect's AI-generated Topic Pages" w:history="1">
        <w:r w:rsidRPr="004C00B5">
          <w:rPr>
            <w:rStyle w:val="Hyperlink"/>
            <w:rFonts w:cstheme="minorHAnsi"/>
            <w:color w:val="2E2E2E"/>
            <w:sz w:val="24"/>
            <w:szCs w:val="24"/>
          </w:rPr>
          <w:t>gamma ray</w:t>
        </w:r>
      </w:hyperlink>
      <w:r w:rsidRPr="004C00B5">
        <w:rPr>
          <w:rFonts w:cstheme="minorHAnsi"/>
          <w:color w:val="2E2E2E"/>
          <w:sz w:val="24"/>
          <w:szCs w:val="24"/>
        </w:rPr>
        <w:t> shielding is the half-value layer (HVL), which is normally calculated using the knowledge of linear </w:t>
      </w:r>
      <w:hyperlink r:id="rId6" w:tooltip="Learn more about attenuation coefficient from ScienceDirect's AI-generated Topic Pages" w:history="1">
        <w:r w:rsidRPr="004C00B5">
          <w:rPr>
            <w:rStyle w:val="Hyperlink"/>
            <w:rFonts w:cstheme="minorHAnsi"/>
            <w:color w:val="2E2E2E"/>
            <w:sz w:val="24"/>
            <w:szCs w:val="24"/>
          </w:rPr>
          <w:t>attenuation coefficient</w:t>
        </w:r>
      </w:hyperlink>
      <w:r w:rsidRPr="004C00B5">
        <w:rPr>
          <w:rFonts w:cstheme="minorHAnsi"/>
          <w:color w:val="2E2E2E"/>
          <w:sz w:val="24"/>
          <w:szCs w:val="24"/>
        </w:rPr>
        <w:t xml:space="preserve"> (μ). In this research, an attempt has been made to directly calculate HVL without the knowledge of μ via Monte Carlo simulation technique. For this purpose, in the Monte Carlo N‐Particle </w:t>
      </w:r>
      <w:proofErr w:type="spellStart"/>
      <w:r w:rsidRPr="004C00B5">
        <w:rPr>
          <w:rFonts w:cstheme="minorHAnsi"/>
          <w:color w:val="2E2E2E"/>
          <w:sz w:val="24"/>
          <w:szCs w:val="24"/>
        </w:rPr>
        <w:t>eXtended</w:t>
      </w:r>
      <w:proofErr w:type="spellEnd"/>
      <w:r w:rsidRPr="004C00B5">
        <w:rPr>
          <w:rFonts w:cstheme="minorHAnsi"/>
          <w:color w:val="2E2E2E"/>
          <w:sz w:val="24"/>
          <w:szCs w:val="24"/>
        </w:rPr>
        <w:t xml:space="preserve"> (MCNPX) code, F1, F5 and Mesh </w:t>
      </w:r>
      <w:proofErr w:type="spellStart"/>
      <w:r w:rsidRPr="004C00B5">
        <w:rPr>
          <w:rFonts w:cstheme="minorHAnsi"/>
          <w:color w:val="2E2E2E"/>
          <w:sz w:val="24"/>
          <w:szCs w:val="24"/>
        </w:rPr>
        <w:t>Popul</w:t>
      </w:r>
      <w:proofErr w:type="spellEnd"/>
      <w:r w:rsidRPr="004C00B5">
        <w:rPr>
          <w:rFonts w:cstheme="minorHAnsi"/>
          <w:color w:val="2E2E2E"/>
          <w:sz w:val="24"/>
          <w:szCs w:val="24"/>
        </w:rPr>
        <w:t xml:space="preserve"> sequences tallies were defined and the optimal structure for the least measurement error was introduced. The MCNPX calculated values showed reasonable agreement with the experimental findings. According to the obtained results, it is suggested that in order to reduce the error of HVL calculations, in exchange for the MCNPX code, the values of the R parameter and the radiation angle of the source should be considered according to the calculations introduced in this plan. Because the results show that by considering the measurement error between 6 and 20%, the code output can be cited in different energy ranges.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4C00B5" w:rsidTr="009437E0">
        <w:trPr>
          <w:tblCellSpacing w:w="15" w:type="dxa"/>
        </w:trPr>
        <w:tc>
          <w:tcPr>
            <w:tcW w:w="0" w:type="auto"/>
            <w:vAlign w:val="center"/>
          </w:tcPr>
          <w:p w:rsidR="00056A8C" w:rsidRPr="004C00B5" w:rsidRDefault="00056A8C" w:rsidP="00107E21">
            <w:pPr>
              <w:spacing w:after="0" w:line="240" w:lineRule="auto"/>
              <w:jc w:val="both"/>
              <w:rPr>
                <w:rFonts w:eastAsia="Times New Roman" w:cstheme="minorHAnsi"/>
                <w:sz w:val="24"/>
                <w:szCs w:val="24"/>
                <w:lang w:bidi="bn-BD"/>
              </w:rPr>
            </w:pPr>
          </w:p>
        </w:tc>
        <w:tc>
          <w:tcPr>
            <w:tcW w:w="5000" w:type="pct"/>
            <w:vAlign w:val="center"/>
          </w:tcPr>
          <w:p w:rsidR="00056A8C" w:rsidRPr="004C00B5" w:rsidRDefault="00056A8C" w:rsidP="00107E21">
            <w:pPr>
              <w:spacing w:before="100" w:beforeAutospacing="1" w:after="100" w:afterAutospacing="1" w:line="240" w:lineRule="auto"/>
              <w:jc w:val="both"/>
              <w:rPr>
                <w:rFonts w:eastAsia="Times New Roman" w:cstheme="minorHAnsi"/>
                <w:sz w:val="24"/>
                <w:szCs w:val="24"/>
                <w:lang w:bidi="bn-BD"/>
              </w:rPr>
            </w:pPr>
          </w:p>
        </w:tc>
      </w:tr>
    </w:tbl>
    <w:p w:rsidR="000816E0" w:rsidRPr="004C00B5" w:rsidRDefault="000816E0" w:rsidP="00107E21">
      <w:pPr>
        <w:spacing w:before="150" w:after="150" w:line="240" w:lineRule="auto"/>
        <w:jc w:val="both"/>
        <w:rPr>
          <w:rFonts w:cstheme="minorHAnsi"/>
          <w:b/>
          <w:bCs/>
          <w:color w:val="4C4C4C"/>
          <w:sz w:val="24"/>
          <w:szCs w:val="24"/>
          <w:shd w:val="clear" w:color="auto" w:fill="FFFFFF"/>
        </w:rPr>
      </w:pPr>
      <w:r w:rsidRPr="004C00B5">
        <w:rPr>
          <w:rFonts w:cstheme="minorHAnsi"/>
          <w:b/>
          <w:bCs/>
          <w:color w:val="4C4C4C"/>
          <w:sz w:val="24"/>
          <w:szCs w:val="24"/>
          <w:shd w:val="clear" w:color="auto" w:fill="FFFFFF"/>
        </w:rPr>
        <w:t>Conference / Journal Link:</w:t>
      </w:r>
    </w:p>
    <w:bookmarkStart w:id="0" w:name="cj_link"/>
    <w:p w:rsidR="004C00B5" w:rsidRPr="004C00B5" w:rsidRDefault="004C00B5" w:rsidP="00107E21">
      <w:pPr>
        <w:spacing w:before="150" w:after="150" w:line="240" w:lineRule="auto"/>
        <w:jc w:val="both"/>
        <w:rPr>
          <w:rFonts w:cstheme="minorHAnsi"/>
          <w:b/>
          <w:bCs/>
          <w:color w:val="0070C0"/>
          <w:sz w:val="24"/>
          <w:szCs w:val="24"/>
          <w:shd w:val="clear" w:color="auto" w:fill="FFFFFF"/>
        </w:rPr>
      </w:pPr>
      <w:r w:rsidRPr="004C00B5">
        <w:rPr>
          <w:rFonts w:cstheme="minorHAnsi"/>
          <w:color w:val="0070C0"/>
          <w:sz w:val="24"/>
          <w:szCs w:val="24"/>
        </w:rPr>
        <w:fldChar w:fldCharType="begin"/>
      </w:r>
      <w:r w:rsidRPr="004C00B5">
        <w:rPr>
          <w:rFonts w:cstheme="minorHAnsi"/>
          <w:color w:val="0070C0"/>
          <w:sz w:val="24"/>
          <w:szCs w:val="24"/>
        </w:rPr>
        <w:instrText xml:space="preserve"> HYPERLINK "https://www.sciencedirect.com/science/article/abs/pii/S0969804323002634" \t "_blank" </w:instrText>
      </w:r>
      <w:r w:rsidRPr="004C00B5">
        <w:rPr>
          <w:rFonts w:cstheme="minorHAnsi"/>
          <w:color w:val="0070C0"/>
          <w:sz w:val="24"/>
          <w:szCs w:val="24"/>
        </w:rPr>
        <w:fldChar w:fldCharType="separate"/>
      </w:r>
      <w:r w:rsidRPr="004C00B5">
        <w:rPr>
          <w:rStyle w:val="Hyperlink"/>
          <w:rFonts w:cstheme="minorHAnsi"/>
          <w:color w:val="0070C0"/>
          <w:sz w:val="24"/>
          <w:szCs w:val="24"/>
          <w:u w:val="none"/>
        </w:rPr>
        <w:t>https://www.sciencedirect.com/science/article/abs/pii/S0969804323002634</w:t>
      </w:r>
      <w:r w:rsidRPr="004C00B5">
        <w:rPr>
          <w:rFonts w:cstheme="minorHAnsi"/>
          <w:color w:val="0070C0"/>
          <w:sz w:val="24"/>
          <w:szCs w:val="24"/>
        </w:rPr>
        <w:fldChar w:fldCharType="end"/>
      </w:r>
      <w:bookmarkEnd w:id="0"/>
    </w:p>
    <w:p w:rsidR="000816E0" w:rsidRPr="004C00B5" w:rsidRDefault="000816E0" w:rsidP="00107E21">
      <w:pPr>
        <w:spacing w:before="150"/>
        <w:jc w:val="both"/>
        <w:rPr>
          <w:rFonts w:cstheme="minorHAnsi"/>
          <w:b/>
          <w:color w:val="4C4C4C"/>
          <w:sz w:val="24"/>
          <w:szCs w:val="24"/>
        </w:rPr>
      </w:pPr>
      <w:r w:rsidRPr="004C00B5">
        <w:rPr>
          <w:rFonts w:cstheme="minorHAnsi"/>
          <w:b/>
          <w:color w:val="4C4C4C"/>
          <w:sz w:val="24"/>
          <w:szCs w:val="24"/>
        </w:rPr>
        <w:t>DOI:</w:t>
      </w:r>
    </w:p>
    <w:p w:rsidR="004C00B5" w:rsidRPr="004C00B5" w:rsidRDefault="004C00B5" w:rsidP="00107E21">
      <w:pPr>
        <w:spacing w:before="150"/>
        <w:jc w:val="both"/>
        <w:rPr>
          <w:rFonts w:cstheme="minorHAnsi"/>
          <w:b/>
          <w:color w:val="0070C0"/>
          <w:sz w:val="24"/>
          <w:szCs w:val="24"/>
        </w:rPr>
      </w:pPr>
      <w:hyperlink r:id="rId7" w:tgtFrame="_blank" w:tooltip="Persistent link using digital object identifier" w:history="1">
        <w:r w:rsidRPr="004C00B5">
          <w:rPr>
            <w:rStyle w:val="anchor-text"/>
            <w:rFonts w:cstheme="minorHAnsi"/>
            <w:color w:val="0070C0"/>
            <w:sz w:val="24"/>
            <w:szCs w:val="24"/>
          </w:rPr>
          <w:t>https://doi.org/10.1016/j.apradiso.2023.110910</w:t>
        </w:r>
      </w:hyperlink>
    </w:p>
    <w:p w:rsidR="000816E0" w:rsidRPr="004C00B5" w:rsidRDefault="000816E0" w:rsidP="00107E21">
      <w:pPr>
        <w:jc w:val="both"/>
        <w:rPr>
          <w:rFonts w:cstheme="minorHAnsi"/>
          <w:sz w:val="24"/>
          <w:szCs w:val="24"/>
        </w:rPr>
      </w:pPr>
    </w:p>
    <w:p w:rsidR="00286666" w:rsidRPr="00286666" w:rsidRDefault="00286666" w:rsidP="00107E21">
      <w:pPr>
        <w:jc w:val="both"/>
        <w:rPr>
          <w:rStyle w:val="ofieldchar"/>
          <w:sz w:val="24"/>
          <w:szCs w:val="24"/>
        </w:rPr>
      </w:pPr>
    </w:p>
    <w:p w:rsidR="00397E1D" w:rsidRDefault="00397E1D" w:rsidP="00107E21">
      <w:pPr>
        <w:jc w:val="both"/>
        <w:rPr>
          <w:rStyle w:val="ofieldchar"/>
          <w:sz w:val="40"/>
          <w:szCs w:val="40"/>
        </w:rPr>
      </w:pPr>
      <w:bookmarkStart w:id="1" w:name="_GoBack"/>
      <w:bookmarkEnd w:id="1"/>
    </w:p>
    <w:p w:rsidR="00397E1D" w:rsidRPr="00397E1D" w:rsidRDefault="00397E1D" w:rsidP="00107E21">
      <w:pPr>
        <w:jc w:val="both"/>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07E21"/>
    <w:rsid w:val="001D5399"/>
    <w:rsid w:val="001F7B56"/>
    <w:rsid w:val="00215958"/>
    <w:rsid w:val="00225D3F"/>
    <w:rsid w:val="00286666"/>
    <w:rsid w:val="002D5FDC"/>
    <w:rsid w:val="00383B0C"/>
    <w:rsid w:val="00397E1D"/>
    <w:rsid w:val="003D59CD"/>
    <w:rsid w:val="004C00B5"/>
    <w:rsid w:val="004F276A"/>
    <w:rsid w:val="004F707F"/>
    <w:rsid w:val="005241A4"/>
    <w:rsid w:val="00542D8F"/>
    <w:rsid w:val="00597AC0"/>
    <w:rsid w:val="005A50A4"/>
    <w:rsid w:val="005E4D36"/>
    <w:rsid w:val="00680E6F"/>
    <w:rsid w:val="00760E88"/>
    <w:rsid w:val="007A2B06"/>
    <w:rsid w:val="00821EA2"/>
    <w:rsid w:val="008659B7"/>
    <w:rsid w:val="008B4C75"/>
    <w:rsid w:val="008C0668"/>
    <w:rsid w:val="008F7BAB"/>
    <w:rsid w:val="0090116F"/>
    <w:rsid w:val="00912B01"/>
    <w:rsid w:val="009437E0"/>
    <w:rsid w:val="00A24DA0"/>
    <w:rsid w:val="00A94B34"/>
    <w:rsid w:val="00AC4B91"/>
    <w:rsid w:val="00AD1085"/>
    <w:rsid w:val="00B2123C"/>
    <w:rsid w:val="00B23E19"/>
    <w:rsid w:val="00BA1A4C"/>
    <w:rsid w:val="00BB2349"/>
    <w:rsid w:val="00C433C0"/>
    <w:rsid w:val="00C916C7"/>
    <w:rsid w:val="00CD2B4C"/>
    <w:rsid w:val="00CD6A55"/>
    <w:rsid w:val="00D11FFB"/>
    <w:rsid w:val="00D26612"/>
    <w:rsid w:val="00D41E39"/>
    <w:rsid w:val="00E65008"/>
    <w:rsid w:val="00EE32F2"/>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4C00B5"/>
  </w:style>
  <w:style w:type="character" w:customStyle="1" w:styleId="text">
    <w:name w:val="text"/>
    <w:basedOn w:val="DefaultParagraphFont"/>
    <w:rsid w:val="004C00B5"/>
  </w:style>
  <w:style w:type="character" w:customStyle="1" w:styleId="anchor-text">
    <w:name w:val="anchor-text"/>
    <w:basedOn w:val="DefaultParagraphFont"/>
    <w:rsid w:val="004C0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26974">
      <w:bodyDiv w:val="1"/>
      <w:marLeft w:val="0"/>
      <w:marRight w:val="0"/>
      <w:marTop w:val="0"/>
      <w:marBottom w:val="0"/>
      <w:divBdr>
        <w:top w:val="none" w:sz="0" w:space="0" w:color="auto"/>
        <w:left w:val="none" w:sz="0" w:space="0" w:color="auto"/>
        <w:bottom w:val="none" w:sz="0" w:space="0" w:color="auto"/>
        <w:right w:val="none" w:sz="0" w:space="0" w:color="auto"/>
      </w:divBdr>
      <w:divsChild>
        <w:div w:id="1951234503">
          <w:marLeft w:val="0"/>
          <w:marRight w:val="0"/>
          <w:marTop w:val="0"/>
          <w:marBottom w:val="0"/>
          <w:divBdr>
            <w:top w:val="none" w:sz="0" w:space="0" w:color="auto"/>
            <w:left w:val="none" w:sz="0" w:space="0" w:color="auto"/>
            <w:bottom w:val="none" w:sz="0" w:space="0" w:color="auto"/>
            <w:right w:val="none" w:sz="0" w:space="0" w:color="auto"/>
          </w:divBdr>
        </w:div>
      </w:divsChild>
    </w:div>
    <w:div w:id="149178800">
      <w:bodyDiv w:val="1"/>
      <w:marLeft w:val="0"/>
      <w:marRight w:val="0"/>
      <w:marTop w:val="0"/>
      <w:marBottom w:val="0"/>
      <w:divBdr>
        <w:top w:val="none" w:sz="0" w:space="0" w:color="auto"/>
        <w:left w:val="none" w:sz="0" w:space="0" w:color="auto"/>
        <w:bottom w:val="none" w:sz="0" w:space="0" w:color="auto"/>
        <w:right w:val="none" w:sz="0" w:space="0" w:color="auto"/>
      </w:divBdr>
      <w:divsChild>
        <w:div w:id="937911774">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99487">
      <w:bodyDiv w:val="1"/>
      <w:marLeft w:val="0"/>
      <w:marRight w:val="0"/>
      <w:marTop w:val="0"/>
      <w:marBottom w:val="0"/>
      <w:divBdr>
        <w:top w:val="none" w:sz="0" w:space="0" w:color="auto"/>
        <w:left w:val="none" w:sz="0" w:space="0" w:color="auto"/>
        <w:bottom w:val="none" w:sz="0" w:space="0" w:color="auto"/>
        <w:right w:val="none" w:sz="0" w:space="0" w:color="auto"/>
      </w:divBdr>
      <w:divsChild>
        <w:div w:id="107942297">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02315217">
      <w:bodyDiv w:val="1"/>
      <w:marLeft w:val="0"/>
      <w:marRight w:val="0"/>
      <w:marTop w:val="0"/>
      <w:marBottom w:val="0"/>
      <w:divBdr>
        <w:top w:val="none" w:sz="0" w:space="0" w:color="auto"/>
        <w:left w:val="none" w:sz="0" w:space="0" w:color="auto"/>
        <w:bottom w:val="none" w:sz="0" w:space="0" w:color="auto"/>
        <w:right w:val="none" w:sz="0" w:space="0" w:color="auto"/>
      </w:divBdr>
      <w:divsChild>
        <w:div w:id="1948808426">
          <w:marLeft w:val="0"/>
          <w:marRight w:val="0"/>
          <w:marTop w:val="0"/>
          <w:marBottom w:val="0"/>
          <w:divBdr>
            <w:top w:val="none" w:sz="0" w:space="0" w:color="auto"/>
            <w:left w:val="none" w:sz="0" w:space="0" w:color="auto"/>
            <w:bottom w:val="none" w:sz="0" w:space="0" w:color="auto"/>
            <w:right w:val="none" w:sz="0" w:space="0" w:color="auto"/>
          </w:divBdr>
        </w:div>
      </w:divsChild>
    </w:div>
    <w:div w:id="1747679894">
      <w:bodyDiv w:val="1"/>
      <w:marLeft w:val="0"/>
      <w:marRight w:val="0"/>
      <w:marTop w:val="0"/>
      <w:marBottom w:val="0"/>
      <w:divBdr>
        <w:top w:val="none" w:sz="0" w:space="0" w:color="auto"/>
        <w:left w:val="none" w:sz="0" w:space="0" w:color="auto"/>
        <w:bottom w:val="none" w:sz="0" w:space="0" w:color="auto"/>
        <w:right w:val="none" w:sz="0" w:space="0" w:color="auto"/>
      </w:divBdr>
      <w:divsChild>
        <w:div w:id="449403119">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48253">
      <w:bodyDiv w:val="1"/>
      <w:marLeft w:val="0"/>
      <w:marRight w:val="0"/>
      <w:marTop w:val="0"/>
      <w:marBottom w:val="0"/>
      <w:divBdr>
        <w:top w:val="none" w:sz="0" w:space="0" w:color="auto"/>
        <w:left w:val="none" w:sz="0" w:space="0" w:color="auto"/>
        <w:bottom w:val="none" w:sz="0" w:space="0" w:color="auto"/>
        <w:right w:val="none" w:sz="0" w:space="0" w:color="auto"/>
      </w:divBdr>
      <w:divsChild>
        <w:div w:id="759906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apradiso.2023.1109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ysics-and-astronomy/attenuation-coefficient" TargetMode="External"/><Relationship Id="rId5" Type="http://schemas.openxmlformats.org/officeDocument/2006/relationships/hyperlink" Target="https://www.sciencedirect.com/topics/physics-and-astronomy/gamma-radiation" TargetMode="External"/><Relationship Id="rId4" Type="http://schemas.openxmlformats.org/officeDocument/2006/relationships/hyperlink" Target="https://www.sciencedirect.com/topics/physics-and-astronomy/ionizing-radiati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2024-04-21T04:17:00Z</dcterms:created>
  <dcterms:modified xsi:type="dcterms:W3CDTF">2024-04-24T09:10:00Z</dcterms:modified>
</cp:coreProperties>
</file>