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625" w:rsidRPr="005C6625" w:rsidRDefault="005C6625" w:rsidP="005C6625">
      <w:pPr>
        <w:rPr>
          <w:rStyle w:val="blue-tooltip"/>
          <w:bCs/>
          <w:sz w:val="40"/>
          <w:szCs w:val="40"/>
        </w:rPr>
      </w:pPr>
      <w:r w:rsidRPr="005C6625">
        <w:rPr>
          <w:rStyle w:val="blue-tooltip"/>
          <w:bCs/>
          <w:sz w:val="40"/>
          <w:szCs w:val="40"/>
        </w:rPr>
        <w:t xml:space="preserve">Anti-Quorum Sensing Activity of Selected Cationic Amino Acids </w:t>
      </w:r>
      <w:r w:rsidRPr="005C6625">
        <w:rPr>
          <w:rStyle w:val="blue-tooltip"/>
          <w:bCs/>
          <w:sz w:val="40"/>
          <w:szCs w:val="40"/>
        </w:rPr>
        <w:t>against</w:t>
      </w:r>
      <w:r w:rsidRPr="005C6625">
        <w:rPr>
          <w:rStyle w:val="blue-tooltip"/>
          <w:bCs/>
          <w:sz w:val="40"/>
          <w:szCs w:val="40"/>
        </w:rPr>
        <w:t xml:space="preserve"> </w:t>
      </w:r>
      <w:proofErr w:type="spellStart"/>
      <w:r w:rsidRPr="005C6625">
        <w:rPr>
          <w:rStyle w:val="blue-tooltip"/>
          <w:bCs/>
          <w:sz w:val="40"/>
          <w:szCs w:val="40"/>
        </w:rPr>
        <w:t>Chromobacte</w:t>
      </w:r>
      <w:r>
        <w:rPr>
          <w:rStyle w:val="blue-tooltip"/>
          <w:bCs/>
          <w:sz w:val="40"/>
          <w:szCs w:val="40"/>
        </w:rPr>
        <w:t>rium</w:t>
      </w:r>
      <w:proofErr w:type="spellEnd"/>
      <w:r>
        <w:rPr>
          <w:rStyle w:val="blue-tooltip"/>
          <w:bCs/>
          <w:sz w:val="40"/>
          <w:szCs w:val="40"/>
        </w:rPr>
        <w:t xml:space="preserve"> </w:t>
      </w:r>
      <w:proofErr w:type="spellStart"/>
      <w:r>
        <w:rPr>
          <w:rStyle w:val="blue-tooltip"/>
          <w:bCs/>
          <w:sz w:val="40"/>
          <w:szCs w:val="40"/>
        </w:rPr>
        <w:t>violaceum</w:t>
      </w:r>
      <w:proofErr w:type="spellEnd"/>
      <w:r>
        <w:rPr>
          <w:rStyle w:val="blue-tooltip"/>
          <w:bCs/>
          <w:sz w:val="40"/>
          <w:szCs w:val="40"/>
        </w:rPr>
        <w:t xml:space="preserve"> and Pseudomonas </w:t>
      </w:r>
      <w:proofErr w:type="spellStart"/>
      <w:r>
        <w:rPr>
          <w:rStyle w:val="blue-tooltip"/>
          <w:bCs/>
          <w:sz w:val="40"/>
          <w:szCs w:val="40"/>
        </w:rPr>
        <w:t>A</w:t>
      </w:r>
      <w:r w:rsidRPr="005C6625">
        <w:rPr>
          <w:rStyle w:val="blue-tooltip"/>
          <w:bCs/>
          <w:sz w:val="40"/>
          <w:szCs w:val="40"/>
        </w:rPr>
        <w:t>eruginosa</w:t>
      </w:r>
      <w:proofErr w:type="spellEnd"/>
    </w:p>
    <w:p w:rsidR="005C6625" w:rsidRDefault="005C6625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197057" w:rsidRPr="00197057" w:rsidRDefault="00056A8C" w:rsidP="00197057">
      <w:pPr>
        <w:jc w:val="both"/>
        <w:rPr>
          <w:rFonts w:eastAsia="Times New Roman" w:cstheme="minorHAnsi"/>
          <w:color w:val="0070C0"/>
          <w:sz w:val="24"/>
          <w:szCs w:val="24"/>
        </w:rPr>
      </w:pPr>
      <w:r w:rsidRPr="00197057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197057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r w:rsidR="00197057" w:rsidRPr="00197057">
        <w:rPr>
          <w:rFonts w:eastAsia="Times New Roman" w:cstheme="minorHAnsi"/>
          <w:color w:val="0070C0"/>
          <w:sz w:val="24"/>
          <w:szCs w:val="24"/>
        </w:rPr>
        <w:t xml:space="preserve">K. </w:t>
      </w:r>
      <w:proofErr w:type="spellStart"/>
      <w:r w:rsidR="00197057" w:rsidRPr="00197057">
        <w:rPr>
          <w:rFonts w:eastAsia="Times New Roman" w:cstheme="minorHAnsi"/>
          <w:color w:val="0070C0"/>
          <w:sz w:val="24"/>
          <w:szCs w:val="24"/>
        </w:rPr>
        <w:t>Abinaya</w:t>
      </w:r>
      <w:proofErr w:type="spellEnd"/>
      <w:r w:rsidR="00197057" w:rsidRPr="00197057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197057" w:rsidRPr="00197057">
        <w:rPr>
          <w:rFonts w:eastAsia="Times New Roman" w:cstheme="minorHAnsi"/>
          <w:color w:val="0070C0"/>
          <w:sz w:val="24"/>
          <w:szCs w:val="24"/>
        </w:rPr>
        <w:t>Subash</w:t>
      </w:r>
      <w:proofErr w:type="spellEnd"/>
      <w:r w:rsidR="00197057" w:rsidRPr="00197057">
        <w:rPr>
          <w:rFonts w:eastAsia="Times New Roman" w:cstheme="minorHAnsi"/>
          <w:color w:val="0070C0"/>
          <w:sz w:val="24"/>
          <w:szCs w:val="24"/>
        </w:rPr>
        <w:t xml:space="preserve"> C.B. </w:t>
      </w:r>
      <w:proofErr w:type="spellStart"/>
      <w:r w:rsidR="00197057" w:rsidRPr="00197057">
        <w:rPr>
          <w:rFonts w:eastAsia="Times New Roman" w:cstheme="minorHAnsi"/>
          <w:color w:val="0070C0"/>
          <w:sz w:val="24"/>
          <w:szCs w:val="24"/>
        </w:rPr>
        <w:t>Gopinath</w:t>
      </w:r>
      <w:proofErr w:type="spellEnd"/>
      <w:r w:rsidR="00197057" w:rsidRPr="00197057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197057" w:rsidRPr="00197057">
        <w:rPr>
          <w:rFonts w:eastAsia="Times New Roman" w:cstheme="minorHAnsi"/>
          <w:color w:val="0070C0"/>
          <w:sz w:val="24"/>
          <w:szCs w:val="24"/>
        </w:rPr>
        <w:t>Thirumananseri</w:t>
      </w:r>
      <w:proofErr w:type="spellEnd"/>
      <w:r w:rsidR="00197057" w:rsidRPr="00197057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197057" w:rsidRPr="00197057">
        <w:rPr>
          <w:rFonts w:eastAsia="Times New Roman" w:cstheme="minorHAnsi"/>
          <w:color w:val="0070C0"/>
          <w:sz w:val="24"/>
          <w:szCs w:val="24"/>
        </w:rPr>
        <w:t>Kumarevel</w:t>
      </w:r>
      <w:proofErr w:type="gramStart"/>
      <w:r w:rsidR="00197057" w:rsidRPr="00197057">
        <w:rPr>
          <w:rFonts w:eastAsia="Times New Roman" w:cstheme="minorHAnsi"/>
          <w:color w:val="0070C0"/>
          <w:sz w:val="24"/>
          <w:szCs w:val="24"/>
        </w:rPr>
        <w:t>,Pachaiappan</w:t>
      </w:r>
      <w:proofErr w:type="spellEnd"/>
      <w:proofErr w:type="gramEnd"/>
      <w:r w:rsidR="00197057" w:rsidRPr="00197057">
        <w:rPr>
          <w:rFonts w:eastAsia="Times New Roman" w:cstheme="minorHAnsi"/>
          <w:color w:val="0070C0"/>
          <w:sz w:val="24"/>
          <w:szCs w:val="24"/>
        </w:rPr>
        <w:t xml:space="preserve"> Raman</w:t>
      </w:r>
    </w:p>
    <w:p w:rsidR="00197057" w:rsidRPr="00197057" w:rsidRDefault="00197057" w:rsidP="00197057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</w:p>
    <w:p w:rsidR="00197057" w:rsidRPr="00197057" w:rsidRDefault="00286666" w:rsidP="00197057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197057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197057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197057" w:rsidRPr="00995703" w:rsidRDefault="00197057" w:rsidP="00197057">
      <w:pPr>
        <w:pStyle w:val="NormalWeb"/>
        <w:jc w:val="both"/>
        <w:rPr>
          <w:rFonts w:asciiTheme="minorHAnsi" w:hAnsiTheme="minorHAnsi" w:cstheme="minorHAnsi"/>
        </w:rPr>
      </w:pPr>
      <w:r w:rsidRPr="00995703">
        <w:rPr>
          <w:rFonts w:asciiTheme="minorHAnsi" w:hAnsiTheme="minorHAnsi" w:cstheme="minorHAnsi"/>
        </w:rPr>
        <w:t xml:space="preserve">Antibiotic-resistant strains and "superbugs" have emerged as a result of unrestricted use and overuse of antibiotics. N-Acyl </w:t>
      </w:r>
      <w:hyperlink r:id="rId4" w:tooltip="Learn more about homoserine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homoserine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 </w:t>
      </w:r>
      <w:hyperlink r:id="rId5" w:tooltip="Learn more about lactones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lactones</w:t>
        </w:r>
      </w:hyperlink>
      <w:r w:rsidRPr="00995703">
        <w:rPr>
          <w:rFonts w:asciiTheme="minorHAnsi" w:hAnsiTheme="minorHAnsi" w:cstheme="minorHAnsi"/>
        </w:rPr>
        <w:t xml:space="preserve">, also known as </w:t>
      </w:r>
      <w:hyperlink r:id="rId6" w:tooltip="Learn more about autoinducers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autoinducers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, are unique type of signaling molecule and passively permeate to the cells of Gram-negative bacteria. Accumulation of signaling molecules in the environment regulates the </w:t>
      </w:r>
      <w:hyperlink r:id="rId7" w:tooltip="Learn more about bacterial population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bacterial population</w:t>
        </w:r>
      </w:hyperlink>
      <w:r w:rsidRPr="00995703">
        <w:rPr>
          <w:rFonts w:asciiTheme="minorHAnsi" w:hAnsiTheme="minorHAnsi" w:cstheme="minorHAnsi"/>
        </w:rPr>
        <w:t xml:space="preserve">. The organisms </w:t>
      </w:r>
      <w:hyperlink r:id="rId8" w:tooltip="Learn more about Pseudomonas aeruginosa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 xml:space="preserve">Pseudomonas </w:t>
        </w:r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aeruginosa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 and </w:t>
      </w:r>
      <w:hyperlink r:id="rId9" w:tooltip="Learn more about Chromobacterium violaceum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Chromobacterium</w:t>
        </w:r>
        <w:proofErr w:type="spellEnd"/>
        <w:r w:rsidRPr="00995703">
          <w:rPr>
            <w:rStyle w:val="Hyperlink"/>
            <w:rFonts w:asciiTheme="minorHAnsi" w:hAnsiTheme="minorHAnsi" w:cstheme="minorHAnsi"/>
            <w:color w:val="auto"/>
          </w:rPr>
          <w:t xml:space="preserve"> </w:t>
        </w:r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violaceum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 are Gram-negative bacteria when exposed to humans, cause fatal infections. The selected cationic </w:t>
      </w:r>
      <w:hyperlink r:id="rId10" w:tooltip="Learn more about amino acids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amino acids</w:t>
        </w:r>
      </w:hyperlink>
      <w:r w:rsidRPr="00995703">
        <w:rPr>
          <w:rFonts w:asciiTheme="minorHAnsi" w:hAnsiTheme="minorHAnsi" w:cstheme="minorHAnsi"/>
        </w:rPr>
        <w:t xml:space="preserve"> </w:t>
      </w:r>
      <w:hyperlink r:id="rId11" w:tooltip="Learn more about histidine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histidine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, arginine, and </w:t>
      </w:r>
      <w:hyperlink r:id="rId12" w:tooltip="Learn more about ornithine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ornithine</w:t>
        </w:r>
      </w:hyperlink>
      <w:r w:rsidRPr="00995703">
        <w:rPr>
          <w:rFonts w:asciiTheme="minorHAnsi" w:hAnsiTheme="minorHAnsi" w:cstheme="minorHAnsi"/>
        </w:rPr>
        <w:t xml:space="preserve"> were assessed for their anti-quorum sensing activity against the </w:t>
      </w:r>
      <w:r w:rsidRPr="00995703">
        <w:rPr>
          <w:rStyle w:val="Emphasis"/>
          <w:rFonts w:asciiTheme="minorHAnsi" w:hAnsiTheme="minorHAnsi" w:cstheme="minorHAnsi"/>
        </w:rPr>
        <w:t xml:space="preserve">P. </w:t>
      </w:r>
      <w:proofErr w:type="spellStart"/>
      <w:r w:rsidRPr="00995703">
        <w:rPr>
          <w:rStyle w:val="Emphasis"/>
          <w:rFonts w:asciiTheme="minorHAnsi" w:hAnsiTheme="minorHAnsi" w:cstheme="minorHAnsi"/>
        </w:rPr>
        <w:t>aeruginosa</w:t>
      </w:r>
      <w:proofErr w:type="spellEnd"/>
      <w:r w:rsidRPr="00995703">
        <w:rPr>
          <w:rFonts w:asciiTheme="minorHAnsi" w:hAnsiTheme="minorHAnsi" w:cstheme="minorHAnsi"/>
        </w:rPr>
        <w:t xml:space="preserve"> and </w:t>
      </w:r>
      <w:r w:rsidRPr="00995703">
        <w:rPr>
          <w:rStyle w:val="Emphasis"/>
          <w:rFonts w:asciiTheme="minorHAnsi" w:hAnsiTheme="minorHAnsi" w:cstheme="minorHAnsi"/>
        </w:rPr>
        <w:t xml:space="preserve">C. </w:t>
      </w:r>
      <w:proofErr w:type="spellStart"/>
      <w:r w:rsidRPr="00995703">
        <w:rPr>
          <w:rStyle w:val="Emphasis"/>
          <w:rFonts w:asciiTheme="minorHAnsi" w:hAnsiTheme="minorHAnsi" w:cstheme="minorHAnsi"/>
        </w:rPr>
        <w:t>violaceum</w:t>
      </w:r>
      <w:proofErr w:type="spellEnd"/>
      <w:r w:rsidRPr="00995703">
        <w:rPr>
          <w:rFonts w:asciiTheme="minorHAnsi" w:hAnsiTheme="minorHAnsi" w:cstheme="minorHAnsi"/>
        </w:rPr>
        <w:t xml:space="preserve">. The MIC and sub-MIC concentrations of the selected </w:t>
      </w:r>
      <w:hyperlink r:id="rId13" w:tooltip="Learn more about amino acids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amino acids</w:t>
        </w:r>
      </w:hyperlink>
      <w:r w:rsidRPr="00995703">
        <w:rPr>
          <w:rFonts w:asciiTheme="minorHAnsi" w:hAnsiTheme="minorHAnsi" w:cstheme="minorHAnsi"/>
        </w:rPr>
        <w:t xml:space="preserve"> have been found by the </w:t>
      </w:r>
      <w:hyperlink r:id="rId14" w:tooltip="Learn more about broth dilution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broth dilution</w:t>
        </w:r>
      </w:hyperlink>
      <w:r w:rsidRPr="00995703">
        <w:rPr>
          <w:rFonts w:asciiTheme="minorHAnsi" w:hAnsiTheme="minorHAnsi" w:cstheme="minorHAnsi"/>
        </w:rPr>
        <w:t xml:space="preserve"> method. Both the cultures have been treated with MIC and sub-MIC levels and the </w:t>
      </w:r>
      <w:hyperlink r:id="rId15" w:tooltip="Learn more about virulence factors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virulence factors</w:t>
        </w:r>
      </w:hyperlink>
      <w:r w:rsidRPr="00995703">
        <w:rPr>
          <w:rFonts w:asciiTheme="minorHAnsi" w:hAnsiTheme="minorHAnsi" w:cstheme="minorHAnsi"/>
        </w:rPr>
        <w:t xml:space="preserve"> like </w:t>
      </w:r>
      <w:hyperlink r:id="rId16" w:tooltip="Learn more about rhamnolipid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rhamnolipid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, protease, </w:t>
      </w:r>
      <w:hyperlink r:id="rId17" w:tooltip="Learn more about elastase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elastase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, </w:t>
      </w:r>
      <w:proofErr w:type="spellStart"/>
      <w:r w:rsidRPr="00995703">
        <w:rPr>
          <w:rFonts w:asciiTheme="minorHAnsi" w:hAnsiTheme="minorHAnsi" w:cstheme="minorHAnsi"/>
        </w:rPr>
        <w:t>pyoverdine</w:t>
      </w:r>
      <w:proofErr w:type="spellEnd"/>
      <w:r w:rsidRPr="00995703">
        <w:rPr>
          <w:rFonts w:asciiTheme="minorHAnsi" w:hAnsiTheme="minorHAnsi" w:cstheme="minorHAnsi"/>
        </w:rPr>
        <w:t xml:space="preserve">, </w:t>
      </w:r>
      <w:proofErr w:type="spellStart"/>
      <w:r w:rsidRPr="00995703">
        <w:rPr>
          <w:rFonts w:asciiTheme="minorHAnsi" w:hAnsiTheme="minorHAnsi" w:cstheme="minorHAnsi"/>
        </w:rPr>
        <w:t>pyocyanin</w:t>
      </w:r>
      <w:proofErr w:type="spellEnd"/>
      <w:r w:rsidRPr="00995703">
        <w:rPr>
          <w:rFonts w:asciiTheme="minorHAnsi" w:hAnsiTheme="minorHAnsi" w:cstheme="minorHAnsi"/>
        </w:rPr>
        <w:t xml:space="preserve"> for </w:t>
      </w:r>
      <w:r w:rsidRPr="00995703">
        <w:rPr>
          <w:rStyle w:val="Emphasis"/>
          <w:rFonts w:asciiTheme="minorHAnsi" w:hAnsiTheme="minorHAnsi" w:cstheme="minorHAnsi"/>
        </w:rPr>
        <w:t xml:space="preserve">P. </w:t>
      </w:r>
      <w:proofErr w:type="spellStart"/>
      <w:r w:rsidRPr="00995703">
        <w:rPr>
          <w:rStyle w:val="Emphasis"/>
          <w:rFonts w:asciiTheme="minorHAnsi" w:hAnsiTheme="minorHAnsi" w:cstheme="minorHAnsi"/>
        </w:rPr>
        <w:t>aeruginosa</w:t>
      </w:r>
      <w:proofErr w:type="spellEnd"/>
      <w:r w:rsidRPr="00995703">
        <w:rPr>
          <w:rFonts w:asciiTheme="minorHAnsi" w:hAnsiTheme="minorHAnsi" w:cstheme="minorHAnsi"/>
        </w:rPr>
        <w:t xml:space="preserve"> and </w:t>
      </w:r>
      <w:proofErr w:type="spellStart"/>
      <w:r w:rsidRPr="00995703">
        <w:rPr>
          <w:rFonts w:asciiTheme="minorHAnsi" w:hAnsiTheme="minorHAnsi" w:cstheme="minorHAnsi"/>
        </w:rPr>
        <w:t>violacein</w:t>
      </w:r>
      <w:proofErr w:type="spellEnd"/>
      <w:r w:rsidRPr="00995703">
        <w:rPr>
          <w:rFonts w:asciiTheme="minorHAnsi" w:hAnsiTheme="minorHAnsi" w:cstheme="minorHAnsi"/>
        </w:rPr>
        <w:t xml:space="preserve">, </w:t>
      </w:r>
      <w:hyperlink r:id="rId18" w:tooltip="Learn more about chitinase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chitinase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 for </w:t>
      </w:r>
      <w:r w:rsidRPr="00995703">
        <w:rPr>
          <w:rStyle w:val="Emphasis"/>
          <w:rFonts w:asciiTheme="minorHAnsi" w:hAnsiTheme="minorHAnsi" w:cstheme="minorHAnsi"/>
        </w:rPr>
        <w:t xml:space="preserve">C. </w:t>
      </w:r>
      <w:proofErr w:type="spellStart"/>
      <w:r w:rsidRPr="00995703">
        <w:rPr>
          <w:rStyle w:val="Emphasis"/>
          <w:rFonts w:asciiTheme="minorHAnsi" w:hAnsiTheme="minorHAnsi" w:cstheme="minorHAnsi"/>
        </w:rPr>
        <w:t>violaceum</w:t>
      </w:r>
      <w:proofErr w:type="spellEnd"/>
      <w:r w:rsidRPr="00995703">
        <w:rPr>
          <w:rFonts w:asciiTheme="minorHAnsi" w:hAnsiTheme="minorHAnsi" w:cstheme="minorHAnsi"/>
        </w:rPr>
        <w:t xml:space="preserve"> is quantified. The quantification of </w:t>
      </w:r>
      <w:proofErr w:type="spellStart"/>
      <w:r w:rsidRPr="00995703">
        <w:rPr>
          <w:rFonts w:asciiTheme="minorHAnsi" w:hAnsiTheme="minorHAnsi" w:cstheme="minorHAnsi"/>
        </w:rPr>
        <w:t>exo</w:t>
      </w:r>
      <w:proofErr w:type="spellEnd"/>
      <w:r w:rsidRPr="00995703">
        <w:rPr>
          <w:rFonts w:asciiTheme="minorHAnsi" w:hAnsiTheme="minorHAnsi" w:cstheme="minorHAnsi"/>
        </w:rPr>
        <w:t xml:space="preserve">-polysaccharides and the biofilm as well as visualization by </w:t>
      </w:r>
      <w:hyperlink r:id="rId19" w:tooltip="Learn more about confocal laser scanning microscope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confocal laser scanning microscope</w:t>
        </w:r>
      </w:hyperlink>
      <w:r w:rsidRPr="00995703">
        <w:rPr>
          <w:rFonts w:asciiTheme="minorHAnsi" w:hAnsiTheme="minorHAnsi" w:cstheme="minorHAnsi"/>
        </w:rPr>
        <w:t xml:space="preserve"> have been done for both organisms. The movement of the cells was assessed by swarming and swimm</w:t>
      </w:r>
      <w:bookmarkStart w:id="0" w:name="_GoBack"/>
      <w:bookmarkEnd w:id="0"/>
      <w:r w:rsidRPr="00995703">
        <w:rPr>
          <w:rFonts w:asciiTheme="minorHAnsi" w:hAnsiTheme="minorHAnsi" w:cstheme="minorHAnsi"/>
        </w:rPr>
        <w:t xml:space="preserve">ing motility in both organisms. The genes activated for all these </w:t>
      </w:r>
      <w:hyperlink r:id="rId20" w:tooltip="Learn more about virulence factors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virulence factors</w:t>
        </w:r>
      </w:hyperlink>
      <w:r w:rsidRPr="00995703">
        <w:rPr>
          <w:rFonts w:asciiTheme="minorHAnsi" w:hAnsiTheme="minorHAnsi" w:cstheme="minorHAnsi"/>
        </w:rPr>
        <w:t xml:space="preserve"> were quantified by RT-</w:t>
      </w:r>
      <w:proofErr w:type="spellStart"/>
      <w:r w:rsidRPr="00995703">
        <w:rPr>
          <w:rFonts w:asciiTheme="minorHAnsi" w:hAnsiTheme="minorHAnsi" w:cstheme="minorHAnsi"/>
        </w:rPr>
        <w:t>qPCR</w:t>
      </w:r>
      <w:proofErr w:type="spellEnd"/>
      <w:r w:rsidRPr="00995703">
        <w:rPr>
          <w:rFonts w:asciiTheme="minorHAnsi" w:hAnsiTheme="minorHAnsi" w:cstheme="minorHAnsi"/>
        </w:rPr>
        <w:t xml:space="preserve"> and expressed in fold change. From the results, it is evident that the </w:t>
      </w:r>
      <w:hyperlink r:id="rId21" w:tooltip="Learn more about histidine from ScienceDirect's AI-generated Topic Pages" w:history="1">
        <w:proofErr w:type="spellStart"/>
        <w:r w:rsidRPr="00995703">
          <w:rPr>
            <w:rStyle w:val="Hyperlink"/>
            <w:rFonts w:asciiTheme="minorHAnsi" w:hAnsiTheme="minorHAnsi" w:cstheme="minorHAnsi"/>
            <w:color w:val="auto"/>
          </w:rPr>
          <w:t>histidine</w:t>
        </w:r>
        <w:proofErr w:type="spellEnd"/>
      </w:hyperlink>
      <w:r w:rsidRPr="00995703">
        <w:rPr>
          <w:rFonts w:asciiTheme="minorHAnsi" w:hAnsiTheme="minorHAnsi" w:cstheme="minorHAnsi"/>
        </w:rPr>
        <w:t xml:space="preserve"> inhibited both the organisms at concentrations of MIC and sub-MIC more than the percentage of virulence factors production by arginine and </w:t>
      </w:r>
      <w:hyperlink r:id="rId22" w:tooltip="Learn more about ornithine from ScienceDirect's AI-generated Topic Pages" w:history="1">
        <w:r w:rsidRPr="00995703">
          <w:rPr>
            <w:rStyle w:val="Hyperlink"/>
            <w:rFonts w:asciiTheme="minorHAnsi" w:hAnsiTheme="minorHAnsi" w:cstheme="minorHAnsi"/>
            <w:color w:val="auto"/>
          </w:rPr>
          <w:t>ornithine</w:t>
        </w:r>
      </w:hyperlink>
      <w:r w:rsidRPr="00995703">
        <w:rPr>
          <w:rFonts w:asciiTheme="minorHAnsi" w:hAnsiTheme="minorHAnsi" w:cstheme="minorHAnsi"/>
        </w:rPr>
        <w:t>. The selected cationic amino acids prove to be an effective compound in antimicrobial therapeutics in order to reduce opportunistic bacterial infections.</w:t>
      </w:r>
    </w:p>
    <w:tbl>
      <w:tblPr>
        <w:tblW w:w="13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"/>
        <w:gridCol w:w="123"/>
      </w:tblGrid>
      <w:tr w:rsidR="00197057" w:rsidRPr="00197057" w:rsidTr="00197057">
        <w:trPr>
          <w:trHeight w:val="58"/>
          <w:tblCellSpacing w:w="15" w:type="dxa"/>
        </w:trPr>
        <w:tc>
          <w:tcPr>
            <w:tcW w:w="0" w:type="auto"/>
            <w:vAlign w:val="center"/>
          </w:tcPr>
          <w:p w:rsidR="00197057" w:rsidRPr="00197057" w:rsidRDefault="00197057" w:rsidP="0019705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0" w:type="auto"/>
          </w:tcPr>
          <w:p w:rsidR="00197057" w:rsidRPr="00197057" w:rsidRDefault="00197057" w:rsidP="0019705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</w:tr>
    </w:tbl>
    <w:p w:rsidR="000816E0" w:rsidRPr="00197057" w:rsidRDefault="000816E0" w:rsidP="00197057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197057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197057" w:rsidRPr="00197057" w:rsidRDefault="00197057" w:rsidP="00197057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197057">
        <w:rPr>
          <w:rFonts w:cstheme="minorHAnsi"/>
          <w:color w:val="0070C0"/>
          <w:sz w:val="24"/>
          <w:szCs w:val="24"/>
        </w:rPr>
        <w:fldChar w:fldCharType="begin"/>
      </w:r>
      <w:r w:rsidRPr="00197057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"https://www.sciencedirect.com/science/article/abs/pii/S1359511323002659" \t "_blank" </w:instrText>
      </w:r>
      <w:r w:rsidRPr="00197057">
        <w:rPr>
          <w:rFonts w:cstheme="minorHAnsi"/>
          <w:color w:val="0070C0"/>
          <w:sz w:val="24"/>
          <w:szCs w:val="24"/>
        </w:rPr>
        <w:fldChar w:fldCharType="separate"/>
      </w:r>
      <w:r w:rsidRPr="00197057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https://www.sciencedirect.com/science/article/abs/pii/S1359511323002659</w:t>
      </w:r>
      <w:r w:rsidRPr="00197057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197057" w:rsidRDefault="000816E0" w:rsidP="00197057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197057">
        <w:rPr>
          <w:rFonts w:cstheme="minorHAnsi"/>
          <w:b/>
          <w:color w:val="4C4C4C"/>
          <w:sz w:val="24"/>
          <w:szCs w:val="24"/>
        </w:rPr>
        <w:t>DOI:</w:t>
      </w:r>
    </w:p>
    <w:p w:rsidR="00197057" w:rsidRPr="00197057" w:rsidRDefault="00197057" w:rsidP="00197057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23" w:tgtFrame="_blank" w:tooltip="Persistent link using digital object identifier" w:history="1">
        <w:r w:rsidRPr="00197057">
          <w:rPr>
            <w:rStyle w:val="anchor-text"/>
            <w:rFonts w:cstheme="minorHAnsi"/>
            <w:color w:val="0070C0"/>
            <w:sz w:val="24"/>
            <w:szCs w:val="24"/>
          </w:rPr>
          <w:t>https://doi.org/10.1016/j.procbio.2023.08.004</w:t>
        </w:r>
      </w:hyperlink>
    </w:p>
    <w:p w:rsidR="000816E0" w:rsidRPr="00197057" w:rsidRDefault="000816E0" w:rsidP="00197057">
      <w:pPr>
        <w:jc w:val="both"/>
        <w:rPr>
          <w:rFonts w:cstheme="minorHAnsi"/>
          <w:sz w:val="24"/>
          <w:szCs w:val="24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197057"/>
    <w:rsid w:val="00197F72"/>
    <w:rsid w:val="00282502"/>
    <w:rsid w:val="00286666"/>
    <w:rsid w:val="002C78EC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5C6625"/>
    <w:rsid w:val="00680E6F"/>
    <w:rsid w:val="00740C0D"/>
    <w:rsid w:val="007A2B06"/>
    <w:rsid w:val="008659B7"/>
    <w:rsid w:val="008B4C75"/>
    <w:rsid w:val="008F7BAB"/>
    <w:rsid w:val="0090116F"/>
    <w:rsid w:val="009437E0"/>
    <w:rsid w:val="00995703"/>
    <w:rsid w:val="00A6337C"/>
    <w:rsid w:val="00A675F1"/>
    <w:rsid w:val="00A94B34"/>
    <w:rsid w:val="00AC4B91"/>
    <w:rsid w:val="00AF37E7"/>
    <w:rsid w:val="00B2123C"/>
    <w:rsid w:val="00B409D9"/>
    <w:rsid w:val="00BB2349"/>
    <w:rsid w:val="00C433C0"/>
    <w:rsid w:val="00C916C7"/>
    <w:rsid w:val="00CD6A55"/>
    <w:rsid w:val="00D11FFB"/>
    <w:rsid w:val="00D26612"/>
    <w:rsid w:val="00DA36C1"/>
    <w:rsid w:val="00E65008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197057"/>
  </w:style>
  <w:style w:type="character" w:styleId="Emphasis">
    <w:name w:val="Emphasis"/>
    <w:basedOn w:val="DefaultParagraphFont"/>
    <w:uiPriority w:val="20"/>
    <w:qFormat/>
    <w:rsid w:val="00197057"/>
    <w:rPr>
      <w:i/>
      <w:iCs/>
    </w:rPr>
  </w:style>
  <w:style w:type="character" w:customStyle="1" w:styleId="given-name">
    <w:name w:val="given-name"/>
    <w:basedOn w:val="DefaultParagraphFont"/>
    <w:rsid w:val="00197057"/>
  </w:style>
  <w:style w:type="character" w:customStyle="1" w:styleId="text">
    <w:name w:val="text"/>
    <w:basedOn w:val="DefaultParagraphFont"/>
    <w:rsid w:val="00197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biochemistry-genetics-and-molecular-biology/pseudomonas-aeruginosa" TargetMode="External"/><Relationship Id="rId13" Type="http://schemas.openxmlformats.org/officeDocument/2006/relationships/hyperlink" Target="https://www.sciencedirect.com/topics/biochemistry-genetics-and-molecular-biology/amino-acids" TargetMode="External"/><Relationship Id="rId18" Type="http://schemas.openxmlformats.org/officeDocument/2006/relationships/hyperlink" Target="https://www.sciencedirect.com/topics/biochemistry-genetics-and-molecular-biology/chitinas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ciencedirect.com/topics/biochemistry-genetics-and-molecular-biology/histidine" TargetMode="External"/><Relationship Id="rId7" Type="http://schemas.openxmlformats.org/officeDocument/2006/relationships/hyperlink" Target="https://www.sciencedirect.com/topics/immunology-and-microbiology/bacterial-population" TargetMode="External"/><Relationship Id="rId12" Type="http://schemas.openxmlformats.org/officeDocument/2006/relationships/hyperlink" Target="https://www.sciencedirect.com/topics/biochemistry-genetics-and-molecular-biology/ornithine" TargetMode="External"/><Relationship Id="rId17" Type="http://schemas.openxmlformats.org/officeDocument/2006/relationships/hyperlink" Target="https://www.sciencedirect.com/topics/biochemistry-genetics-and-molecular-biology/elastase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sciencedirect.com/topics/biochemistry-genetics-and-molecular-biology/rhamnolipid" TargetMode="External"/><Relationship Id="rId20" Type="http://schemas.openxmlformats.org/officeDocument/2006/relationships/hyperlink" Target="https://www.sciencedirect.com/topics/biochemistry-genetics-and-molecular-biology/virulence-factor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biochemistry-genetics-and-molecular-biology/autoinducer" TargetMode="External"/><Relationship Id="rId11" Type="http://schemas.openxmlformats.org/officeDocument/2006/relationships/hyperlink" Target="https://www.sciencedirect.com/topics/biochemistry-genetics-and-molecular-biology/histidine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sciencedirect.com/topics/chemical-engineering/lactone" TargetMode="External"/><Relationship Id="rId15" Type="http://schemas.openxmlformats.org/officeDocument/2006/relationships/hyperlink" Target="https://www.sciencedirect.com/topics/biochemistry-genetics-and-molecular-biology/virulence-factor" TargetMode="External"/><Relationship Id="rId23" Type="http://schemas.openxmlformats.org/officeDocument/2006/relationships/hyperlink" Target="https://doi.org/10.1016/j.procbio.2023.08.004" TargetMode="External"/><Relationship Id="rId10" Type="http://schemas.openxmlformats.org/officeDocument/2006/relationships/hyperlink" Target="https://www.sciencedirect.com/topics/biochemistry-genetics-and-molecular-biology/amino-acids" TargetMode="External"/><Relationship Id="rId19" Type="http://schemas.openxmlformats.org/officeDocument/2006/relationships/hyperlink" Target="https://www.sciencedirect.com/topics/biochemistry-genetics-and-molecular-biology/confocal-laser-scanning-microscope" TargetMode="External"/><Relationship Id="rId4" Type="http://schemas.openxmlformats.org/officeDocument/2006/relationships/hyperlink" Target="https://www.sciencedirect.com/topics/immunology-and-microbiology/homoserine" TargetMode="External"/><Relationship Id="rId9" Type="http://schemas.openxmlformats.org/officeDocument/2006/relationships/hyperlink" Target="https://www.sciencedirect.com/topics/biochemistry-genetics-and-molecular-biology/chromobacterium-violaceum" TargetMode="External"/><Relationship Id="rId14" Type="http://schemas.openxmlformats.org/officeDocument/2006/relationships/hyperlink" Target="https://www.sciencedirect.com/topics/biochemistry-genetics-and-molecular-biology/broth-dilution" TargetMode="External"/><Relationship Id="rId22" Type="http://schemas.openxmlformats.org/officeDocument/2006/relationships/hyperlink" Target="https://www.sciencedirect.com/topics/biochemistry-genetics-and-molecular-biology/ornith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2024-04-08T04:52:00Z</dcterms:created>
  <dcterms:modified xsi:type="dcterms:W3CDTF">2024-04-25T08:36:00Z</dcterms:modified>
</cp:coreProperties>
</file>