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30144F" w:rsidRDefault="0030144F">
      <w:pPr>
        <w:rPr>
          <w:rStyle w:val="blue-tooltip"/>
          <w:rFonts w:cstheme="minorHAnsi"/>
          <w:bCs/>
          <w:sz w:val="40"/>
          <w:szCs w:val="40"/>
        </w:rPr>
      </w:pPr>
      <w:r w:rsidRPr="0030144F">
        <w:rPr>
          <w:rStyle w:val="blue-tooltip"/>
          <w:rFonts w:cstheme="minorHAnsi"/>
          <w:bCs/>
          <w:sz w:val="40"/>
          <w:szCs w:val="40"/>
        </w:rPr>
        <w:t>Arsenic Removal from Aqueous Solution: A Comprehensive Synthesis with Meta-Data</w:t>
      </w:r>
    </w:p>
    <w:p w:rsidR="0030144F" w:rsidRDefault="0030144F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</w:p>
    <w:p w:rsidR="0030144F" w:rsidRPr="0030144F" w:rsidRDefault="00056A8C" w:rsidP="0030144F">
      <w:pPr>
        <w:jc w:val="both"/>
        <w:rPr>
          <w:rFonts w:eastAsia="Times New Roman" w:cstheme="minorHAnsi"/>
          <w:color w:val="0070C0"/>
          <w:sz w:val="24"/>
          <w:szCs w:val="24"/>
        </w:rPr>
      </w:pPr>
      <w:r w:rsidRPr="0030144F">
        <w:rPr>
          <w:rStyle w:val="blue-tooltip"/>
          <w:rFonts w:cstheme="minorHAnsi"/>
          <w:b/>
          <w:bCs/>
          <w:sz w:val="24"/>
          <w:szCs w:val="24"/>
        </w:rPr>
        <w:t xml:space="preserve">Author: </w:t>
      </w:r>
      <w:r w:rsidR="009437E0" w:rsidRPr="0030144F">
        <w:rPr>
          <w:rStyle w:val="blue-tooltip"/>
          <w:rFonts w:cstheme="minorHAnsi"/>
          <w:color w:val="0070C0"/>
          <w:sz w:val="24"/>
          <w:szCs w:val="24"/>
        </w:rPr>
        <w:t xml:space="preserve"> </w:t>
      </w:r>
      <w:r w:rsidR="002E582E">
        <w:rPr>
          <w:rFonts w:eastAsia="Times New Roman" w:cstheme="minorHAnsi"/>
          <w:color w:val="0070C0"/>
          <w:sz w:val="24"/>
          <w:szCs w:val="24"/>
        </w:rPr>
        <w:t>s</w:t>
      </w:r>
      <w:bookmarkStart w:id="0" w:name="_GoBack"/>
      <w:bookmarkEnd w:id="0"/>
    </w:p>
    <w:p w:rsidR="00286666" w:rsidRPr="0030144F" w:rsidRDefault="00286666" w:rsidP="0030144F">
      <w:pPr>
        <w:jc w:val="both"/>
        <w:rPr>
          <w:rStyle w:val="blue-tooltip"/>
          <w:rFonts w:eastAsia="Times New Roman" w:cstheme="minorHAnsi"/>
          <w:color w:val="0070C0"/>
          <w:sz w:val="24"/>
          <w:szCs w:val="24"/>
        </w:rPr>
      </w:pPr>
    </w:p>
    <w:p w:rsidR="0030144F" w:rsidRPr="0030144F" w:rsidRDefault="00286666" w:rsidP="0030144F">
      <w:pPr>
        <w:jc w:val="both"/>
        <w:rPr>
          <w:rStyle w:val="blue-tooltip"/>
          <w:rFonts w:cstheme="minorHAnsi"/>
          <w:b/>
          <w:sz w:val="24"/>
          <w:szCs w:val="24"/>
        </w:rPr>
      </w:pPr>
      <w:r w:rsidRPr="0030144F">
        <w:rPr>
          <w:rStyle w:val="blue-tooltip"/>
          <w:rFonts w:cstheme="minorHAnsi"/>
          <w:b/>
          <w:sz w:val="24"/>
          <w:szCs w:val="24"/>
        </w:rPr>
        <w:t xml:space="preserve">Abstract: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9279"/>
      </w:tblGrid>
      <w:tr w:rsidR="0030144F" w:rsidRPr="0030144F" w:rsidTr="0030144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0144F" w:rsidRPr="0030144F" w:rsidRDefault="0030144F" w:rsidP="0030144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000" w:type="pct"/>
            <w:vAlign w:val="center"/>
            <w:hideMark/>
          </w:tcPr>
          <w:p w:rsidR="0030144F" w:rsidRPr="0030144F" w:rsidRDefault="0030144F" w:rsidP="0030144F">
            <w:pPr>
              <w:pStyle w:val="NormalWeb"/>
              <w:spacing w:before="0" w:after="0"/>
              <w:jc w:val="both"/>
              <w:rPr>
                <w:rFonts w:asciiTheme="minorHAnsi" w:hAnsiTheme="minorHAnsi" w:cstheme="minorHAnsi"/>
              </w:rPr>
            </w:pPr>
            <w:r w:rsidRPr="0030144F">
              <w:rPr>
                <w:rFonts w:asciiTheme="minorHAnsi" w:hAnsiTheme="minorHAnsi" w:cstheme="minorHAnsi"/>
                <w:color w:val="2E2E2E"/>
              </w:rPr>
              <w:t>Removal of arsenic from </w:t>
            </w:r>
            <w:hyperlink r:id="rId4" w:tooltip="Learn more about drinking water from ScienceDirect's AI-generated Topic Pages" w:history="1">
              <w:r w:rsidRPr="0030144F">
                <w:rPr>
                  <w:rStyle w:val="Hyperlink"/>
                  <w:rFonts w:asciiTheme="minorHAnsi" w:hAnsiTheme="minorHAnsi" w:cstheme="minorHAnsi"/>
                  <w:color w:val="2E2E2E"/>
                </w:rPr>
                <w:t>drinking water</w:t>
              </w:r>
            </w:hyperlink>
            <w:r w:rsidRPr="0030144F">
              <w:rPr>
                <w:rFonts w:asciiTheme="minorHAnsi" w:hAnsiTheme="minorHAnsi" w:cstheme="minorHAnsi"/>
                <w:color w:val="2E2E2E"/>
              </w:rPr>
              <w:t> is one of the most important global concerns. Among the various techniques, adsorptive removal of arsenic is considered as a viable most effective method. However, limited attention is given to understand the overall relative </w:t>
            </w:r>
            <w:hyperlink r:id="rId5" w:tooltip="Learn more about sorption from ScienceDirect's AI-generated Topic Pages" w:history="1">
              <w:r w:rsidRPr="0030144F">
                <w:rPr>
                  <w:rStyle w:val="Hyperlink"/>
                  <w:rFonts w:asciiTheme="minorHAnsi" w:hAnsiTheme="minorHAnsi" w:cstheme="minorHAnsi"/>
                  <w:color w:val="2E2E2E"/>
                </w:rPr>
                <w:t>sorption</w:t>
              </w:r>
            </w:hyperlink>
            <w:r w:rsidRPr="0030144F">
              <w:rPr>
                <w:rFonts w:asciiTheme="minorHAnsi" w:hAnsiTheme="minorHAnsi" w:cstheme="minorHAnsi"/>
                <w:color w:val="2E2E2E"/>
              </w:rPr>
              <w:t> capacity of different </w:t>
            </w:r>
            <w:hyperlink r:id="rId6" w:tooltip="Learn more about sorbents from ScienceDirect's AI-generated Topic Pages" w:history="1">
              <w:r w:rsidRPr="0030144F">
                <w:rPr>
                  <w:rStyle w:val="Hyperlink"/>
                  <w:rFonts w:asciiTheme="minorHAnsi" w:hAnsiTheme="minorHAnsi" w:cstheme="minorHAnsi"/>
                  <w:color w:val="2E2E2E"/>
                </w:rPr>
                <w:t>sorbents</w:t>
              </w:r>
            </w:hyperlink>
            <w:r w:rsidRPr="0030144F">
              <w:rPr>
                <w:rFonts w:asciiTheme="minorHAnsi" w:hAnsiTheme="minorHAnsi" w:cstheme="minorHAnsi"/>
                <w:color w:val="2E2E2E"/>
              </w:rPr>
              <w:t xml:space="preserve"> (e.g., </w:t>
            </w:r>
            <w:proofErr w:type="spellStart"/>
            <w:r w:rsidRPr="0030144F">
              <w:rPr>
                <w:rFonts w:asciiTheme="minorHAnsi" w:hAnsiTheme="minorHAnsi" w:cstheme="minorHAnsi"/>
                <w:color w:val="2E2E2E"/>
              </w:rPr>
              <w:t>biocomposite</w:t>
            </w:r>
            <w:proofErr w:type="spellEnd"/>
            <w:r w:rsidRPr="0030144F">
              <w:rPr>
                <w:rFonts w:asciiTheme="minorHAnsi" w:hAnsiTheme="minorHAnsi" w:cstheme="minorHAnsi"/>
                <w:color w:val="2E2E2E"/>
              </w:rPr>
              <w:t xml:space="preserve">, </w:t>
            </w:r>
            <w:proofErr w:type="spellStart"/>
            <w:r w:rsidRPr="0030144F">
              <w:rPr>
                <w:rFonts w:asciiTheme="minorHAnsi" w:hAnsiTheme="minorHAnsi" w:cstheme="minorHAnsi"/>
                <w:color w:val="2E2E2E"/>
              </w:rPr>
              <w:t>biochar</w:t>
            </w:r>
            <w:proofErr w:type="spellEnd"/>
            <w:r w:rsidRPr="0030144F">
              <w:rPr>
                <w:rFonts w:asciiTheme="minorHAnsi" w:hAnsiTheme="minorHAnsi" w:cstheme="minorHAnsi"/>
                <w:color w:val="2E2E2E"/>
              </w:rPr>
              <w:t xml:space="preserve"> and </w:t>
            </w:r>
            <w:proofErr w:type="spellStart"/>
            <w:r w:rsidRPr="0030144F">
              <w:rPr>
                <w:rFonts w:asciiTheme="minorHAnsi" w:hAnsiTheme="minorHAnsi" w:cstheme="minorHAnsi"/>
                <w:color w:val="2E2E2E"/>
              </w:rPr>
              <w:t>nano</w:t>
            </w:r>
            <w:proofErr w:type="spellEnd"/>
            <w:r w:rsidRPr="0030144F">
              <w:rPr>
                <w:rFonts w:asciiTheme="minorHAnsi" w:hAnsiTheme="minorHAnsi" w:cstheme="minorHAnsi"/>
                <w:color w:val="2E2E2E"/>
              </w:rPr>
              <w:t xml:space="preserve">-composite etc.) since various factors influence the sorption capacity. The aim of this study is to assess the effectiveness of various adsorbents with quantitative estimation (Langmuir adsorption maxima, </w:t>
            </w:r>
            <w:proofErr w:type="spellStart"/>
            <w:r w:rsidRPr="0030144F">
              <w:rPr>
                <w:rFonts w:asciiTheme="minorHAnsi" w:hAnsiTheme="minorHAnsi" w:cstheme="minorHAnsi"/>
                <w:color w:val="2E2E2E"/>
              </w:rPr>
              <w:t>Qmax</w:t>
            </w:r>
            <w:proofErr w:type="spellEnd"/>
            <w:r w:rsidRPr="0030144F">
              <w:rPr>
                <w:rFonts w:asciiTheme="minorHAnsi" w:hAnsiTheme="minorHAnsi" w:cstheme="minorHAnsi"/>
                <w:color w:val="2E2E2E"/>
              </w:rPr>
              <w:t xml:space="preserve">) as well as to evaluate the influence of experimental conditions on the achievement of maximum adsorption. A number of analyses including meta-analysis, analysis of variance (ANOVA), </w:t>
            </w:r>
            <w:proofErr w:type="spellStart"/>
            <w:r w:rsidRPr="0030144F">
              <w:rPr>
                <w:rFonts w:asciiTheme="minorHAnsi" w:hAnsiTheme="minorHAnsi" w:cstheme="minorHAnsi"/>
                <w:color w:val="2E2E2E"/>
              </w:rPr>
              <w:t>scientometric</w:t>
            </w:r>
            <w:proofErr w:type="spellEnd"/>
            <w:r w:rsidRPr="0030144F">
              <w:rPr>
                <w:rFonts w:asciiTheme="minorHAnsi" w:hAnsiTheme="minorHAnsi" w:cstheme="minorHAnsi"/>
                <w:color w:val="2E2E2E"/>
              </w:rPr>
              <w:t xml:space="preserve"> and regression were performed. The results revealed that among the sorbents, </w:t>
            </w:r>
            <w:hyperlink r:id="rId7" w:tooltip="Learn more about nanoparticles from ScienceDirect's AI-generated Topic Pages" w:history="1">
              <w:r w:rsidRPr="0030144F">
                <w:rPr>
                  <w:rStyle w:val="Hyperlink"/>
                  <w:rFonts w:asciiTheme="minorHAnsi" w:hAnsiTheme="minorHAnsi" w:cstheme="minorHAnsi"/>
                  <w:color w:val="2E2E2E"/>
                </w:rPr>
                <w:t>nanoparticles</w:t>
              </w:r>
            </w:hyperlink>
            <w:r w:rsidRPr="0030144F">
              <w:rPr>
                <w:rFonts w:asciiTheme="minorHAnsi" w:hAnsiTheme="minorHAnsi" w:cstheme="minorHAnsi"/>
                <w:color w:val="2E2E2E"/>
              </w:rPr>
              <w:t xml:space="preserve"> show the greatest sorption capacity while pre-doped </w:t>
            </w:r>
            <w:proofErr w:type="spellStart"/>
            <w:r w:rsidRPr="0030144F">
              <w:rPr>
                <w:rFonts w:asciiTheme="minorHAnsi" w:hAnsiTheme="minorHAnsi" w:cstheme="minorHAnsi"/>
                <w:color w:val="2E2E2E"/>
              </w:rPr>
              <w:t>biochar</w:t>
            </w:r>
            <w:proofErr w:type="spellEnd"/>
            <w:r w:rsidRPr="0030144F">
              <w:rPr>
                <w:rFonts w:asciiTheme="minorHAnsi" w:hAnsiTheme="minorHAnsi" w:cstheme="minorHAnsi"/>
                <w:color w:val="2E2E2E"/>
              </w:rPr>
              <w:t xml:space="preserve"> performed the best among different </w:t>
            </w:r>
            <w:proofErr w:type="spellStart"/>
            <w:r w:rsidRPr="0030144F">
              <w:rPr>
                <w:rFonts w:asciiTheme="minorHAnsi" w:hAnsiTheme="minorHAnsi" w:cstheme="minorHAnsi"/>
                <w:color w:val="2E2E2E"/>
              </w:rPr>
              <w:t>biochars</w:t>
            </w:r>
            <w:proofErr w:type="spellEnd"/>
            <w:r w:rsidRPr="0030144F">
              <w:rPr>
                <w:rFonts w:asciiTheme="minorHAnsi" w:hAnsiTheme="minorHAnsi" w:cstheme="minorHAnsi"/>
                <w:color w:val="2E2E2E"/>
              </w:rPr>
              <w:t xml:space="preserve">. Average across all sorbents, As (V) removal efficacy was higher than As (III). As expected, a high point of zero charge (PZC) and higher positive surface charge favored adsorption. The relative contribution of different mechanisms was also discussed. Our </w:t>
            </w:r>
            <w:proofErr w:type="spellStart"/>
            <w:r w:rsidRPr="0030144F">
              <w:rPr>
                <w:rFonts w:asciiTheme="minorHAnsi" w:hAnsiTheme="minorHAnsi" w:cstheme="minorHAnsi"/>
                <w:color w:val="2E2E2E"/>
              </w:rPr>
              <w:t>scientometric</w:t>
            </w:r>
            <w:proofErr w:type="spellEnd"/>
            <w:r w:rsidRPr="0030144F">
              <w:rPr>
                <w:rFonts w:asciiTheme="minorHAnsi" w:hAnsiTheme="minorHAnsi" w:cstheme="minorHAnsi"/>
                <w:color w:val="2E2E2E"/>
              </w:rPr>
              <w:t xml:space="preserve"> analyses revealed that, research should focus on the development of low-cost adsorbents and increase their reusability, safe disposal of adsorbed arsenic. Altogether, our findings provide a molecular understanding of arsenic sorption to different sorbents with implications for tailoring a good sorbent for arsenic removal from drinking water.</w:t>
            </w:r>
          </w:p>
        </w:tc>
      </w:tr>
    </w:tbl>
    <w:p w:rsidR="00286666" w:rsidRPr="0030144F" w:rsidRDefault="00C433C0" w:rsidP="0030144F">
      <w:pPr>
        <w:jc w:val="both"/>
        <w:rPr>
          <w:rStyle w:val="blue-tooltip"/>
          <w:rFonts w:cstheme="minorHAnsi"/>
          <w:b/>
          <w:sz w:val="24"/>
          <w:szCs w:val="24"/>
        </w:rPr>
      </w:pPr>
      <w:r w:rsidRPr="0030144F">
        <w:rPr>
          <w:rStyle w:val="blue-tooltip"/>
          <w:rFonts w:cstheme="minorHAnsi"/>
          <w:b/>
          <w:sz w:val="24"/>
          <w:szCs w:val="24"/>
        </w:rPr>
        <w:t xml:space="preserve"> </w:t>
      </w:r>
      <w:r w:rsidR="004F276A" w:rsidRPr="0030144F">
        <w:rPr>
          <w:rStyle w:val="blue-tooltip"/>
          <w:rFonts w:cstheme="minorHAnsi"/>
          <w:b/>
          <w:sz w:val="24"/>
          <w:szCs w:val="24"/>
        </w:rPr>
        <w:t xml:space="preserve"> </w:t>
      </w:r>
    </w:p>
    <w:p w:rsidR="000816E0" w:rsidRPr="0030144F" w:rsidRDefault="000816E0" w:rsidP="0030144F">
      <w:pPr>
        <w:spacing w:before="150" w:after="150" w:line="240" w:lineRule="auto"/>
        <w:jc w:val="both"/>
        <w:rPr>
          <w:rFonts w:cstheme="minorHAnsi"/>
          <w:b/>
          <w:bCs/>
          <w:color w:val="4C4C4C"/>
          <w:sz w:val="24"/>
          <w:szCs w:val="24"/>
          <w:shd w:val="clear" w:color="auto" w:fill="FFFFFF"/>
        </w:rPr>
      </w:pPr>
      <w:r w:rsidRPr="0030144F">
        <w:rPr>
          <w:rFonts w:cstheme="minorHAnsi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30144F" w:rsidRPr="0030144F" w:rsidRDefault="0030144F" w:rsidP="0030144F">
      <w:pPr>
        <w:spacing w:before="150" w:after="150" w:line="240" w:lineRule="auto"/>
        <w:jc w:val="both"/>
        <w:rPr>
          <w:rFonts w:cstheme="minorHAnsi"/>
          <w:b/>
          <w:bCs/>
          <w:color w:val="0070C0"/>
          <w:sz w:val="24"/>
          <w:szCs w:val="24"/>
          <w:shd w:val="clear" w:color="auto" w:fill="FFFFFF"/>
        </w:rPr>
      </w:pPr>
      <w:r w:rsidRPr="0030144F">
        <w:rPr>
          <w:rFonts w:cstheme="minorHAnsi"/>
          <w:color w:val="0070C0"/>
          <w:sz w:val="24"/>
          <w:szCs w:val="24"/>
        </w:rPr>
        <w:fldChar w:fldCharType="begin"/>
      </w:r>
      <w:r w:rsidRPr="0030144F">
        <w:rPr>
          <w:rFonts w:cstheme="minorHAnsi"/>
          <w:color w:val="0070C0"/>
          <w:sz w:val="24"/>
          <w:szCs w:val="24"/>
        </w:rPr>
        <w:instrText xml:space="preserve"> HYPERLINK "https://www.sciencedirect.com/science/article/abs/pii/S0048969722079244?via%3Dihub" \t "_blank" </w:instrText>
      </w:r>
      <w:r w:rsidRPr="0030144F">
        <w:rPr>
          <w:rFonts w:cstheme="minorHAnsi"/>
          <w:color w:val="0070C0"/>
          <w:sz w:val="24"/>
          <w:szCs w:val="24"/>
        </w:rPr>
        <w:fldChar w:fldCharType="separate"/>
      </w:r>
      <w:r w:rsidRPr="0030144F">
        <w:rPr>
          <w:rStyle w:val="Hyperlink"/>
          <w:rFonts w:cstheme="minorHAnsi"/>
          <w:color w:val="0070C0"/>
          <w:sz w:val="24"/>
          <w:szCs w:val="24"/>
          <w:u w:val="none"/>
        </w:rPr>
        <w:t>https://www.sciencedirect.com/science/article/abs/pii/S0048969722079244?via</w:t>
      </w:r>
      <w:r w:rsidRPr="0030144F">
        <w:rPr>
          <w:rFonts w:cstheme="minorHAnsi"/>
          <w:color w:val="0070C0"/>
          <w:sz w:val="24"/>
          <w:szCs w:val="24"/>
        </w:rPr>
        <w:fldChar w:fldCharType="end"/>
      </w:r>
      <w:bookmarkEnd w:id="1"/>
    </w:p>
    <w:p w:rsidR="000816E0" w:rsidRPr="0030144F" w:rsidRDefault="000816E0" w:rsidP="0030144F">
      <w:pPr>
        <w:spacing w:before="150"/>
        <w:jc w:val="both"/>
        <w:rPr>
          <w:rFonts w:cstheme="minorHAnsi"/>
          <w:b/>
          <w:color w:val="4C4C4C"/>
          <w:sz w:val="24"/>
          <w:szCs w:val="24"/>
        </w:rPr>
      </w:pPr>
      <w:r w:rsidRPr="0030144F">
        <w:rPr>
          <w:rFonts w:cstheme="minorHAnsi"/>
          <w:b/>
          <w:color w:val="4C4C4C"/>
          <w:sz w:val="24"/>
          <w:szCs w:val="24"/>
        </w:rPr>
        <w:t>DOI:</w:t>
      </w:r>
    </w:p>
    <w:p w:rsidR="0030144F" w:rsidRPr="0030144F" w:rsidRDefault="0030144F" w:rsidP="0030144F">
      <w:pPr>
        <w:spacing w:before="150"/>
        <w:jc w:val="both"/>
        <w:rPr>
          <w:rFonts w:cstheme="minorHAnsi"/>
          <w:b/>
          <w:color w:val="0070C0"/>
          <w:sz w:val="24"/>
          <w:szCs w:val="24"/>
        </w:rPr>
      </w:pPr>
      <w:hyperlink r:id="rId8" w:tgtFrame="_blank" w:tooltip="Persistent link using digital object identifier" w:history="1">
        <w:r w:rsidRPr="0030144F">
          <w:rPr>
            <w:rStyle w:val="anchor-text"/>
            <w:rFonts w:cstheme="minorHAnsi"/>
            <w:color w:val="0070C0"/>
            <w:sz w:val="24"/>
            <w:szCs w:val="24"/>
          </w:rPr>
          <w:t>https://doi.org/10.1016/j.scitotenv.2022.160821</w:t>
        </w:r>
      </w:hyperlink>
    </w:p>
    <w:p w:rsidR="000816E0" w:rsidRPr="0030144F" w:rsidRDefault="000816E0" w:rsidP="0030144F">
      <w:pPr>
        <w:jc w:val="both"/>
        <w:rPr>
          <w:rFonts w:cstheme="minorHAnsi"/>
          <w:sz w:val="24"/>
          <w:szCs w:val="24"/>
        </w:rPr>
      </w:pPr>
    </w:p>
    <w:sectPr w:rsidR="000816E0" w:rsidRPr="003014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56A8C"/>
    <w:rsid w:val="00081177"/>
    <w:rsid w:val="000816E0"/>
    <w:rsid w:val="000C0475"/>
    <w:rsid w:val="00103261"/>
    <w:rsid w:val="00197F72"/>
    <w:rsid w:val="00282502"/>
    <w:rsid w:val="00286666"/>
    <w:rsid w:val="002C78EC"/>
    <w:rsid w:val="002E582E"/>
    <w:rsid w:val="0030144F"/>
    <w:rsid w:val="00383B0C"/>
    <w:rsid w:val="00397E1D"/>
    <w:rsid w:val="003D493B"/>
    <w:rsid w:val="004B77E2"/>
    <w:rsid w:val="004F276A"/>
    <w:rsid w:val="005241A4"/>
    <w:rsid w:val="00542D8F"/>
    <w:rsid w:val="00597AC0"/>
    <w:rsid w:val="005A50A4"/>
    <w:rsid w:val="00680E6F"/>
    <w:rsid w:val="00740C0D"/>
    <w:rsid w:val="007A2B06"/>
    <w:rsid w:val="008659B7"/>
    <w:rsid w:val="008B4C75"/>
    <w:rsid w:val="008F7BAB"/>
    <w:rsid w:val="0090116F"/>
    <w:rsid w:val="009437E0"/>
    <w:rsid w:val="00A6337C"/>
    <w:rsid w:val="00A675F1"/>
    <w:rsid w:val="00A94B34"/>
    <w:rsid w:val="00AB55AD"/>
    <w:rsid w:val="00AC4B91"/>
    <w:rsid w:val="00B2123C"/>
    <w:rsid w:val="00B409D9"/>
    <w:rsid w:val="00BB2349"/>
    <w:rsid w:val="00C433C0"/>
    <w:rsid w:val="00C916C7"/>
    <w:rsid w:val="00CD6A55"/>
    <w:rsid w:val="00D11FFB"/>
    <w:rsid w:val="00D26612"/>
    <w:rsid w:val="00DA36C1"/>
    <w:rsid w:val="00E65008"/>
    <w:rsid w:val="00EE054B"/>
    <w:rsid w:val="00EE3075"/>
    <w:rsid w:val="00EF3278"/>
    <w:rsid w:val="00F63824"/>
    <w:rsid w:val="00FD39A4"/>
    <w:rsid w:val="00FD7BD8"/>
    <w:rsid w:val="00FD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given-name">
    <w:name w:val="given-name"/>
    <w:basedOn w:val="DefaultParagraphFont"/>
    <w:rsid w:val="0030144F"/>
  </w:style>
  <w:style w:type="character" w:customStyle="1" w:styleId="text">
    <w:name w:val="text"/>
    <w:basedOn w:val="DefaultParagraphFont"/>
    <w:rsid w:val="0030144F"/>
  </w:style>
  <w:style w:type="character" w:customStyle="1" w:styleId="anchor-text">
    <w:name w:val="anchor-text"/>
    <w:basedOn w:val="DefaultParagraphFont"/>
    <w:rsid w:val="003014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23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9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2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944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85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6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35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6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scitotenv.2022.16082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ciencedirect.com/topics/earth-and-planetary-sciences/nanoparticl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earth-and-planetary-sciences/sorbent" TargetMode="External"/><Relationship Id="rId5" Type="http://schemas.openxmlformats.org/officeDocument/2006/relationships/hyperlink" Target="https://www.sciencedirect.com/topics/earth-and-planetary-sciences/sorption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sciencedirect.com/topics/earth-and-planetary-sciences/potable-water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14</cp:revision>
  <dcterms:created xsi:type="dcterms:W3CDTF">2024-04-27T05:41:00Z</dcterms:created>
  <dcterms:modified xsi:type="dcterms:W3CDTF">2024-04-27T06:11:00Z</dcterms:modified>
</cp:coreProperties>
</file>