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F43FC" w:rsidRDefault="008F43FC">
      <w:pPr>
        <w:rPr>
          <w:rStyle w:val="blue-tooltip"/>
          <w:bCs/>
          <w:sz w:val="40"/>
          <w:szCs w:val="40"/>
        </w:rPr>
      </w:pPr>
      <w:r w:rsidRPr="008F43FC">
        <w:rPr>
          <w:rStyle w:val="blue-tooltip"/>
          <w:bCs/>
          <w:sz w:val="40"/>
          <w:szCs w:val="40"/>
        </w:rPr>
        <w:t xml:space="preserve">Bismuth Telluride, </w:t>
      </w:r>
      <w:proofErr w:type="spellStart"/>
      <w:r w:rsidRPr="008F43FC">
        <w:rPr>
          <w:rStyle w:val="blue-tooltip"/>
          <w:bCs/>
          <w:sz w:val="40"/>
          <w:szCs w:val="40"/>
        </w:rPr>
        <w:t>Graphene</w:t>
      </w:r>
      <w:proofErr w:type="spellEnd"/>
      <w:r w:rsidRPr="008F43FC">
        <w:rPr>
          <w:rStyle w:val="blue-tooltip"/>
          <w:bCs/>
          <w:sz w:val="40"/>
          <w:szCs w:val="40"/>
        </w:rPr>
        <w:t>, and Silver Based Surface Plasmon Resonance Biosensor for Dental Application</w:t>
      </w:r>
    </w:p>
    <w:p w:rsidR="008F43FC" w:rsidRDefault="008F43F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8F43FC" w:rsidRPr="008F43FC" w:rsidRDefault="00056A8C" w:rsidP="008F43FC">
      <w:pPr>
        <w:spacing w:before="100" w:beforeAutospacing="1" w:after="100" w:afterAutospacing="1" w:line="240" w:lineRule="auto"/>
        <w:jc w:val="both"/>
        <w:rPr>
          <w:rFonts w:cstheme="minorHAnsi"/>
          <w:color w:val="0070C0"/>
          <w:sz w:val="24"/>
          <w:szCs w:val="24"/>
        </w:rPr>
      </w:pPr>
      <w:r w:rsidRPr="008F43FC">
        <w:rPr>
          <w:rStyle w:val="blue-tooltip"/>
          <w:rFonts w:cstheme="minorHAnsi"/>
          <w:b/>
          <w:bCs/>
          <w:sz w:val="24"/>
          <w:szCs w:val="24"/>
        </w:rPr>
        <w:t>Autho</w:t>
      </w:r>
      <w:r w:rsidRPr="00844F7E">
        <w:rPr>
          <w:rStyle w:val="blue-tooltip"/>
          <w:rFonts w:cstheme="minorHAnsi"/>
          <w:b/>
          <w:bCs/>
          <w:sz w:val="24"/>
          <w:szCs w:val="24"/>
        </w:rPr>
        <w:t xml:space="preserve">r: </w:t>
      </w:r>
      <w:r w:rsidR="009437E0" w:rsidRPr="00844F7E">
        <w:rPr>
          <w:rStyle w:val="blue-tooltip"/>
          <w:rFonts w:cstheme="minorHAnsi"/>
          <w:sz w:val="24"/>
          <w:szCs w:val="24"/>
        </w:rPr>
        <w:t xml:space="preserve"> </w:t>
      </w:r>
      <w:hyperlink r:id="rId5" w:anchor="auth-Mohammad_Khursheed-Alam-Aff1-Aff2-Aff3" w:history="1"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Mohammad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Khursheed</w:t>
        </w:r>
        <w:proofErr w:type="spellEnd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Alam</w:t>
        </w:r>
        <w:proofErr w:type="spellEnd"/>
      </w:hyperlink>
      <w:r w:rsidR="008F43FC" w:rsidRPr="008F43FC">
        <w:rPr>
          <w:rFonts w:cstheme="minorHAnsi"/>
          <w:color w:val="0070C0"/>
          <w:sz w:val="24"/>
          <w:szCs w:val="24"/>
        </w:rPr>
        <w:t xml:space="preserve">, </w:t>
      </w:r>
      <w:hyperlink r:id="rId6" w:anchor="auth-Mahmud_Uz-Zaman-Aff4" w:history="1"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Mahmud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Uz</w:t>
        </w:r>
        <w:proofErr w:type="spellEnd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Zaman</w:t>
        </w:r>
        <w:proofErr w:type="spellEnd"/>
      </w:hyperlink>
      <w:r w:rsidR="008F43FC" w:rsidRPr="008F43FC">
        <w:rPr>
          <w:rFonts w:cstheme="minorHAnsi"/>
          <w:color w:val="0070C0"/>
          <w:sz w:val="24"/>
          <w:szCs w:val="24"/>
        </w:rPr>
        <w:t xml:space="preserve">, </w:t>
      </w:r>
      <w:hyperlink r:id="rId7" w:anchor="auth-Nasser_Raqe-Alqhtani-Aff4" w:history="1"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Nasser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Raqe</w:t>
        </w:r>
        <w:proofErr w:type="spellEnd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Alqhtani</w:t>
        </w:r>
        <w:proofErr w:type="spellEnd"/>
      </w:hyperlink>
      <w:r w:rsidR="008F43FC" w:rsidRPr="008F43FC">
        <w:rPr>
          <w:rFonts w:cstheme="minorHAnsi"/>
          <w:color w:val="0070C0"/>
          <w:sz w:val="24"/>
          <w:szCs w:val="24"/>
        </w:rPr>
        <w:t xml:space="preserve">, </w:t>
      </w:r>
      <w:hyperlink r:id="rId8" w:anchor="auth-Ali-Robaian-Aff5" w:history="1"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Ali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Robaian</w:t>
        </w:r>
        <w:proofErr w:type="spellEnd"/>
      </w:hyperlink>
      <w:r w:rsidR="008F43FC" w:rsidRPr="008F43FC">
        <w:rPr>
          <w:rFonts w:cstheme="minorHAnsi"/>
          <w:color w:val="0070C0"/>
          <w:sz w:val="24"/>
          <w:szCs w:val="24"/>
        </w:rPr>
        <w:t xml:space="preserve">, </w:t>
      </w:r>
      <w:hyperlink r:id="rId9" w:anchor="auth-Abdullah_Saad-Alqahtani-Aff6" w:history="1"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Abdullah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Saad</w:t>
        </w:r>
        <w:proofErr w:type="spellEnd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Alqahtani</w:t>
        </w:r>
        <w:proofErr w:type="spellEnd"/>
      </w:hyperlink>
      <w:r w:rsidR="008F43FC" w:rsidRPr="008F43FC">
        <w:rPr>
          <w:rFonts w:cstheme="minorHAnsi"/>
          <w:color w:val="0070C0"/>
          <w:sz w:val="24"/>
          <w:szCs w:val="24"/>
        </w:rPr>
        <w:t xml:space="preserve">, </w:t>
      </w:r>
      <w:hyperlink r:id="rId10" w:anchor="auth-Ali-Alrahlah-Aff7" w:history="1"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Ali </w:t>
        </w:r>
        <w:proofErr w:type="spellStart"/>
        <w:r w:rsidR="008F43FC" w:rsidRPr="008F43FC">
          <w:rPr>
            <w:rStyle w:val="Hyperlink"/>
            <w:rFonts w:cstheme="minorHAnsi"/>
            <w:color w:val="0070C0"/>
            <w:sz w:val="24"/>
            <w:szCs w:val="24"/>
            <w:u w:val="none"/>
          </w:rPr>
          <w:t>Alrahlah</w:t>
        </w:r>
        <w:proofErr w:type="spellEnd"/>
      </w:hyperlink>
      <w:r w:rsidR="008F43FC" w:rsidRPr="008F43FC">
        <w:rPr>
          <w:rFonts w:cstheme="minorHAnsi"/>
          <w:color w:val="0070C0"/>
          <w:sz w:val="24"/>
          <w:szCs w:val="24"/>
        </w:rPr>
        <w:t> </w:t>
      </w:r>
    </w:p>
    <w:p w:rsidR="00286666" w:rsidRPr="008F43FC" w:rsidRDefault="00286666" w:rsidP="008F43FC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  <w:bookmarkStart w:id="0" w:name="_GoBack"/>
      <w:bookmarkEnd w:id="0"/>
    </w:p>
    <w:p w:rsidR="008F43FC" w:rsidRPr="008F43FC" w:rsidRDefault="00286666" w:rsidP="008F43FC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8F43FC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8F43FC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286666" w:rsidRPr="008F43FC" w:rsidRDefault="008F43FC" w:rsidP="008F43FC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The work presents a surface 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plasmon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 resonance biosensor employing bismuth telluride (Bi2Te3) and 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graphene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 layer overlaid on the Ag metal layer-based biosensor to detect disease in the teeth. The Ag layer, Bi2Te3, and 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graphene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 are assumed to have thicknesses of 35 nm, 1 nm, and 0. 5 nm, respectively. Using single-layer Bi2Te3 and single-layer 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graphene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, the highest sensitivity of the sensor for enamel, dentin, and 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cementum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 is 79.310 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deg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/RIU, 118.88 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deg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/RIU, and 169.87 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deg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/RIU obtained, respectively. The other performance parameters are full width at half maximum, detection accuracy, and quality factor obtained as 6.723 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deg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, 0.11 deg−1, and 18.74 RIU−1. 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Graphene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 increases the biocompatibility of the </w:t>
      </w:r>
      <w:proofErr w:type="spellStart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>analyte</w:t>
      </w:r>
      <w:proofErr w:type="spellEnd"/>
      <w:r w:rsidRPr="008F43FC">
        <w:rPr>
          <w:rFonts w:cstheme="minorHAnsi"/>
          <w:color w:val="333333"/>
          <w:sz w:val="24"/>
          <w:szCs w:val="24"/>
          <w:shd w:val="clear" w:color="auto" w:fill="FCFCFC"/>
        </w:rPr>
        <w:t xml:space="preserve"> with the sensing layer. Consideration has been given to the aqueous solution as a sensing medium. The proposed sensor has great potential in the medical and chemical fields.</w:t>
      </w:r>
      <w:r w:rsidR="004F276A" w:rsidRPr="008F43FC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8F43FC" w:rsidRDefault="008F43FC" w:rsidP="008F43FC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</w:p>
    <w:p w:rsidR="000816E0" w:rsidRPr="008F43FC" w:rsidRDefault="000816E0" w:rsidP="008F43FC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8F43FC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8F43FC" w:rsidRPr="008F43FC" w:rsidRDefault="008F43FC" w:rsidP="008F43FC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8F43FC">
        <w:rPr>
          <w:rFonts w:cstheme="minorHAnsi"/>
          <w:color w:val="0070C0"/>
          <w:sz w:val="24"/>
          <w:szCs w:val="24"/>
        </w:rPr>
        <w:fldChar w:fldCharType="begin"/>
      </w:r>
      <w:r w:rsidRPr="008F43FC">
        <w:rPr>
          <w:rFonts w:cstheme="minorHAnsi"/>
          <w:color w:val="0070C0"/>
          <w:sz w:val="24"/>
          <w:szCs w:val="24"/>
        </w:rPr>
        <w:instrText xml:space="preserve"> HYPERLINK "https://link.springer.com/article/10.1007/s11082-023-04703-1" \t "_blank" </w:instrText>
      </w:r>
      <w:r w:rsidRPr="008F43FC">
        <w:rPr>
          <w:rFonts w:cstheme="minorHAnsi"/>
          <w:color w:val="0070C0"/>
          <w:sz w:val="24"/>
          <w:szCs w:val="24"/>
        </w:rPr>
        <w:fldChar w:fldCharType="separate"/>
      </w:r>
      <w:r w:rsidRPr="008F43FC">
        <w:rPr>
          <w:rStyle w:val="Hyperlink"/>
          <w:rFonts w:cstheme="minorHAnsi"/>
          <w:color w:val="0070C0"/>
          <w:sz w:val="24"/>
          <w:szCs w:val="24"/>
          <w:u w:val="none"/>
        </w:rPr>
        <w:t>https://link.springer.com/article/10.1007/s11082-023-04703-1</w:t>
      </w:r>
      <w:r w:rsidRPr="008F43FC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8F43FC" w:rsidRDefault="000816E0" w:rsidP="008F43FC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8F43FC">
        <w:rPr>
          <w:rFonts w:cstheme="minorHAnsi"/>
          <w:b/>
          <w:color w:val="4C4C4C"/>
          <w:sz w:val="24"/>
          <w:szCs w:val="24"/>
        </w:rPr>
        <w:t>DOI:</w:t>
      </w:r>
    </w:p>
    <w:p w:rsidR="008F43FC" w:rsidRPr="008F43FC" w:rsidRDefault="008F43FC" w:rsidP="008F43FC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r w:rsidRPr="008F43FC">
        <w:rPr>
          <w:rStyle w:val="c-bibliographic-informationvalue"/>
          <w:rFonts w:cstheme="minorHAnsi"/>
          <w:color w:val="0070C0"/>
          <w:sz w:val="24"/>
          <w:szCs w:val="24"/>
        </w:rPr>
        <w:t>https://doi.org/10.1007/s11082-023-04703-1</w:t>
      </w:r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322E9"/>
    <w:multiLevelType w:val="multilevel"/>
    <w:tmpl w:val="E6AA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14F09"/>
    <w:rsid w:val="00056A8C"/>
    <w:rsid w:val="00081177"/>
    <w:rsid w:val="000816E0"/>
    <w:rsid w:val="000C0475"/>
    <w:rsid w:val="00103261"/>
    <w:rsid w:val="00197F72"/>
    <w:rsid w:val="001A1523"/>
    <w:rsid w:val="00282502"/>
    <w:rsid w:val="00286666"/>
    <w:rsid w:val="002C78EC"/>
    <w:rsid w:val="002E30B8"/>
    <w:rsid w:val="00383B0C"/>
    <w:rsid w:val="00397E1D"/>
    <w:rsid w:val="003D493B"/>
    <w:rsid w:val="004B77E2"/>
    <w:rsid w:val="004F276A"/>
    <w:rsid w:val="005241A4"/>
    <w:rsid w:val="00542D8F"/>
    <w:rsid w:val="00572BC6"/>
    <w:rsid w:val="00597AC0"/>
    <w:rsid w:val="005A50A4"/>
    <w:rsid w:val="00680E6F"/>
    <w:rsid w:val="006920D4"/>
    <w:rsid w:val="006F61D2"/>
    <w:rsid w:val="00707EAA"/>
    <w:rsid w:val="00740C0D"/>
    <w:rsid w:val="007A2B06"/>
    <w:rsid w:val="00844F7E"/>
    <w:rsid w:val="008543AA"/>
    <w:rsid w:val="008659B7"/>
    <w:rsid w:val="008B4C75"/>
    <w:rsid w:val="008C1029"/>
    <w:rsid w:val="008E59F8"/>
    <w:rsid w:val="008F43FC"/>
    <w:rsid w:val="008F4B6C"/>
    <w:rsid w:val="008F7BAB"/>
    <w:rsid w:val="0090116F"/>
    <w:rsid w:val="009437E0"/>
    <w:rsid w:val="00A6337C"/>
    <w:rsid w:val="00A675F1"/>
    <w:rsid w:val="00A94B34"/>
    <w:rsid w:val="00AB508E"/>
    <w:rsid w:val="00AC4B91"/>
    <w:rsid w:val="00AC5C4F"/>
    <w:rsid w:val="00B2123C"/>
    <w:rsid w:val="00B409D9"/>
    <w:rsid w:val="00BB2349"/>
    <w:rsid w:val="00C433C0"/>
    <w:rsid w:val="00C916C7"/>
    <w:rsid w:val="00CD6A55"/>
    <w:rsid w:val="00D11FFB"/>
    <w:rsid w:val="00D26612"/>
    <w:rsid w:val="00DA36C1"/>
    <w:rsid w:val="00E65008"/>
    <w:rsid w:val="00EE054B"/>
    <w:rsid w:val="00EE3075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8F4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1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springer.com/article/10.1007/s11082-023-04703-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1082-023-04703-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1082-023-04703-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ink.springer.com/article/10.1007/s11082-023-04703-1" TargetMode="External"/><Relationship Id="rId10" Type="http://schemas.openxmlformats.org/officeDocument/2006/relationships/hyperlink" Target="https://link.springer.com/article/10.1007/s11082-023-04703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nk.springer.com/article/10.1007/s11082-023-04703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2024-04-27T05:44:00Z</dcterms:created>
  <dcterms:modified xsi:type="dcterms:W3CDTF">2024-04-29T05:46:00Z</dcterms:modified>
</cp:coreProperties>
</file>