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13334" w:rsidRDefault="00513334">
      <w:pPr>
        <w:rPr>
          <w:rStyle w:val="blue-tooltip"/>
          <w:bCs/>
          <w:sz w:val="40"/>
          <w:szCs w:val="40"/>
        </w:rPr>
      </w:pPr>
      <w:r w:rsidRPr="00513334">
        <w:rPr>
          <w:rStyle w:val="blue-tooltip"/>
          <w:bCs/>
          <w:sz w:val="40"/>
          <w:szCs w:val="40"/>
        </w:rPr>
        <w:t>Can Energy Productivity Gains Harness the Carbon Dioxide-Inhibiting Agenda of the Next 11 Countries? Implications for Achieving Sustainable Development</w:t>
      </w:r>
    </w:p>
    <w:p w:rsidR="00513334" w:rsidRDefault="00513334">
      <w:pPr>
        <w:rPr>
          <w:rStyle w:val="blue-tooltip"/>
          <w:rFonts w:asciiTheme="majorHAnsi" w:hAnsiTheme="majorHAnsi" w:cstheme="majorHAnsi"/>
          <w:b/>
          <w:bCs/>
          <w:sz w:val="24"/>
          <w:szCs w:val="24"/>
        </w:rPr>
      </w:pPr>
    </w:p>
    <w:p w:rsidR="00286666" w:rsidRPr="00513334" w:rsidRDefault="00056A8C" w:rsidP="00513334">
      <w:pPr>
        <w:jc w:val="both"/>
        <w:rPr>
          <w:rStyle w:val="blue-tooltip"/>
          <w:rFonts w:cstheme="minorHAnsi"/>
          <w:b/>
          <w:bCs/>
          <w:color w:val="0070C0"/>
          <w:sz w:val="24"/>
          <w:szCs w:val="24"/>
        </w:rPr>
      </w:pPr>
      <w:r w:rsidRPr="00513334">
        <w:rPr>
          <w:rStyle w:val="blue-tooltip"/>
          <w:rFonts w:cstheme="minorHAnsi"/>
          <w:b/>
          <w:bCs/>
          <w:sz w:val="24"/>
          <w:szCs w:val="24"/>
        </w:rPr>
        <w:t>Author</w:t>
      </w:r>
      <w:r w:rsidRPr="00513334">
        <w:rPr>
          <w:rStyle w:val="blue-tooltip"/>
          <w:rFonts w:cstheme="minorHAnsi"/>
          <w:b/>
          <w:bCs/>
          <w:color w:val="0070C0"/>
          <w:sz w:val="24"/>
          <w:szCs w:val="24"/>
        </w:rPr>
        <w:t xml:space="preserve">: </w:t>
      </w:r>
      <w:r w:rsidR="009437E0" w:rsidRPr="00513334">
        <w:rPr>
          <w:rStyle w:val="blue-tooltip"/>
          <w:rFonts w:cstheme="minorHAnsi"/>
          <w:color w:val="0070C0"/>
          <w:sz w:val="24"/>
          <w:szCs w:val="24"/>
        </w:rPr>
        <w:t xml:space="preserve"> </w:t>
      </w:r>
      <w:proofErr w:type="spellStart"/>
      <w:r w:rsidR="00513334" w:rsidRPr="00513334">
        <w:rPr>
          <w:rStyle w:val="ofieldchar"/>
          <w:rFonts w:cstheme="minorHAnsi"/>
          <w:color w:val="0070C0"/>
          <w:sz w:val="24"/>
          <w:szCs w:val="24"/>
        </w:rPr>
        <w:t>Muntasir</w:t>
      </w:r>
      <w:proofErr w:type="spellEnd"/>
      <w:r w:rsidR="00513334" w:rsidRPr="00513334">
        <w:rPr>
          <w:rStyle w:val="ofieldchar"/>
          <w:rFonts w:cstheme="minorHAnsi"/>
          <w:color w:val="0070C0"/>
          <w:sz w:val="24"/>
          <w:szCs w:val="24"/>
        </w:rPr>
        <w:t xml:space="preserve"> </w:t>
      </w:r>
      <w:proofErr w:type="spellStart"/>
      <w:r w:rsidR="00513334" w:rsidRPr="00513334">
        <w:rPr>
          <w:rStyle w:val="ofieldchar"/>
          <w:rFonts w:cstheme="minorHAnsi"/>
          <w:color w:val="0070C0"/>
          <w:sz w:val="24"/>
          <w:szCs w:val="24"/>
        </w:rPr>
        <w:t>Murshed</w:t>
      </w:r>
      <w:proofErr w:type="spellEnd"/>
      <w:proofErr w:type="gramStart"/>
      <w:r w:rsidR="00513334" w:rsidRPr="00513334">
        <w:rPr>
          <w:rStyle w:val="ofieldchar"/>
          <w:rFonts w:cstheme="minorHAnsi"/>
          <w:color w:val="0070C0"/>
          <w:sz w:val="24"/>
          <w:szCs w:val="24"/>
        </w:rPr>
        <w:t xml:space="preserve">, </w:t>
      </w:r>
      <w:r w:rsidR="00513334" w:rsidRPr="00513334">
        <w:rPr>
          <w:rStyle w:val="comma-separator"/>
          <w:rFonts w:cstheme="minorHAnsi"/>
          <w:color w:val="0070C0"/>
          <w:sz w:val="24"/>
          <w:szCs w:val="24"/>
        </w:rPr>
        <w:t> </w:t>
      </w:r>
      <w:proofErr w:type="spellStart"/>
      <w:proofErr w:type="gramEnd"/>
      <w:r w:rsidR="00513334" w:rsidRPr="00513334">
        <w:rPr>
          <w:rStyle w:val="accordion-tabbedtab-mobile"/>
          <w:rFonts w:cstheme="minorHAnsi"/>
          <w:color w:val="0070C0"/>
          <w:sz w:val="24"/>
          <w:szCs w:val="24"/>
        </w:rPr>
        <w:fldChar w:fldCharType="begin"/>
      </w:r>
      <w:r w:rsidR="00513334" w:rsidRPr="00513334">
        <w:rPr>
          <w:rStyle w:val="accordion-tabbedtab-mobile"/>
          <w:rFonts w:cstheme="minorHAnsi"/>
          <w:color w:val="0070C0"/>
          <w:sz w:val="24"/>
          <w:szCs w:val="24"/>
        </w:rPr>
        <w:instrText xml:space="preserve"> HYPERLINK "https://onlinelibrary.wiley.com/authored-by/Khan/Uzma" </w:instrText>
      </w:r>
      <w:r w:rsidR="00513334" w:rsidRPr="00513334">
        <w:rPr>
          <w:rStyle w:val="accordion-tabbedtab-mobile"/>
          <w:rFonts w:cstheme="minorHAnsi"/>
          <w:color w:val="0070C0"/>
          <w:sz w:val="24"/>
          <w:szCs w:val="24"/>
        </w:rPr>
        <w:fldChar w:fldCharType="separate"/>
      </w:r>
      <w:r w:rsidR="00513334" w:rsidRPr="00513334">
        <w:rPr>
          <w:rStyle w:val="Hyperlink"/>
          <w:rFonts w:cstheme="minorHAnsi"/>
          <w:color w:val="0070C0"/>
          <w:sz w:val="24"/>
          <w:szCs w:val="24"/>
          <w:u w:val="none"/>
        </w:rPr>
        <w:t>Uzma</w:t>
      </w:r>
      <w:proofErr w:type="spellEnd"/>
      <w:r w:rsidR="00513334" w:rsidRPr="00513334">
        <w:rPr>
          <w:rStyle w:val="Hyperlink"/>
          <w:rFonts w:cstheme="minorHAnsi"/>
          <w:color w:val="0070C0"/>
          <w:sz w:val="24"/>
          <w:szCs w:val="24"/>
          <w:u w:val="none"/>
        </w:rPr>
        <w:t xml:space="preserve"> Khan</w:t>
      </w:r>
      <w:r w:rsidR="00513334" w:rsidRPr="00513334">
        <w:rPr>
          <w:rStyle w:val="accordion-tabbedtab-mobile"/>
          <w:rFonts w:cstheme="minorHAnsi"/>
          <w:color w:val="0070C0"/>
          <w:sz w:val="24"/>
          <w:szCs w:val="24"/>
        </w:rPr>
        <w:fldChar w:fldCharType="end"/>
      </w:r>
      <w:r w:rsidR="00513334" w:rsidRPr="00513334">
        <w:rPr>
          <w:rStyle w:val="comma-separator"/>
          <w:rFonts w:cstheme="minorHAnsi"/>
          <w:color w:val="0070C0"/>
          <w:sz w:val="24"/>
          <w:szCs w:val="24"/>
        </w:rPr>
        <w:t>, </w:t>
      </w:r>
      <w:proofErr w:type="spellStart"/>
      <w:r w:rsidR="00513334" w:rsidRPr="00513334">
        <w:rPr>
          <w:rStyle w:val="accordion-tabbedtab-mobile"/>
          <w:rFonts w:cstheme="minorHAnsi"/>
          <w:color w:val="0070C0"/>
          <w:sz w:val="24"/>
          <w:szCs w:val="24"/>
        </w:rPr>
        <w:fldChar w:fldCharType="begin"/>
      </w:r>
      <w:r w:rsidR="00513334" w:rsidRPr="00513334">
        <w:rPr>
          <w:rStyle w:val="accordion-tabbedtab-mobile"/>
          <w:rFonts w:cstheme="minorHAnsi"/>
          <w:color w:val="0070C0"/>
          <w:sz w:val="24"/>
          <w:szCs w:val="24"/>
        </w:rPr>
        <w:instrText xml:space="preserve"> HYPERLINK "https://onlinelibrary.wiley.com/authored-by/Khan/Aarif+Mohammad" </w:instrText>
      </w:r>
      <w:r w:rsidR="00513334" w:rsidRPr="00513334">
        <w:rPr>
          <w:rStyle w:val="accordion-tabbedtab-mobile"/>
          <w:rFonts w:cstheme="minorHAnsi"/>
          <w:color w:val="0070C0"/>
          <w:sz w:val="24"/>
          <w:szCs w:val="24"/>
        </w:rPr>
        <w:fldChar w:fldCharType="separate"/>
      </w:r>
      <w:r w:rsidR="00513334" w:rsidRPr="00513334">
        <w:rPr>
          <w:rStyle w:val="Hyperlink"/>
          <w:rFonts w:cstheme="minorHAnsi"/>
          <w:color w:val="0070C0"/>
          <w:sz w:val="24"/>
          <w:szCs w:val="24"/>
          <w:u w:val="none"/>
        </w:rPr>
        <w:t>Aarif</w:t>
      </w:r>
      <w:proofErr w:type="spellEnd"/>
      <w:r w:rsidR="00513334" w:rsidRPr="00513334">
        <w:rPr>
          <w:rStyle w:val="Hyperlink"/>
          <w:rFonts w:cstheme="minorHAnsi"/>
          <w:color w:val="0070C0"/>
          <w:sz w:val="24"/>
          <w:szCs w:val="24"/>
          <w:u w:val="none"/>
        </w:rPr>
        <w:t xml:space="preserve"> Mohammad Khan</w:t>
      </w:r>
      <w:r w:rsidR="00513334" w:rsidRPr="00513334">
        <w:rPr>
          <w:rStyle w:val="accordion-tabbedtab-mobile"/>
          <w:rFonts w:cstheme="minorHAnsi"/>
          <w:color w:val="0070C0"/>
          <w:sz w:val="24"/>
          <w:szCs w:val="24"/>
        </w:rPr>
        <w:fldChar w:fldCharType="end"/>
      </w:r>
      <w:r w:rsidR="00513334" w:rsidRPr="00513334">
        <w:rPr>
          <w:rStyle w:val="comma-separator"/>
          <w:rFonts w:cstheme="minorHAnsi"/>
          <w:color w:val="0070C0"/>
          <w:sz w:val="24"/>
          <w:szCs w:val="24"/>
        </w:rPr>
        <w:t>, </w:t>
      </w:r>
      <w:proofErr w:type="spellStart"/>
      <w:r w:rsidR="00513334" w:rsidRPr="00513334">
        <w:rPr>
          <w:rStyle w:val="accordion-tabbedtab-mobile"/>
          <w:rFonts w:cstheme="minorHAnsi"/>
          <w:color w:val="0070C0"/>
          <w:sz w:val="24"/>
          <w:szCs w:val="24"/>
        </w:rPr>
        <w:fldChar w:fldCharType="begin"/>
      </w:r>
      <w:r w:rsidR="00513334" w:rsidRPr="00513334">
        <w:rPr>
          <w:rStyle w:val="accordion-tabbedtab-mobile"/>
          <w:rFonts w:cstheme="minorHAnsi"/>
          <w:color w:val="0070C0"/>
          <w:sz w:val="24"/>
          <w:szCs w:val="24"/>
        </w:rPr>
        <w:instrText xml:space="preserve"> HYPERLINK "https://onlinelibrary.wiley.com/authored-by/Ozturk/Ilhan" </w:instrText>
      </w:r>
      <w:r w:rsidR="00513334" w:rsidRPr="00513334">
        <w:rPr>
          <w:rStyle w:val="accordion-tabbedtab-mobile"/>
          <w:rFonts w:cstheme="minorHAnsi"/>
          <w:color w:val="0070C0"/>
          <w:sz w:val="24"/>
          <w:szCs w:val="24"/>
        </w:rPr>
        <w:fldChar w:fldCharType="separate"/>
      </w:r>
      <w:r w:rsidR="00513334" w:rsidRPr="00513334">
        <w:rPr>
          <w:rStyle w:val="Hyperlink"/>
          <w:rFonts w:cstheme="minorHAnsi"/>
          <w:color w:val="0070C0"/>
          <w:sz w:val="24"/>
          <w:szCs w:val="24"/>
          <w:u w:val="none"/>
        </w:rPr>
        <w:t>Ilhan</w:t>
      </w:r>
      <w:proofErr w:type="spellEnd"/>
      <w:r w:rsidR="00513334" w:rsidRPr="00513334">
        <w:rPr>
          <w:rStyle w:val="Hyperlink"/>
          <w:rFonts w:cstheme="minorHAnsi"/>
          <w:color w:val="0070C0"/>
          <w:sz w:val="24"/>
          <w:szCs w:val="24"/>
          <w:u w:val="none"/>
        </w:rPr>
        <w:t xml:space="preserve"> </w:t>
      </w:r>
      <w:proofErr w:type="spellStart"/>
      <w:r w:rsidR="00513334" w:rsidRPr="00513334">
        <w:rPr>
          <w:rStyle w:val="Hyperlink"/>
          <w:rFonts w:cstheme="minorHAnsi"/>
          <w:color w:val="0070C0"/>
          <w:sz w:val="24"/>
          <w:szCs w:val="24"/>
          <w:u w:val="none"/>
        </w:rPr>
        <w:t>Ozturk</w:t>
      </w:r>
      <w:proofErr w:type="spellEnd"/>
      <w:r w:rsidR="00513334" w:rsidRPr="00513334">
        <w:rPr>
          <w:rStyle w:val="accordion-tabbedtab-mobile"/>
          <w:rFonts w:cstheme="minorHAnsi"/>
          <w:color w:val="0070C0"/>
          <w:sz w:val="24"/>
          <w:szCs w:val="24"/>
        </w:rPr>
        <w:fldChar w:fldCharType="end"/>
      </w:r>
    </w:p>
    <w:p w:rsidR="00056A8C" w:rsidRPr="00513334" w:rsidRDefault="00056A8C" w:rsidP="00513334">
      <w:pPr>
        <w:jc w:val="both"/>
        <w:rPr>
          <w:rStyle w:val="blue-tooltip"/>
          <w:rFonts w:cstheme="minorHAnsi"/>
          <w:b/>
          <w:sz w:val="24"/>
          <w:szCs w:val="24"/>
        </w:rPr>
      </w:pPr>
    </w:p>
    <w:p w:rsidR="00286666" w:rsidRPr="00513334" w:rsidRDefault="00286666" w:rsidP="00513334">
      <w:pPr>
        <w:jc w:val="both"/>
        <w:rPr>
          <w:rStyle w:val="blue-tooltip"/>
          <w:rFonts w:cstheme="minorHAnsi"/>
          <w:b/>
          <w:sz w:val="24"/>
          <w:szCs w:val="24"/>
        </w:rPr>
      </w:pPr>
      <w:r w:rsidRPr="00513334">
        <w:rPr>
          <w:rStyle w:val="blue-tooltip"/>
          <w:rFonts w:cstheme="minorHAnsi"/>
          <w:b/>
          <w:sz w:val="24"/>
          <w:szCs w:val="24"/>
        </w:rPr>
        <w:t xml:space="preserve">Abstract: </w:t>
      </w:r>
      <w:r w:rsidR="00C433C0" w:rsidRPr="00513334">
        <w:rPr>
          <w:rStyle w:val="blue-tooltip"/>
          <w:rFonts w:cstheme="minorHAnsi"/>
          <w:b/>
          <w:sz w:val="24"/>
          <w:szCs w:val="24"/>
        </w:rPr>
        <w:t xml:space="preserve"> </w:t>
      </w:r>
      <w:r w:rsidR="004F276A" w:rsidRPr="00513334">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9"/>
        <w:gridCol w:w="9191"/>
      </w:tblGrid>
      <w:tr w:rsidR="00513334" w:rsidRPr="00513334" w:rsidTr="00513334">
        <w:trPr>
          <w:tblCellSpacing w:w="15" w:type="dxa"/>
        </w:trPr>
        <w:tc>
          <w:tcPr>
            <w:tcW w:w="0" w:type="auto"/>
            <w:vAlign w:val="center"/>
          </w:tcPr>
          <w:p w:rsidR="00513334" w:rsidRPr="00513334" w:rsidRDefault="00513334" w:rsidP="00513334">
            <w:pPr>
              <w:spacing w:after="0" w:line="240" w:lineRule="auto"/>
              <w:jc w:val="both"/>
              <w:rPr>
                <w:rFonts w:eastAsia="Times New Roman" w:cstheme="minorHAnsi"/>
                <w:sz w:val="24"/>
                <w:szCs w:val="24"/>
                <w:lang w:bidi="bn-BD"/>
              </w:rPr>
            </w:pPr>
          </w:p>
        </w:tc>
        <w:tc>
          <w:tcPr>
            <w:tcW w:w="4933" w:type="pct"/>
            <w:vAlign w:val="center"/>
          </w:tcPr>
          <w:p w:rsidR="00513334" w:rsidRPr="00513334" w:rsidRDefault="00513334" w:rsidP="00513334">
            <w:pPr>
              <w:spacing w:before="100" w:beforeAutospacing="1" w:after="100" w:afterAutospacing="1" w:line="240" w:lineRule="auto"/>
              <w:jc w:val="both"/>
              <w:rPr>
                <w:rFonts w:eastAsia="Times New Roman" w:cstheme="minorHAnsi"/>
                <w:sz w:val="24"/>
                <w:szCs w:val="24"/>
                <w:lang w:bidi="bn-BD"/>
              </w:rPr>
            </w:pPr>
            <w:r w:rsidRPr="00513334">
              <w:rPr>
                <w:rFonts w:eastAsia="Times New Roman" w:cstheme="minorHAnsi"/>
                <w:sz w:val="24"/>
                <w:szCs w:val="24"/>
                <w:lang w:bidi="bn-BD"/>
              </w:rPr>
              <w:t xml:space="preserve">The Next 11 countries are among the world's most </w:t>
            </w:r>
            <w:r w:rsidR="004F45FC" w:rsidRPr="00513334">
              <w:rPr>
                <w:rFonts w:eastAsia="Times New Roman" w:cstheme="minorHAnsi"/>
                <w:sz w:val="24"/>
                <w:szCs w:val="24"/>
                <w:lang w:bidi="bn-BD"/>
              </w:rPr>
              <w:t>rapidly</w:t>
            </w:r>
            <w:r w:rsidRPr="00513334">
              <w:rPr>
                <w:rFonts w:eastAsia="Times New Roman" w:cstheme="minorHAnsi"/>
                <w:sz w:val="24"/>
                <w:szCs w:val="24"/>
                <w:lang w:bidi="bn-BD"/>
              </w:rPr>
              <w:t xml:space="preserve"> emerging economies that are poised to becoming key drivers of the global economy. Nonetheless, despite progressing economically, these nations have experienced persistent deterioration in their environmental conditions. Hence, this study specifically investigates whether energy productivity gains, controlling for financial inclusion, renewable energy use, economic growth, international trade, and urbanization, can harness the carbon dioxide emissions (CO2E)-inhibiting objectives of the Next 11 countries. The empirical analysis, using annual data spanning from 2004 to 2020, involves the application of advanced econometric tools that are robust to handling the cross-sectional dependency and slope heterogeneity-related issues. The results from the econometric analysis indicate that although energy productivity gains and greater renewable energy consumption reduce emissions of carbon dioxide, making the financial system more inclusive tends to amplify the emission levels. More importantly, energy productivity gains and financial inclusion are observed to jointly reduce the CO2E figures of the Next 11 countries. Thus, it can be said that making more productive use of energy can, to some extent, neutralize the adverse </w:t>
            </w:r>
            <w:r w:rsidR="004F45FC" w:rsidRPr="00513334">
              <w:rPr>
                <w:rFonts w:eastAsia="Times New Roman" w:cstheme="minorHAnsi"/>
                <w:sz w:val="24"/>
                <w:szCs w:val="24"/>
                <w:lang w:bidi="bn-BD"/>
              </w:rPr>
              <w:t>environmental</w:t>
            </w:r>
            <w:bookmarkStart w:id="0" w:name="_GoBack"/>
            <w:bookmarkEnd w:id="0"/>
            <w:r w:rsidRPr="00513334">
              <w:rPr>
                <w:rFonts w:eastAsia="Times New Roman" w:cstheme="minorHAnsi"/>
                <w:sz w:val="24"/>
                <w:szCs w:val="24"/>
                <w:lang w:bidi="bn-BD"/>
              </w:rPr>
              <w:t xml:space="preserve"> impacts of financial inclusion. Additionally, higher economic growth, greater international trade participation, and urbanization are evidenced to boost CO2E in these countries while higher renewable energy use is observed to curb the emission levels. Furthermore, heterogeneous country-specific outcomes are also witnessed. In particular, energy productivity improvement is seen to curb CO2E in eight of these nations while a simultaneous rise in the levels of energy productivity and financial inclusion is found to jointly mitigate and boost CO2E in 55% and 18% of the Next 11 nations, respectively. Hence, in line with these key findings, a set of critically important environmental development-related policies are suggested.</w:t>
            </w:r>
          </w:p>
        </w:tc>
      </w:tr>
      <w:tr w:rsidR="00056A8C" w:rsidRPr="00513334" w:rsidTr="00513334">
        <w:trPr>
          <w:tblCellSpacing w:w="15" w:type="dxa"/>
        </w:trPr>
        <w:tc>
          <w:tcPr>
            <w:tcW w:w="0" w:type="auto"/>
            <w:vAlign w:val="center"/>
          </w:tcPr>
          <w:p w:rsidR="00056A8C" w:rsidRPr="00513334" w:rsidRDefault="00056A8C" w:rsidP="00513334">
            <w:pPr>
              <w:spacing w:after="0" w:line="240" w:lineRule="auto"/>
              <w:jc w:val="both"/>
              <w:rPr>
                <w:rFonts w:eastAsia="Times New Roman" w:cstheme="minorHAnsi"/>
                <w:sz w:val="24"/>
                <w:szCs w:val="24"/>
                <w:lang w:bidi="bn-BD"/>
              </w:rPr>
            </w:pPr>
          </w:p>
        </w:tc>
        <w:tc>
          <w:tcPr>
            <w:tcW w:w="4933" w:type="pct"/>
            <w:vAlign w:val="center"/>
          </w:tcPr>
          <w:p w:rsidR="00056A8C" w:rsidRPr="00513334" w:rsidRDefault="00056A8C" w:rsidP="00513334">
            <w:pPr>
              <w:spacing w:before="100" w:beforeAutospacing="1" w:after="100" w:afterAutospacing="1" w:line="240" w:lineRule="auto"/>
              <w:jc w:val="both"/>
              <w:rPr>
                <w:rFonts w:eastAsia="Times New Roman" w:cstheme="minorHAnsi"/>
                <w:sz w:val="24"/>
                <w:szCs w:val="24"/>
                <w:lang w:bidi="bn-BD"/>
              </w:rPr>
            </w:pPr>
          </w:p>
        </w:tc>
      </w:tr>
    </w:tbl>
    <w:p w:rsidR="000816E0" w:rsidRPr="00513334" w:rsidRDefault="000816E0" w:rsidP="00513334">
      <w:pPr>
        <w:spacing w:before="150" w:after="150" w:line="240" w:lineRule="auto"/>
        <w:jc w:val="both"/>
        <w:rPr>
          <w:rFonts w:cstheme="minorHAnsi"/>
          <w:b/>
          <w:bCs/>
          <w:color w:val="4C4C4C"/>
          <w:sz w:val="24"/>
          <w:szCs w:val="24"/>
          <w:shd w:val="clear" w:color="auto" w:fill="FFFFFF"/>
        </w:rPr>
      </w:pPr>
      <w:r w:rsidRPr="00513334">
        <w:rPr>
          <w:rFonts w:cstheme="minorHAnsi"/>
          <w:b/>
          <w:bCs/>
          <w:color w:val="4C4C4C"/>
          <w:sz w:val="24"/>
          <w:szCs w:val="24"/>
          <w:shd w:val="clear" w:color="auto" w:fill="FFFFFF"/>
        </w:rPr>
        <w:t>Conference / Journal Link:</w:t>
      </w:r>
    </w:p>
    <w:bookmarkStart w:id="1" w:name="cj_link"/>
    <w:p w:rsidR="00513334" w:rsidRPr="00513334" w:rsidRDefault="00513334" w:rsidP="00513334">
      <w:pPr>
        <w:spacing w:before="150" w:after="150" w:line="240" w:lineRule="auto"/>
        <w:jc w:val="both"/>
        <w:rPr>
          <w:rFonts w:cstheme="minorHAnsi"/>
          <w:b/>
          <w:bCs/>
          <w:color w:val="0070C0"/>
          <w:sz w:val="24"/>
          <w:szCs w:val="24"/>
          <w:shd w:val="clear" w:color="auto" w:fill="FFFFFF"/>
        </w:rPr>
      </w:pPr>
      <w:r w:rsidRPr="00513334">
        <w:rPr>
          <w:rFonts w:cstheme="minorHAnsi"/>
          <w:color w:val="0070C0"/>
          <w:sz w:val="24"/>
          <w:szCs w:val="24"/>
        </w:rPr>
        <w:fldChar w:fldCharType="begin"/>
      </w:r>
      <w:r w:rsidRPr="00513334">
        <w:rPr>
          <w:rFonts w:cstheme="minorHAnsi"/>
          <w:color w:val="0070C0"/>
          <w:sz w:val="24"/>
          <w:szCs w:val="24"/>
        </w:rPr>
        <w:instrText xml:space="preserve"> HYPERLINK "https://onlinelibrary.wiley.com/doi/abs/10.1002/sd.2393" \l ":~:text=More%20importantly%2C%20energy%20productivity%20gains,environmenntal%20impacts%20of%20financial%20inclusion." \t "_blank" </w:instrText>
      </w:r>
      <w:r w:rsidRPr="00513334">
        <w:rPr>
          <w:rFonts w:cstheme="minorHAnsi"/>
          <w:color w:val="0070C0"/>
          <w:sz w:val="24"/>
          <w:szCs w:val="24"/>
        </w:rPr>
        <w:fldChar w:fldCharType="separate"/>
      </w:r>
      <w:r w:rsidRPr="00513334">
        <w:rPr>
          <w:rStyle w:val="Hyperlink"/>
          <w:rFonts w:cstheme="minorHAnsi"/>
          <w:color w:val="0070C0"/>
          <w:sz w:val="24"/>
          <w:szCs w:val="24"/>
          <w:u w:val="none"/>
        </w:rPr>
        <w:t>https://onlinelibrary.wiley.com/doi/abs/10.1002/sd.2393#:~:text=More%20imp</w:t>
      </w:r>
      <w:r w:rsidRPr="00513334">
        <w:rPr>
          <w:rFonts w:cstheme="minorHAnsi"/>
          <w:color w:val="0070C0"/>
          <w:sz w:val="24"/>
          <w:szCs w:val="24"/>
        </w:rPr>
        <w:fldChar w:fldCharType="end"/>
      </w:r>
      <w:bookmarkEnd w:id="1"/>
    </w:p>
    <w:p w:rsidR="000816E0" w:rsidRPr="00513334" w:rsidRDefault="000816E0" w:rsidP="00513334">
      <w:pPr>
        <w:spacing w:before="150"/>
        <w:jc w:val="both"/>
        <w:rPr>
          <w:rFonts w:cstheme="minorHAnsi"/>
          <w:b/>
          <w:color w:val="4C4C4C"/>
          <w:sz w:val="24"/>
          <w:szCs w:val="24"/>
        </w:rPr>
      </w:pPr>
      <w:r w:rsidRPr="00513334">
        <w:rPr>
          <w:rFonts w:cstheme="minorHAnsi"/>
          <w:b/>
          <w:color w:val="4C4C4C"/>
          <w:sz w:val="24"/>
          <w:szCs w:val="24"/>
        </w:rPr>
        <w:t>DOI:</w:t>
      </w:r>
    </w:p>
    <w:p w:rsidR="00513334" w:rsidRPr="00513334" w:rsidRDefault="00513334" w:rsidP="00513334">
      <w:pPr>
        <w:jc w:val="both"/>
        <w:rPr>
          <w:color w:val="0070C0"/>
        </w:rPr>
      </w:pPr>
      <w:hyperlink r:id="rId4" w:history="1">
        <w:r w:rsidRPr="00513334">
          <w:rPr>
            <w:rStyle w:val="Hyperlink"/>
            <w:rFonts w:cstheme="minorHAnsi"/>
            <w:color w:val="0070C0"/>
            <w:sz w:val="24"/>
            <w:szCs w:val="24"/>
            <w:u w:val="none"/>
          </w:rPr>
          <w:t>https://doi.org/10.1002/sd.2393</w:t>
        </w:r>
      </w:hyperlink>
    </w:p>
    <w:sectPr w:rsidR="00513334" w:rsidRPr="00513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061D4"/>
    <w:rsid w:val="00212608"/>
    <w:rsid w:val="00282502"/>
    <w:rsid w:val="00286666"/>
    <w:rsid w:val="002C78EC"/>
    <w:rsid w:val="002E30B8"/>
    <w:rsid w:val="00383B0C"/>
    <w:rsid w:val="00397E1D"/>
    <w:rsid w:val="003D493B"/>
    <w:rsid w:val="004B77E2"/>
    <w:rsid w:val="004F276A"/>
    <w:rsid w:val="004F45FC"/>
    <w:rsid w:val="00513334"/>
    <w:rsid w:val="005241A4"/>
    <w:rsid w:val="00542D8F"/>
    <w:rsid w:val="00597AC0"/>
    <w:rsid w:val="005A50A4"/>
    <w:rsid w:val="00680E6F"/>
    <w:rsid w:val="006920D4"/>
    <w:rsid w:val="006F61D2"/>
    <w:rsid w:val="00740C0D"/>
    <w:rsid w:val="0078199A"/>
    <w:rsid w:val="007A2B06"/>
    <w:rsid w:val="008543AA"/>
    <w:rsid w:val="008659B7"/>
    <w:rsid w:val="008A7665"/>
    <w:rsid w:val="008B4C75"/>
    <w:rsid w:val="008E59F8"/>
    <w:rsid w:val="008F4B6C"/>
    <w:rsid w:val="008F7BAB"/>
    <w:rsid w:val="0090116F"/>
    <w:rsid w:val="00903341"/>
    <w:rsid w:val="009437E0"/>
    <w:rsid w:val="00A6337C"/>
    <w:rsid w:val="00A675F1"/>
    <w:rsid w:val="00A94B34"/>
    <w:rsid w:val="00AB508E"/>
    <w:rsid w:val="00AC4B91"/>
    <w:rsid w:val="00AC5C4F"/>
    <w:rsid w:val="00B2123C"/>
    <w:rsid w:val="00B409D9"/>
    <w:rsid w:val="00BB2349"/>
    <w:rsid w:val="00C433C0"/>
    <w:rsid w:val="00C665A2"/>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ccordion-tabbedtab-mobile">
    <w:name w:val="accordion-tabbed__tab-mobile"/>
    <w:basedOn w:val="DefaultParagraphFont"/>
    <w:rsid w:val="00513334"/>
  </w:style>
  <w:style w:type="character" w:customStyle="1" w:styleId="comma-separator">
    <w:name w:val="comma-separator"/>
    <w:basedOn w:val="DefaultParagraphFont"/>
    <w:rsid w:val="00513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573458">
      <w:bodyDiv w:val="1"/>
      <w:marLeft w:val="0"/>
      <w:marRight w:val="0"/>
      <w:marTop w:val="0"/>
      <w:marBottom w:val="0"/>
      <w:divBdr>
        <w:top w:val="none" w:sz="0" w:space="0" w:color="auto"/>
        <w:left w:val="none" w:sz="0" w:space="0" w:color="auto"/>
        <w:bottom w:val="none" w:sz="0" w:space="0" w:color="auto"/>
        <w:right w:val="none" w:sz="0" w:space="0" w:color="auto"/>
      </w:divBdr>
      <w:divsChild>
        <w:div w:id="1892309146">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12062">
      <w:bodyDiv w:val="1"/>
      <w:marLeft w:val="0"/>
      <w:marRight w:val="0"/>
      <w:marTop w:val="0"/>
      <w:marBottom w:val="0"/>
      <w:divBdr>
        <w:top w:val="none" w:sz="0" w:space="0" w:color="auto"/>
        <w:left w:val="none" w:sz="0" w:space="0" w:color="auto"/>
        <w:bottom w:val="none" w:sz="0" w:space="0" w:color="auto"/>
        <w:right w:val="none" w:sz="0" w:space="0" w:color="auto"/>
      </w:divBdr>
      <w:divsChild>
        <w:div w:id="32778024">
          <w:marLeft w:val="0"/>
          <w:marRight w:val="0"/>
          <w:marTop w:val="0"/>
          <w:marBottom w:val="0"/>
          <w:divBdr>
            <w:top w:val="none" w:sz="0" w:space="0" w:color="auto"/>
            <w:left w:val="none" w:sz="0" w:space="0" w:color="auto"/>
            <w:bottom w:val="none" w:sz="0" w:space="0" w:color="auto"/>
            <w:right w:val="none" w:sz="0" w:space="0" w:color="auto"/>
          </w:divBdr>
          <w:divsChild>
            <w:div w:id="142773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2/sd.23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2024-04-30T04:35:00Z</dcterms:created>
  <dcterms:modified xsi:type="dcterms:W3CDTF">2024-04-30T09:25:00Z</dcterms:modified>
</cp:coreProperties>
</file>