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Pr="002C0DD0" w:rsidRDefault="002C0DD0">
      <w:pPr>
        <w:rPr>
          <w:rStyle w:val="blue-tooltip"/>
          <w:bCs/>
          <w:sz w:val="40"/>
          <w:szCs w:val="40"/>
        </w:rPr>
      </w:pPr>
      <w:r w:rsidRPr="002C0DD0">
        <w:rPr>
          <w:rStyle w:val="blue-tooltip"/>
          <w:bCs/>
          <w:sz w:val="40"/>
          <w:szCs w:val="40"/>
        </w:rPr>
        <w:t xml:space="preserve">Carbon Rich Media for Luminescence-Based Surface </w:t>
      </w:r>
      <w:proofErr w:type="spellStart"/>
      <w:r w:rsidRPr="002C0DD0">
        <w:rPr>
          <w:rStyle w:val="blue-tooltip"/>
          <w:bCs/>
          <w:sz w:val="40"/>
          <w:szCs w:val="40"/>
        </w:rPr>
        <w:t>Dosimetry</w:t>
      </w:r>
      <w:proofErr w:type="spellEnd"/>
      <w:r w:rsidRPr="002C0DD0">
        <w:rPr>
          <w:rStyle w:val="blue-tooltip"/>
          <w:bCs/>
          <w:sz w:val="40"/>
          <w:szCs w:val="40"/>
        </w:rPr>
        <w:t xml:space="preserve"> and Study of Associated Surface Defects</w:t>
      </w:r>
    </w:p>
    <w:p w:rsidR="00E31088" w:rsidRDefault="00E31088">
      <w:pPr>
        <w:rPr>
          <w:rStyle w:val="blue-tooltip"/>
          <w:rFonts w:asciiTheme="majorHAnsi" w:hAnsiTheme="majorHAnsi" w:cstheme="majorHAnsi"/>
          <w:b/>
          <w:bCs/>
          <w:sz w:val="24"/>
          <w:szCs w:val="24"/>
        </w:rPr>
      </w:pPr>
    </w:p>
    <w:p w:rsidR="00E31088" w:rsidRPr="00E31088" w:rsidRDefault="00056A8C" w:rsidP="00E31088">
      <w:pPr>
        <w:jc w:val="both"/>
        <w:rPr>
          <w:rFonts w:eastAsia="Times New Roman" w:cstheme="minorHAnsi"/>
          <w:color w:val="0070C0"/>
          <w:sz w:val="24"/>
          <w:szCs w:val="24"/>
        </w:rPr>
      </w:pPr>
      <w:r w:rsidRPr="00007462">
        <w:rPr>
          <w:rStyle w:val="blue-tooltip"/>
          <w:rFonts w:cstheme="minorHAnsi"/>
          <w:b/>
          <w:bCs/>
          <w:sz w:val="24"/>
          <w:szCs w:val="24"/>
        </w:rPr>
        <w:t>Author</w:t>
      </w:r>
      <w:r w:rsidRPr="00007462">
        <w:rPr>
          <w:rStyle w:val="blue-tooltip"/>
          <w:rFonts w:cstheme="minorHAnsi"/>
          <w:b/>
          <w:bCs/>
          <w:color w:val="0070C0"/>
          <w:sz w:val="24"/>
          <w:szCs w:val="24"/>
        </w:rPr>
        <w:t xml:space="preserve">: </w:t>
      </w:r>
      <w:r w:rsidR="009437E0" w:rsidRPr="00007462">
        <w:rPr>
          <w:rStyle w:val="blue-tooltip"/>
          <w:rFonts w:cstheme="minorHAnsi"/>
          <w:color w:val="0070C0"/>
          <w:sz w:val="24"/>
          <w:szCs w:val="24"/>
        </w:rPr>
        <w:t xml:space="preserve"> </w:t>
      </w:r>
      <w:r w:rsidR="00E31088" w:rsidRPr="00007462">
        <w:rPr>
          <w:rFonts w:eastAsia="Times New Roman" w:cstheme="minorHAnsi"/>
          <w:color w:val="0070C0"/>
          <w:sz w:val="24"/>
          <w:szCs w:val="24"/>
        </w:rPr>
        <w:t>S.E. Lam, D.A.</w:t>
      </w:r>
      <w:r w:rsidR="00E31088" w:rsidRPr="00E31088">
        <w:rPr>
          <w:rFonts w:eastAsia="Times New Roman" w:cstheme="minorHAnsi"/>
          <w:color w:val="0070C0"/>
          <w:sz w:val="24"/>
          <w:szCs w:val="24"/>
        </w:rPr>
        <w:t xml:space="preserve"> </w:t>
      </w:r>
      <w:r w:rsidR="00E31088" w:rsidRPr="00007462">
        <w:rPr>
          <w:rFonts w:eastAsia="Times New Roman" w:cstheme="minorHAnsi"/>
          <w:color w:val="0070C0"/>
          <w:sz w:val="24"/>
          <w:szCs w:val="24"/>
        </w:rPr>
        <w:t>Bradley, S.N.</w:t>
      </w:r>
      <w:r w:rsidR="00E31088" w:rsidRPr="00E31088">
        <w:rPr>
          <w:rFonts w:eastAsia="Times New Roman" w:cstheme="minorHAnsi"/>
          <w:color w:val="0070C0"/>
          <w:sz w:val="24"/>
          <w:szCs w:val="24"/>
        </w:rPr>
        <w:t xml:space="preserve"> </w:t>
      </w:r>
      <w:r w:rsidR="00E31088" w:rsidRPr="00007462">
        <w:rPr>
          <w:rFonts w:eastAsia="Times New Roman" w:cstheme="minorHAnsi"/>
          <w:color w:val="0070C0"/>
          <w:sz w:val="24"/>
          <w:szCs w:val="24"/>
        </w:rPr>
        <w:t xml:space="preserve">Mat </w:t>
      </w:r>
      <w:proofErr w:type="spellStart"/>
      <w:r w:rsidR="00E31088" w:rsidRPr="00007462">
        <w:rPr>
          <w:rFonts w:eastAsia="Times New Roman" w:cstheme="minorHAnsi"/>
          <w:color w:val="0070C0"/>
          <w:sz w:val="24"/>
          <w:szCs w:val="24"/>
        </w:rPr>
        <w:t>Nawi</w:t>
      </w:r>
      <w:proofErr w:type="spellEnd"/>
      <w:r w:rsidR="00E31088" w:rsidRPr="00007462">
        <w:rPr>
          <w:rFonts w:eastAsia="Times New Roman" w:cstheme="minorHAnsi"/>
          <w:color w:val="0070C0"/>
          <w:sz w:val="24"/>
          <w:szCs w:val="24"/>
        </w:rPr>
        <w:t>, M.U.</w:t>
      </w:r>
      <w:r w:rsidR="00E31088" w:rsidRPr="00E31088">
        <w:rPr>
          <w:rFonts w:eastAsia="Times New Roman" w:cstheme="minorHAnsi"/>
          <w:color w:val="0070C0"/>
          <w:sz w:val="24"/>
          <w:szCs w:val="24"/>
        </w:rPr>
        <w:t xml:space="preserve"> </w:t>
      </w:r>
      <w:proofErr w:type="spellStart"/>
      <w:r w:rsidR="00E31088" w:rsidRPr="00007462">
        <w:rPr>
          <w:rFonts w:eastAsia="Times New Roman" w:cstheme="minorHAnsi"/>
          <w:color w:val="0070C0"/>
          <w:sz w:val="24"/>
          <w:szCs w:val="24"/>
        </w:rPr>
        <w:t>Khandaker</w:t>
      </w:r>
      <w:proofErr w:type="spellEnd"/>
      <w:r w:rsidR="00E31088" w:rsidRPr="00007462">
        <w:rPr>
          <w:rFonts w:eastAsia="Times New Roman" w:cstheme="minorHAnsi"/>
          <w:color w:val="0070C0"/>
          <w:sz w:val="24"/>
          <w:szCs w:val="24"/>
        </w:rPr>
        <w:t>, S.F.</w:t>
      </w:r>
      <w:r w:rsidR="00E31088" w:rsidRPr="00E31088">
        <w:rPr>
          <w:rFonts w:eastAsia="Times New Roman" w:cstheme="minorHAnsi"/>
          <w:color w:val="0070C0"/>
          <w:sz w:val="24"/>
          <w:szCs w:val="24"/>
        </w:rPr>
        <w:t xml:space="preserve"> </w:t>
      </w:r>
      <w:r w:rsidR="00E31088" w:rsidRPr="00007462">
        <w:rPr>
          <w:rFonts w:eastAsia="Times New Roman" w:cstheme="minorHAnsi"/>
          <w:color w:val="0070C0"/>
          <w:sz w:val="24"/>
          <w:szCs w:val="24"/>
        </w:rPr>
        <w:t xml:space="preserve">Abdul </w:t>
      </w:r>
      <w:proofErr w:type="spellStart"/>
      <w:r w:rsidR="00E31088" w:rsidRPr="00007462">
        <w:rPr>
          <w:rFonts w:eastAsia="Times New Roman" w:cstheme="minorHAnsi"/>
          <w:color w:val="0070C0"/>
          <w:sz w:val="24"/>
          <w:szCs w:val="24"/>
        </w:rPr>
        <w:t>Sani</w:t>
      </w:r>
      <w:proofErr w:type="spellEnd"/>
    </w:p>
    <w:p w:rsidR="00286666" w:rsidRPr="00007462" w:rsidRDefault="00286666" w:rsidP="00E31088">
      <w:pPr>
        <w:jc w:val="both"/>
        <w:rPr>
          <w:rStyle w:val="blue-tooltip"/>
          <w:rFonts w:cstheme="minorHAnsi"/>
          <w:b/>
          <w:bCs/>
          <w:color w:val="0070C0"/>
          <w:sz w:val="24"/>
          <w:szCs w:val="24"/>
        </w:rPr>
      </w:pPr>
    </w:p>
    <w:p w:rsidR="00286666" w:rsidRPr="00007462" w:rsidRDefault="00286666" w:rsidP="00E31088">
      <w:pPr>
        <w:jc w:val="both"/>
        <w:rPr>
          <w:rStyle w:val="blue-tooltip"/>
          <w:rFonts w:cstheme="minorHAnsi"/>
          <w:b/>
          <w:sz w:val="24"/>
          <w:szCs w:val="24"/>
        </w:rPr>
      </w:pPr>
      <w:r w:rsidRPr="00007462">
        <w:rPr>
          <w:rStyle w:val="blue-tooltip"/>
          <w:rFonts w:cstheme="minorHAnsi"/>
          <w:b/>
          <w:sz w:val="24"/>
          <w:szCs w:val="24"/>
        </w:rPr>
        <w:t xml:space="preserve">Abstract: </w:t>
      </w:r>
      <w:r w:rsidR="00C433C0" w:rsidRPr="00007462">
        <w:rPr>
          <w:rStyle w:val="blue-tooltip"/>
          <w:rFonts w:cstheme="minorHAnsi"/>
          <w:b/>
          <w:sz w:val="24"/>
          <w:szCs w:val="24"/>
        </w:rPr>
        <w:t xml:space="preserve"> </w:t>
      </w:r>
      <w:r w:rsidR="004F276A" w:rsidRPr="00007462">
        <w:rPr>
          <w:rStyle w:val="blue-tooltip"/>
          <w:rFonts w:cstheme="minorHAnsi"/>
          <w:b/>
          <w:sz w:val="24"/>
          <w:szCs w:val="24"/>
        </w:rPr>
        <w:t xml:space="preserve"> </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256"/>
        <w:gridCol w:w="9104"/>
      </w:tblGrid>
      <w:tr w:rsidR="00E31088" w:rsidRPr="00007462" w:rsidTr="00E31088">
        <w:trPr>
          <w:tblCellSpacing w:w="15" w:type="dxa"/>
        </w:trPr>
        <w:tc>
          <w:tcPr>
            <w:tcW w:w="0" w:type="auto"/>
            <w:vAlign w:val="center"/>
          </w:tcPr>
          <w:p w:rsidR="00E31088" w:rsidRPr="00007462" w:rsidRDefault="00E31088" w:rsidP="00E31088">
            <w:pPr>
              <w:spacing w:after="0" w:line="240" w:lineRule="auto"/>
              <w:jc w:val="both"/>
              <w:rPr>
                <w:rFonts w:eastAsia="Times New Roman" w:cstheme="minorHAnsi"/>
                <w:sz w:val="24"/>
                <w:szCs w:val="24"/>
                <w:lang w:bidi="bn-BD"/>
              </w:rPr>
            </w:pPr>
          </w:p>
        </w:tc>
        <w:tc>
          <w:tcPr>
            <w:tcW w:w="4886" w:type="pct"/>
            <w:vAlign w:val="center"/>
          </w:tcPr>
          <w:p w:rsidR="00E31088" w:rsidRPr="00007462" w:rsidRDefault="00E31088" w:rsidP="00E31088">
            <w:pPr>
              <w:spacing w:before="100" w:after="100"/>
              <w:jc w:val="both"/>
              <w:rPr>
                <w:rFonts w:eastAsia="Times New Roman" w:cstheme="minorHAnsi"/>
                <w:sz w:val="24"/>
                <w:szCs w:val="24"/>
                <w:lang w:bidi="bn-BD"/>
              </w:rPr>
            </w:pPr>
            <w:r w:rsidRPr="00007462">
              <w:rPr>
                <w:rFonts w:eastAsia="Times New Roman" w:cstheme="minorHAnsi"/>
                <w:sz w:val="24"/>
                <w:szCs w:val="24"/>
                <w:lang w:bidi="bn-BD"/>
              </w:rPr>
              <w:t xml:space="preserve">The present study continues research into the </w:t>
            </w:r>
            <w:proofErr w:type="spellStart"/>
            <w:r w:rsidRPr="00007462">
              <w:rPr>
                <w:rFonts w:eastAsia="Times New Roman" w:cstheme="minorHAnsi"/>
                <w:sz w:val="24"/>
                <w:szCs w:val="24"/>
                <w:lang w:bidi="bn-BD"/>
              </w:rPr>
              <w:t>utilisation</w:t>
            </w:r>
            <w:proofErr w:type="spellEnd"/>
            <w:r w:rsidRPr="00007462">
              <w:rPr>
                <w:rFonts w:eastAsia="Times New Roman" w:cstheme="minorHAnsi"/>
                <w:sz w:val="24"/>
                <w:szCs w:val="24"/>
                <w:lang w:bidi="bn-BD"/>
              </w:rPr>
              <w:t xml:space="preserve"> of carbonaceous media for medical radiation </w:t>
            </w:r>
            <w:proofErr w:type="spellStart"/>
            <w:r w:rsidRPr="00007462">
              <w:rPr>
                <w:rFonts w:eastAsia="Times New Roman" w:cstheme="minorHAnsi"/>
                <w:sz w:val="24"/>
                <w:szCs w:val="24"/>
                <w:lang w:bidi="bn-BD"/>
              </w:rPr>
              <w:fldChar w:fldCharType="begin"/>
            </w:r>
            <w:r w:rsidRPr="00007462">
              <w:rPr>
                <w:rFonts w:eastAsia="Times New Roman" w:cstheme="minorHAnsi"/>
                <w:sz w:val="24"/>
                <w:szCs w:val="24"/>
                <w:lang w:bidi="bn-BD"/>
              </w:rPr>
              <w:instrText xml:space="preserve"> HYPERLINK "https://www.sciencedirect.com/topics/physics-and-astronomy/dosimeter" \o "Learn more about dosimetry from ScienceDirect's AI-generated Topic Pages" </w:instrText>
            </w:r>
            <w:r w:rsidRPr="00007462">
              <w:rPr>
                <w:rFonts w:eastAsia="Times New Roman" w:cstheme="minorHAnsi"/>
                <w:sz w:val="24"/>
                <w:szCs w:val="24"/>
                <w:lang w:bidi="bn-BD"/>
              </w:rPr>
              <w:fldChar w:fldCharType="separate"/>
            </w:r>
            <w:r w:rsidRPr="00007462">
              <w:rPr>
                <w:rStyle w:val="Hyperlink"/>
                <w:rFonts w:eastAsia="Times New Roman" w:cstheme="minorHAnsi"/>
                <w:color w:val="auto"/>
                <w:sz w:val="24"/>
                <w:szCs w:val="24"/>
                <w:lang w:bidi="bn-BD"/>
              </w:rPr>
              <w:t>dosimetry</w:t>
            </w:r>
            <w:proofErr w:type="spellEnd"/>
            <w:r w:rsidRPr="00007462">
              <w:rPr>
                <w:rFonts w:eastAsia="Times New Roman" w:cstheme="minorHAnsi"/>
                <w:sz w:val="24"/>
                <w:szCs w:val="24"/>
                <w:lang w:bidi="bn-BD"/>
              </w:rPr>
              <w:fldChar w:fldCharType="end"/>
            </w:r>
            <w:r w:rsidRPr="00007462">
              <w:rPr>
                <w:rFonts w:eastAsia="Times New Roman" w:cstheme="minorHAnsi"/>
                <w:sz w:val="24"/>
                <w:szCs w:val="24"/>
                <w:lang w:bidi="bn-BD"/>
              </w:rPr>
              <w:t xml:space="preserve">, focusing on the effects of surface area-to-volume ratio and carbon content on structural interaction alterations and </w:t>
            </w:r>
            <w:proofErr w:type="spellStart"/>
            <w:r w:rsidRPr="00007462">
              <w:rPr>
                <w:rFonts w:eastAsia="Times New Roman" w:cstheme="minorHAnsi"/>
                <w:sz w:val="24"/>
                <w:szCs w:val="24"/>
                <w:lang w:bidi="bn-BD"/>
              </w:rPr>
              <w:t>dosimetric</w:t>
            </w:r>
            <w:proofErr w:type="spellEnd"/>
            <w:r w:rsidRPr="00007462">
              <w:rPr>
                <w:rFonts w:eastAsia="Times New Roman" w:cstheme="minorHAnsi"/>
                <w:sz w:val="24"/>
                <w:szCs w:val="24"/>
                <w:lang w:bidi="bn-BD"/>
              </w:rPr>
              <w:t xml:space="preserve"> properties in sheet- and bead-type graphitic materials (with the respective carbon content of </w:t>
            </w:r>
            <w:r w:rsidRPr="00007462">
              <w:rPr>
                <w:rFonts w:ascii="Cambria Math" w:eastAsia="Times New Roman" w:hAnsi="Cambria Math" w:cs="Cambria Math"/>
                <w:sz w:val="24"/>
                <w:szCs w:val="24"/>
                <w:lang w:bidi="bn-BD"/>
              </w:rPr>
              <w:t>∼</w:t>
            </w:r>
            <w:r w:rsidRPr="00007462">
              <w:rPr>
                <w:rFonts w:eastAsia="Times New Roman" w:cstheme="minorHAnsi"/>
                <w:sz w:val="24"/>
                <w:szCs w:val="24"/>
                <w:lang w:bidi="bn-BD"/>
              </w:rPr>
              <w:t>98</w:t>
            </w:r>
            <w:r w:rsidRPr="00007462">
              <w:rPr>
                <w:rFonts w:ascii="Calibri" w:eastAsia="Times New Roman" w:hAnsi="Calibri" w:cs="Calibri"/>
                <w:sz w:val="24"/>
                <w:szCs w:val="24"/>
                <w:lang w:bidi="bn-BD"/>
              </w:rPr>
              <w:t> </w:t>
            </w:r>
            <w:proofErr w:type="spellStart"/>
            <w:r w:rsidRPr="00007462">
              <w:rPr>
                <w:rFonts w:eastAsia="Times New Roman" w:cstheme="minorHAnsi"/>
                <w:sz w:val="24"/>
                <w:szCs w:val="24"/>
                <w:lang w:bidi="bn-BD"/>
              </w:rPr>
              <w:t>wt</w:t>
            </w:r>
            <w:proofErr w:type="spellEnd"/>
            <w:r w:rsidRPr="00007462">
              <w:rPr>
                <w:rFonts w:eastAsia="Times New Roman" w:cstheme="minorHAnsi"/>
                <w:sz w:val="24"/>
                <w:szCs w:val="24"/>
                <w:lang w:bidi="bn-BD"/>
              </w:rPr>
              <w:t xml:space="preserve">% and </w:t>
            </w:r>
            <w:r w:rsidRPr="00007462">
              <w:rPr>
                <w:rFonts w:ascii="Cambria Math" w:eastAsia="Times New Roman" w:hAnsi="Cambria Math" w:cs="Cambria Math"/>
                <w:sz w:val="24"/>
                <w:szCs w:val="24"/>
                <w:lang w:bidi="bn-BD"/>
              </w:rPr>
              <w:t>∼</w:t>
            </w:r>
            <w:r w:rsidRPr="00007462">
              <w:rPr>
                <w:rFonts w:eastAsia="Times New Roman" w:cstheme="minorHAnsi"/>
                <w:sz w:val="24"/>
                <w:szCs w:val="24"/>
                <w:lang w:bidi="bn-BD"/>
              </w:rPr>
              <w:t>90 </w:t>
            </w:r>
            <w:proofErr w:type="spellStart"/>
            <w:r w:rsidRPr="00007462">
              <w:rPr>
                <w:rFonts w:eastAsia="Times New Roman" w:cstheme="minorHAnsi"/>
                <w:sz w:val="24"/>
                <w:szCs w:val="24"/>
                <w:lang w:bidi="bn-BD"/>
              </w:rPr>
              <w:t>wt</w:t>
            </w:r>
            <w:proofErr w:type="spellEnd"/>
            <w:r w:rsidRPr="00007462">
              <w:rPr>
                <w:rFonts w:eastAsia="Times New Roman" w:cstheme="minorHAnsi"/>
                <w:sz w:val="24"/>
                <w:szCs w:val="24"/>
                <w:lang w:bidi="bn-BD"/>
              </w:rPr>
              <w:t>%). Using 60Co gamma-rays and doses from 0.5 </w:t>
            </w:r>
            <w:proofErr w:type="spellStart"/>
            <w:r w:rsidRPr="00007462">
              <w:rPr>
                <w:rFonts w:eastAsia="Times New Roman" w:cstheme="minorHAnsi"/>
                <w:sz w:val="24"/>
                <w:szCs w:val="24"/>
                <w:lang w:bidi="bn-BD"/>
              </w:rPr>
              <w:t>Gy</w:t>
            </w:r>
            <w:proofErr w:type="spellEnd"/>
            <w:r w:rsidRPr="00007462">
              <w:rPr>
                <w:rFonts w:eastAsia="Times New Roman" w:cstheme="minorHAnsi"/>
                <w:sz w:val="24"/>
                <w:szCs w:val="24"/>
                <w:lang w:bidi="bn-BD"/>
              </w:rPr>
              <w:t xml:space="preserve"> to 20 </w:t>
            </w:r>
            <w:proofErr w:type="spellStart"/>
            <w:r w:rsidRPr="00007462">
              <w:rPr>
                <w:rFonts w:eastAsia="Times New Roman" w:cstheme="minorHAnsi"/>
                <w:sz w:val="24"/>
                <w:szCs w:val="24"/>
                <w:lang w:bidi="bn-BD"/>
              </w:rPr>
              <w:t>Gy</w:t>
            </w:r>
            <w:proofErr w:type="spellEnd"/>
            <w:r w:rsidRPr="00007462">
              <w:rPr>
                <w:rFonts w:eastAsia="Times New Roman" w:cstheme="minorHAnsi"/>
                <w:sz w:val="24"/>
                <w:szCs w:val="24"/>
                <w:lang w:bidi="bn-BD"/>
              </w:rPr>
              <w:t>, the study has been made of the response of commercially available graphite in the form of 0.1 mm, 0.2 mm, 0.3 mm and 0.5 mm thick sheets, also of activated carbon beads. Confocal Raman and </w:t>
            </w:r>
            <w:hyperlink r:id="rId4" w:tooltip="Learn more about photoluminescence from ScienceDirect's AI-generated Topic Pages" w:history="1">
              <w:r w:rsidRPr="00007462">
                <w:rPr>
                  <w:rStyle w:val="Hyperlink"/>
                  <w:rFonts w:eastAsia="Times New Roman" w:cstheme="minorHAnsi"/>
                  <w:color w:val="auto"/>
                  <w:sz w:val="24"/>
                  <w:szCs w:val="24"/>
                  <w:lang w:bidi="bn-BD"/>
                </w:rPr>
                <w:t>photoluminescence</w:t>
              </w:r>
            </w:hyperlink>
            <w:r w:rsidRPr="00007462">
              <w:rPr>
                <w:rFonts w:eastAsia="Times New Roman" w:cstheme="minorHAnsi"/>
                <w:sz w:val="24"/>
                <w:szCs w:val="24"/>
                <w:lang w:bidi="bn-BD"/>
              </w:rPr>
              <w:t> spectroscopy have been employed, examining radiation-induced structural interaction alterations. Dose-dependent variation in the Raman intensity ratio ID/IG relates to the varying dominance of defect generation and dose-driven defect annealing. Of the various thickness graphite sheets, the 0.1 mm thick medium possesses the greatest surface area-to-volume ratio. Perhaps unsurprisingly, it also exhibits the greatest </w:t>
            </w:r>
            <w:proofErr w:type="spellStart"/>
            <w:r w:rsidRPr="00007462">
              <w:rPr>
                <w:rFonts w:eastAsia="Times New Roman" w:cstheme="minorHAnsi"/>
                <w:sz w:val="24"/>
                <w:szCs w:val="24"/>
                <w:lang w:bidi="bn-BD"/>
              </w:rPr>
              <w:fldChar w:fldCharType="begin"/>
            </w:r>
            <w:r w:rsidRPr="00007462">
              <w:rPr>
                <w:rFonts w:eastAsia="Times New Roman" w:cstheme="minorHAnsi"/>
                <w:sz w:val="24"/>
                <w:szCs w:val="24"/>
                <w:lang w:bidi="bn-BD"/>
              </w:rPr>
              <w:instrText xml:space="preserve"> HYPERLINK "https://www.sciencedirect.com/topics/physics-and-astronomy/thermoluminescence" \o "Learn more about thermoluminescence from ScienceDirect's AI-generated Topic Pages" </w:instrText>
            </w:r>
            <w:r w:rsidRPr="00007462">
              <w:rPr>
                <w:rFonts w:eastAsia="Times New Roman" w:cstheme="minorHAnsi"/>
                <w:sz w:val="24"/>
                <w:szCs w:val="24"/>
                <w:lang w:bidi="bn-BD"/>
              </w:rPr>
              <w:fldChar w:fldCharType="separate"/>
            </w:r>
            <w:r w:rsidRPr="00007462">
              <w:rPr>
                <w:rStyle w:val="Hyperlink"/>
                <w:rFonts w:eastAsia="Times New Roman" w:cstheme="minorHAnsi"/>
                <w:color w:val="auto"/>
                <w:sz w:val="24"/>
                <w:szCs w:val="24"/>
                <w:lang w:bidi="bn-BD"/>
              </w:rPr>
              <w:t>thermoluminescence</w:t>
            </w:r>
            <w:proofErr w:type="spellEnd"/>
            <w:r w:rsidRPr="00007462">
              <w:rPr>
                <w:rFonts w:eastAsia="Times New Roman" w:cstheme="minorHAnsi"/>
                <w:sz w:val="24"/>
                <w:szCs w:val="24"/>
                <w:lang w:bidi="bn-BD"/>
              </w:rPr>
              <w:fldChar w:fldCharType="end"/>
            </w:r>
            <w:r w:rsidRPr="00007462">
              <w:rPr>
                <w:rFonts w:eastAsia="Times New Roman" w:cstheme="minorHAnsi"/>
                <w:sz w:val="24"/>
                <w:szCs w:val="24"/>
                <w:lang w:bidi="bn-BD"/>
              </w:rPr>
              <w:t> (TL) yield compared to that of the other carbonaceous sheet foils used herein. Moreover, the second greatest mass-</w:t>
            </w:r>
            <w:proofErr w:type="spellStart"/>
            <w:r w:rsidRPr="00007462">
              <w:rPr>
                <w:rFonts w:eastAsia="Times New Roman" w:cstheme="minorHAnsi"/>
                <w:sz w:val="24"/>
                <w:szCs w:val="24"/>
                <w:lang w:bidi="bn-BD"/>
              </w:rPr>
              <w:t>normalised</w:t>
            </w:r>
            <w:proofErr w:type="spellEnd"/>
            <w:r w:rsidRPr="00007462">
              <w:rPr>
                <w:rFonts w:eastAsia="Times New Roman" w:cstheme="minorHAnsi"/>
                <w:sz w:val="24"/>
                <w:szCs w:val="24"/>
                <w:lang w:bidi="bn-BD"/>
              </w:rPr>
              <w:t xml:space="preserve"> TL yield has been observed to be that of the porous beads, reflected in the greater defect density (ID/IG &gt; 2) when compared to the other media, due in part to their inherent feature of large internal surface area. Considering the challenge posed in matching skin thickness with skin dose, the near tissue equivalent graphite sheets show particular promise as a skin dosimeter, sensitive as a function of depth.</w:t>
            </w:r>
          </w:p>
        </w:tc>
      </w:tr>
    </w:tbl>
    <w:p w:rsidR="000816E0" w:rsidRPr="00007462" w:rsidRDefault="000816E0" w:rsidP="00E31088">
      <w:pPr>
        <w:jc w:val="both"/>
        <w:rPr>
          <w:rFonts w:cstheme="minorHAnsi"/>
          <w:sz w:val="24"/>
          <w:szCs w:val="24"/>
        </w:rPr>
      </w:pPr>
    </w:p>
    <w:p w:rsidR="000816E0" w:rsidRPr="00007462" w:rsidRDefault="000816E0" w:rsidP="00E31088">
      <w:pPr>
        <w:spacing w:before="150" w:after="150" w:line="240" w:lineRule="auto"/>
        <w:jc w:val="both"/>
        <w:rPr>
          <w:rFonts w:cstheme="minorHAnsi"/>
          <w:b/>
          <w:bCs/>
          <w:color w:val="4C4C4C"/>
          <w:sz w:val="24"/>
          <w:szCs w:val="24"/>
          <w:shd w:val="clear" w:color="auto" w:fill="FFFFFF"/>
        </w:rPr>
      </w:pPr>
      <w:r w:rsidRPr="00007462">
        <w:rPr>
          <w:rFonts w:cstheme="minorHAnsi"/>
          <w:b/>
          <w:bCs/>
          <w:color w:val="4C4C4C"/>
          <w:sz w:val="24"/>
          <w:szCs w:val="24"/>
          <w:shd w:val="clear" w:color="auto" w:fill="FFFFFF"/>
        </w:rPr>
        <w:t>Conference / Journal Link:</w:t>
      </w:r>
    </w:p>
    <w:bookmarkStart w:id="0" w:name="cj_link"/>
    <w:p w:rsidR="00E31088" w:rsidRPr="00007462" w:rsidRDefault="00E31088" w:rsidP="00E31088">
      <w:pPr>
        <w:spacing w:before="150" w:after="150" w:line="240" w:lineRule="auto"/>
        <w:jc w:val="both"/>
        <w:rPr>
          <w:rFonts w:cstheme="minorHAnsi"/>
          <w:b/>
          <w:bCs/>
          <w:color w:val="0070C0"/>
          <w:sz w:val="24"/>
          <w:szCs w:val="24"/>
          <w:shd w:val="clear" w:color="auto" w:fill="FFFFFF"/>
        </w:rPr>
      </w:pPr>
      <w:r w:rsidRPr="00007462">
        <w:rPr>
          <w:rFonts w:cstheme="minorHAnsi"/>
          <w:color w:val="0070C0"/>
          <w:sz w:val="24"/>
          <w:szCs w:val="24"/>
        </w:rPr>
        <w:fldChar w:fldCharType="begin"/>
      </w:r>
      <w:r w:rsidRPr="00007462">
        <w:rPr>
          <w:rFonts w:cstheme="minorHAnsi"/>
          <w:color w:val="0070C0"/>
          <w:sz w:val="24"/>
          <w:szCs w:val="24"/>
        </w:rPr>
        <w:instrText xml:space="preserve"> HYPERLINK "https://www.sciencedirect.com/science/article/abs/pii/S0969804323002737" \t "_blank" </w:instrText>
      </w:r>
      <w:r w:rsidRPr="00007462">
        <w:rPr>
          <w:rFonts w:cstheme="minorHAnsi"/>
          <w:color w:val="0070C0"/>
          <w:sz w:val="24"/>
          <w:szCs w:val="24"/>
        </w:rPr>
        <w:fldChar w:fldCharType="separate"/>
      </w:r>
      <w:r w:rsidRPr="00007462">
        <w:rPr>
          <w:rStyle w:val="Hyperlink"/>
          <w:rFonts w:cstheme="minorHAnsi"/>
          <w:color w:val="0070C0"/>
          <w:sz w:val="24"/>
          <w:szCs w:val="24"/>
          <w:u w:val="none"/>
        </w:rPr>
        <w:t>https://www.sciencedirect.com/science/article/abs/pii/S0969804323002737</w:t>
      </w:r>
      <w:r w:rsidRPr="00007462">
        <w:rPr>
          <w:rFonts w:cstheme="minorHAnsi"/>
          <w:color w:val="0070C0"/>
          <w:sz w:val="24"/>
          <w:szCs w:val="24"/>
        </w:rPr>
        <w:fldChar w:fldCharType="end"/>
      </w:r>
      <w:bookmarkEnd w:id="0"/>
    </w:p>
    <w:p w:rsidR="000816E0" w:rsidRPr="00007462" w:rsidRDefault="000816E0" w:rsidP="00E31088">
      <w:pPr>
        <w:spacing w:before="150"/>
        <w:jc w:val="both"/>
        <w:rPr>
          <w:rFonts w:cstheme="minorHAnsi"/>
          <w:b/>
          <w:color w:val="4C4C4C"/>
          <w:sz w:val="24"/>
          <w:szCs w:val="24"/>
        </w:rPr>
      </w:pPr>
      <w:r w:rsidRPr="00007462">
        <w:rPr>
          <w:rFonts w:cstheme="minorHAnsi"/>
          <w:b/>
          <w:color w:val="4C4C4C"/>
          <w:sz w:val="24"/>
          <w:szCs w:val="24"/>
        </w:rPr>
        <w:t>DOI:</w:t>
      </w:r>
    </w:p>
    <w:p w:rsidR="00E31088" w:rsidRPr="00E31088" w:rsidRDefault="00E31088" w:rsidP="00E31088">
      <w:pPr>
        <w:spacing w:before="150"/>
        <w:jc w:val="both"/>
        <w:rPr>
          <w:rFonts w:cstheme="minorHAnsi"/>
          <w:b/>
          <w:color w:val="0070C0"/>
          <w:sz w:val="24"/>
          <w:szCs w:val="24"/>
        </w:rPr>
      </w:pPr>
      <w:hyperlink r:id="rId5" w:tgtFrame="_blank" w:tooltip="Persistent link using digital object identifier" w:history="1">
        <w:r w:rsidRPr="00007462">
          <w:rPr>
            <w:rStyle w:val="anchor-text"/>
            <w:rFonts w:cstheme="minorHAnsi"/>
            <w:color w:val="0070C0"/>
            <w:sz w:val="24"/>
            <w:szCs w:val="24"/>
          </w:rPr>
          <w:t>https://doi.org/10.1016/j.apradiso.2023.110920</w:t>
        </w:r>
      </w:hyperlink>
    </w:p>
    <w:p w:rsidR="000816E0" w:rsidRDefault="000816E0"/>
    <w:p w:rsidR="00286666" w:rsidRPr="00286666" w:rsidRDefault="00286666">
      <w:pPr>
        <w:rPr>
          <w:rStyle w:val="ofieldchar"/>
          <w:sz w:val="24"/>
          <w:szCs w:val="24"/>
        </w:rPr>
      </w:pPr>
      <w:bookmarkStart w:id="1" w:name="_GoBack"/>
      <w:bookmarkEnd w:id="1"/>
    </w:p>
    <w:p w:rsidR="00397E1D" w:rsidRDefault="00397E1D">
      <w:pPr>
        <w:rPr>
          <w:rStyle w:val="ofieldchar"/>
          <w:sz w:val="40"/>
          <w:szCs w:val="40"/>
        </w:rPr>
      </w:pPr>
    </w:p>
    <w:p w:rsidR="00397E1D" w:rsidRPr="00397E1D" w:rsidRDefault="00397E1D">
      <w:pPr>
        <w:rPr>
          <w:sz w:val="40"/>
          <w:szCs w:val="40"/>
        </w:rPr>
      </w:pPr>
    </w:p>
    <w:sectPr w:rsidR="00397E1D" w:rsidRPr="00397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7462"/>
    <w:rsid w:val="00056A8C"/>
    <w:rsid w:val="00081177"/>
    <w:rsid w:val="000816E0"/>
    <w:rsid w:val="000C0475"/>
    <w:rsid w:val="00103261"/>
    <w:rsid w:val="00197F72"/>
    <w:rsid w:val="002061D4"/>
    <w:rsid w:val="00212608"/>
    <w:rsid w:val="00282502"/>
    <w:rsid w:val="00286666"/>
    <w:rsid w:val="002C0DD0"/>
    <w:rsid w:val="002C78EC"/>
    <w:rsid w:val="002E30B8"/>
    <w:rsid w:val="00383B0C"/>
    <w:rsid w:val="00397E1D"/>
    <w:rsid w:val="003D493B"/>
    <w:rsid w:val="004B77E2"/>
    <w:rsid w:val="004F276A"/>
    <w:rsid w:val="005241A4"/>
    <w:rsid w:val="00542D8F"/>
    <w:rsid w:val="00597AC0"/>
    <w:rsid w:val="005A50A4"/>
    <w:rsid w:val="00680E6F"/>
    <w:rsid w:val="006920D4"/>
    <w:rsid w:val="006F61D2"/>
    <w:rsid w:val="00740C0D"/>
    <w:rsid w:val="0078199A"/>
    <w:rsid w:val="007A2B06"/>
    <w:rsid w:val="008543AA"/>
    <w:rsid w:val="008659B7"/>
    <w:rsid w:val="008B4C75"/>
    <w:rsid w:val="008E59F8"/>
    <w:rsid w:val="008F4B6C"/>
    <w:rsid w:val="008F7BAB"/>
    <w:rsid w:val="0090116F"/>
    <w:rsid w:val="00903341"/>
    <w:rsid w:val="009261CD"/>
    <w:rsid w:val="009437E0"/>
    <w:rsid w:val="00A6337C"/>
    <w:rsid w:val="00A675F1"/>
    <w:rsid w:val="00A94B34"/>
    <w:rsid w:val="00AB508E"/>
    <w:rsid w:val="00AC4B91"/>
    <w:rsid w:val="00AC5C4F"/>
    <w:rsid w:val="00B2123C"/>
    <w:rsid w:val="00B409D9"/>
    <w:rsid w:val="00BB2349"/>
    <w:rsid w:val="00C433C0"/>
    <w:rsid w:val="00C665A2"/>
    <w:rsid w:val="00C916C7"/>
    <w:rsid w:val="00CA5BD2"/>
    <w:rsid w:val="00CD6A55"/>
    <w:rsid w:val="00D11FFB"/>
    <w:rsid w:val="00D26612"/>
    <w:rsid w:val="00DA36C1"/>
    <w:rsid w:val="00DF18D8"/>
    <w:rsid w:val="00E31088"/>
    <w:rsid w:val="00E65008"/>
    <w:rsid w:val="00EE054B"/>
    <w:rsid w:val="00EE3075"/>
    <w:rsid w:val="00EF3278"/>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anchor-text">
    <w:name w:val="anchor-text"/>
    <w:basedOn w:val="DefaultParagraphFont"/>
    <w:rsid w:val="00E31088"/>
  </w:style>
  <w:style w:type="character" w:customStyle="1" w:styleId="given-name">
    <w:name w:val="given-name"/>
    <w:basedOn w:val="DefaultParagraphFont"/>
    <w:rsid w:val="00E31088"/>
  </w:style>
  <w:style w:type="character" w:customStyle="1" w:styleId="text">
    <w:name w:val="text"/>
    <w:basedOn w:val="DefaultParagraphFont"/>
    <w:rsid w:val="00E310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8888094">
      <w:bodyDiv w:val="1"/>
      <w:marLeft w:val="0"/>
      <w:marRight w:val="0"/>
      <w:marTop w:val="0"/>
      <w:marBottom w:val="0"/>
      <w:divBdr>
        <w:top w:val="none" w:sz="0" w:space="0" w:color="auto"/>
        <w:left w:val="none" w:sz="0" w:space="0" w:color="auto"/>
        <w:bottom w:val="none" w:sz="0" w:space="0" w:color="auto"/>
        <w:right w:val="none" w:sz="0" w:space="0" w:color="auto"/>
      </w:divBdr>
      <w:divsChild>
        <w:div w:id="1086145257">
          <w:marLeft w:val="0"/>
          <w:marRight w:val="0"/>
          <w:marTop w:val="0"/>
          <w:marBottom w:val="0"/>
          <w:divBdr>
            <w:top w:val="none" w:sz="0" w:space="0" w:color="auto"/>
            <w:left w:val="none" w:sz="0" w:space="0" w:color="auto"/>
            <w:bottom w:val="none" w:sz="0" w:space="0" w:color="auto"/>
            <w:right w:val="none" w:sz="0" w:space="0" w:color="auto"/>
          </w:divBdr>
        </w:div>
      </w:divsChild>
    </w:div>
    <w:div w:id="200409759">
      <w:bodyDiv w:val="1"/>
      <w:marLeft w:val="0"/>
      <w:marRight w:val="0"/>
      <w:marTop w:val="0"/>
      <w:marBottom w:val="0"/>
      <w:divBdr>
        <w:top w:val="none" w:sz="0" w:space="0" w:color="auto"/>
        <w:left w:val="none" w:sz="0" w:space="0" w:color="auto"/>
        <w:bottom w:val="none" w:sz="0" w:space="0" w:color="auto"/>
        <w:right w:val="none" w:sz="0" w:space="0" w:color="auto"/>
      </w:divBdr>
      <w:divsChild>
        <w:div w:id="106395657">
          <w:marLeft w:val="0"/>
          <w:marRight w:val="0"/>
          <w:marTop w:val="0"/>
          <w:marBottom w:val="0"/>
          <w:divBdr>
            <w:top w:val="none" w:sz="0" w:space="0" w:color="auto"/>
            <w:left w:val="none" w:sz="0" w:space="0" w:color="auto"/>
            <w:bottom w:val="none" w:sz="0" w:space="0" w:color="auto"/>
            <w:right w:val="none" w:sz="0" w:space="0" w:color="auto"/>
          </w:divBdr>
        </w:div>
      </w:divsChild>
    </w:div>
    <w:div w:id="331033986">
      <w:bodyDiv w:val="1"/>
      <w:marLeft w:val="0"/>
      <w:marRight w:val="0"/>
      <w:marTop w:val="0"/>
      <w:marBottom w:val="0"/>
      <w:divBdr>
        <w:top w:val="none" w:sz="0" w:space="0" w:color="auto"/>
        <w:left w:val="none" w:sz="0" w:space="0" w:color="auto"/>
        <w:bottom w:val="none" w:sz="0" w:space="0" w:color="auto"/>
        <w:right w:val="none" w:sz="0" w:space="0" w:color="auto"/>
      </w:divBdr>
      <w:divsChild>
        <w:div w:id="483162842">
          <w:marLeft w:val="0"/>
          <w:marRight w:val="0"/>
          <w:marTop w:val="0"/>
          <w:marBottom w:val="0"/>
          <w:divBdr>
            <w:top w:val="none" w:sz="0" w:space="0" w:color="auto"/>
            <w:left w:val="none" w:sz="0" w:space="0" w:color="auto"/>
            <w:bottom w:val="none" w:sz="0" w:space="0" w:color="auto"/>
            <w:right w:val="none" w:sz="0" w:space="0" w:color="auto"/>
          </w:divBdr>
          <w:divsChild>
            <w:div w:id="1519467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8563978">
      <w:bodyDiv w:val="1"/>
      <w:marLeft w:val="0"/>
      <w:marRight w:val="0"/>
      <w:marTop w:val="0"/>
      <w:marBottom w:val="0"/>
      <w:divBdr>
        <w:top w:val="none" w:sz="0" w:space="0" w:color="auto"/>
        <w:left w:val="none" w:sz="0" w:space="0" w:color="auto"/>
        <w:bottom w:val="none" w:sz="0" w:space="0" w:color="auto"/>
        <w:right w:val="none" w:sz="0" w:space="0" w:color="auto"/>
      </w:divBdr>
      <w:divsChild>
        <w:div w:id="2119257631">
          <w:marLeft w:val="0"/>
          <w:marRight w:val="0"/>
          <w:marTop w:val="0"/>
          <w:marBottom w:val="0"/>
          <w:divBdr>
            <w:top w:val="none" w:sz="0" w:space="0" w:color="auto"/>
            <w:left w:val="none" w:sz="0" w:space="0" w:color="auto"/>
            <w:bottom w:val="none" w:sz="0" w:space="0" w:color="auto"/>
            <w:right w:val="none" w:sz="0" w:space="0" w:color="auto"/>
          </w:divBdr>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1309938254">
      <w:bodyDiv w:val="1"/>
      <w:marLeft w:val="0"/>
      <w:marRight w:val="0"/>
      <w:marTop w:val="0"/>
      <w:marBottom w:val="0"/>
      <w:divBdr>
        <w:top w:val="none" w:sz="0" w:space="0" w:color="auto"/>
        <w:left w:val="none" w:sz="0" w:space="0" w:color="auto"/>
        <w:bottom w:val="none" w:sz="0" w:space="0" w:color="auto"/>
        <w:right w:val="none" w:sz="0" w:space="0" w:color="auto"/>
      </w:divBdr>
      <w:divsChild>
        <w:div w:id="1403989334">
          <w:marLeft w:val="0"/>
          <w:marRight w:val="0"/>
          <w:marTop w:val="0"/>
          <w:marBottom w:val="0"/>
          <w:divBdr>
            <w:top w:val="none" w:sz="0" w:space="0" w:color="auto"/>
            <w:left w:val="none" w:sz="0" w:space="0" w:color="auto"/>
            <w:bottom w:val="none" w:sz="0" w:space="0" w:color="auto"/>
            <w:right w:val="none" w:sz="0" w:space="0" w:color="auto"/>
          </w:divBdr>
        </w:div>
      </w:divsChild>
    </w:div>
    <w:div w:id="1733652104">
      <w:bodyDiv w:val="1"/>
      <w:marLeft w:val="0"/>
      <w:marRight w:val="0"/>
      <w:marTop w:val="0"/>
      <w:marBottom w:val="0"/>
      <w:divBdr>
        <w:top w:val="none" w:sz="0" w:space="0" w:color="auto"/>
        <w:left w:val="none" w:sz="0" w:space="0" w:color="auto"/>
        <w:bottom w:val="none" w:sz="0" w:space="0" w:color="auto"/>
        <w:right w:val="none" w:sz="0" w:space="0" w:color="auto"/>
      </w:divBdr>
      <w:divsChild>
        <w:div w:id="81220903">
          <w:marLeft w:val="0"/>
          <w:marRight w:val="0"/>
          <w:marTop w:val="0"/>
          <w:marBottom w:val="0"/>
          <w:divBdr>
            <w:top w:val="none" w:sz="0" w:space="0" w:color="auto"/>
            <w:left w:val="none" w:sz="0" w:space="0" w:color="auto"/>
            <w:bottom w:val="none" w:sz="0" w:space="0" w:color="auto"/>
            <w:right w:val="none" w:sz="0" w:space="0" w:color="auto"/>
          </w:divBdr>
        </w:div>
      </w:divsChild>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doi.org/10.1016/j.apradiso.2023.110920" TargetMode="External"/><Relationship Id="rId4" Type="http://schemas.openxmlformats.org/officeDocument/2006/relationships/hyperlink" Target="https://www.sciencedirect.com/topics/physics-and-astronomy/photoluminesce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402</Words>
  <Characters>2293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7</cp:revision>
  <dcterms:created xsi:type="dcterms:W3CDTF">2024-04-30T04:36:00Z</dcterms:created>
  <dcterms:modified xsi:type="dcterms:W3CDTF">2024-05-02T04:57:00Z</dcterms:modified>
</cp:coreProperties>
</file>