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720131" w:rsidRDefault="00720131">
      <w:pPr>
        <w:rPr>
          <w:rStyle w:val="blue-tooltip"/>
          <w:bCs/>
          <w:sz w:val="40"/>
          <w:szCs w:val="40"/>
        </w:rPr>
      </w:pPr>
      <w:r w:rsidRPr="00720131">
        <w:rPr>
          <w:rStyle w:val="blue-tooltip"/>
          <w:bCs/>
          <w:sz w:val="40"/>
          <w:szCs w:val="40"/>
        </w:rPr>
        <w:t>Concentrations of Potentially Toxic and Essential Trace Elements in Marketed Rice of Bangladesh: Exposure and Health Risks</w:t>
      </w:r>
    </w:p>
    <w:p w:rsidR="00720131" w:rsidRDefault="00720131" w:rsidP="00720131">
      <w:pPr>
        <w:rPr>
          <w:rStyle w:val="blue-tooltip"/>
          <w:rFonts w:asciiTheme="majorHAnsi" w:hAnsiTheme="majorHAnsi" w:cstheme="majorHAnsi"/>
          <w:b/>
          <w:bCs/>
          <w:sz w:val="24"/>
          <w:szCs w:val="24"/>
        </w:rPr>
      </w:pPr>
    </w:p>
    <w:p w:rsidR="00720131" w:rsidRPr="00720131" w:rsidRDefault="00056A8C" w:rsidP="00720131">
      <w:pPr>
        <w:jc w:val="both"/>
        <w:rPr>
          <w:rFonts w:eastAsia="Times New Roman" w:cstheme="minorHAnsi"/>
          <w:color w:val="0070C0"/>
          <w:sz w:val="24"/>
          <w:szCs w:val="24"/>
        </w:rPr>
      </w:pPr>
      <w:r w:rsidRPr="00720131">
        <w:rPr>
          <w:rStyle w:val="blue-tooltip"/>
          <w:rFonts w:cstheme="minorHAnsi"/>
          <w:b/>
          <w:bCs/>
          <w:sz w:val="24"/>
          <w:szCs w:val="24"/>
        </w:rPr>
        <w:t xml:space="preserve">Author: </w:t>
      </w:r>
      <w:r w:rsidR="009437E0" w:rsidRPr="00720131">
        <w:rPr>
          <w:rStyle w:val="blue-tooltip"/>
          <w:rFonts w:cstheme="minorHAnsi"/>
          <w:color w:val="0070C0"/>
          <w:sz w:val="24"/>
          <w:szCs w:val="24"/>
        </w:rPr>
        <w:t xml:space="preserve"> </w:t>
      </w:r>
      <w:proofErr w:type="spellStart"/>
      <w:r w:rsidR="00720131" w:rsidRPr="00720131">
        <w:rPr>
          <w:rFonts w:eastAsia="Times New Roman" w:cstheme="minorHAnsi"/>
          <w:color w:val="0070C0"/>
          <w:sz w:val="24"/>
          <w:szCs w:val="24"/>
        </w:rPr>
        <w:t>Md</w:t>
      </w:r>
      <w:proofErr w:type="spellEnd"/>
      <w:r w:rsidR="00720131" w:rsidRPr="00720131">
        <w:rPr>
          <w:rFonts w:eastAsia="Times New Roman" w:cstheme="minorHAnsi"/>
          <w:color w:val="0070C0"/>
          <w:sz w:val="24"/>
          <w:szCs w:val="24"/>
        </w:rPr>
        <w:t xml:space="preserve"> Imran </w:t>
      </w:r>
      <w:proofErr w:type="spellStart"/>
      <w:r w:rsidR="00720131" w:rsidRPr="00720131">
        <w:rPr>
          <w:rFonts w:eastAsia="Times New Roman" w:cstheme="minorHAnsi"/>
          <w:color w:val="0070C0"/>
          <w:sz w:val="24"/>
          <w:szCs w:val="24"/>
        </w:rPr>
        <w:t>Ullah</w:t>
      </w:r>
      <w:proofErr w:type="spellEnd"/>
      <w:r w:rsidR="00720131" w:rsidRPr="00720131">
        <w:rPr>
          <w:rFonts w:eastAsia="Times New Roman" w:cstheme="minorHAnsi"/>
          <w:color w:val="0070C0"/>
          <w:sz w:val="24"/>
          <w:szCs w:val="24"/>
        </w:rPr>
        <w:t xml:space="preserve"> Sarkar, </w:t>
      </w:r>
      <w:proofErr w:type="spellStart"/>
      <w:r w:rsidR="00720131" w:rsidRPr="00720131">
        <w:rPr>
          <w:rFonts w:eastAsia="Times New Roman" w:cstheme="minorHAnsi"/>
          <w:color w:val="0070C0"/>
          <w:sz w:val="24"/>
          <w:szCs w:val="24"/>
        </w:rPr>
        <w:t>Syfullah</w:t>
      </w:r>
      <w:proofErr w:type="spellEnd"/>
      <w:r w:rsidR="00720131" w:rsidRPr="00720131">
        <w:rPr>
          <w:rFonts w:eastAsia="Times New Roman" w:cstheme="minorHAnsi"/>
          <w:color w:val="0070C0"/>
          <w:sz w:val="24"/>
          <w:szCs w:val="24"/>
        </w:rPr>
        <w:t xml:space="preserve"> </w:t>
      </w:r>
      <w:proofErr w:type="spellStart"/>
      <w:r w:rsidR="00720131" w:rsidRPr="00720131">
        <w:rPr>
          <w:rFonts w:eastAsia="Times New Roman" w:cstheme="minorHAnsi"/>
          <w:color w:val="0070C0"/>
          <w:sz w:val="24"/>
          <w:szCs w:val="24"/>
        </w:rPr>
        <w:t>Shahriar</w:t>
      </w:r>
      <w:proofErr w:type="spellEnd"/>
      <w:r w:rsidR="00720131" w:rsidRPr="00720131">
        <w:rPr>
          <w:rFonts w:eastAsia="Times New Roman" w:cstheme="minorHAnsi"/>
          <w:color w:val="0070C0"/>
          <w:sz w:val="24"/>
          <w:szCs w:val="24"/>
        </w:rPr>
        <w:t xml:space="preserve">, Ravi Naidu, Mohammad </w:t>
      </w:r>
      <w:proofErr w:type="spellStart"/>
      <w:r w:rsidR="00720131" w:rsidRPr="00720131">
        <w:rPr>
          <w:rFonts w:eastAsia="Times New Roman" w:cstheme="minorHAnsi"/>
          <w:color w:val="0070C0"/>
          <w:sz w:val="24"/>
          <w:szCs w:val="24"/>
        </w:rPr>
        <w:t>Mahmudur</w:t>
      </w:r>
      <w:proofErr w:type="spellEnd"/>
      <w:r w:rsidR="00720131" w:rsidRPr="00720131">
        <w:rPr>
          <w:rFonts w:eastAsia="Times New Roman" w:cstheme="minorHAnsi"/>
          <w:color w:val="0070C0"/>
          <w:sz w:val="24"/>
          <w:szCs w:val="24"/>
        </w:rPr>
        <w:t xml:space="preserve"> Rahman</w:t>
      </w:r>
    </w:p>
    <w:p w:rsidR="00720131" w:rsidRPr="00720131" w:rsidRDefault="00720131" w:rsidP="00720131">
      <w:pPr>
        <w:jc w:val="both"/>
        <w:rPr>
          <w:rStyle w:val="blue-tooltip"/>
          <w:rFonts w:cstheme="minorHAnsi"/>
          <w:b/>
          <w:sz w:val="24"/>
          <w:szCs w:val="24"/>
        </w:rPr>
      </w:pPr>
    </w:p>
    <w:p w:rsidR="00720131" w:rsidRPr="00720131" w:rsidRDefault="00286666" w:rsidP="00720131">
      <w:pPr>
        <w:jc w:val="both"/>
        <w:rPr>
          <w:rStyle w:val="blue-tooltip"/>
          <w:rFonts w:cstheme="minorHAnsi"/>
          <w:b/>
          <w:sz w:val="24"/>
          <w:szCs w:val="24"/>
        </w:rPr>
      </w:pPr>
      <w:r w:rsidRPr="00720131">
        <w:rPr>
          <w:rStyle w:val="blue-tooltip"/>
          <w:rFonts w:cstheme="minorHAnsi"/>
          <w:b/>
          <w:sz w:val="24"/>
          <w:szCs w:val="24"/>
        </w:rPr>
        <w:t xml:space="preserve">Abstract: </w:t>
      </w:r>
      <w:r w:rsidR="00C433C0" w:rsidRPr="00720131">
        <w:rPr>
          <w:rStyle w:val="blue-tooltip"/>
          <w:rFonts w:cstheme="minorHAnsi"/>
          <w:b/>
          <w:sz w:val="24"/>
          <w:szCs w:val="24"/>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720131" w:rsidRPr="00720131" w:rsidTr="00720131">
        <w:trPr>
          <w:tblCellSpacing w:w="15" w:type="dxa"/>
        </w:trPr>
        <w:tc>
          <w:tcPr>
            <w:tcW w:w="0" w:type="auto"/>
            <w:vAlign w:val="center"/>
            <w:hideMark/>
          </w:tcPr>
          <w:p w:rsidR="00720131" w:rsidRPr="00720131" w:rsidRDefault="00720131" w:rsidP="00720131">
            <w:pPr>
              <w:jc w:val="both"/>
              <w:rPr>
                <w:rFonts w:cstheme="minorHAnsi"/>
                <w:sz w:val="24"/>
                <w:szCs w:val="24"/>
              </w:rPr>
            </w:pPr>
          </w:p>
        </w:tc>
        <w:tc>
          <w:tcPr>
            <w:tcW w:w="5000" w:type="pct"/>
            <w:vAlign w:val="center"/>
            <w:hideMark/>
          </w:tcPr>
          <w:p w:rsidR="00720131" w:rsidRPr="00720131" w:rsidRDefault="00720131" w:rsidP="00720131">
            <w:pPr>
              <w:pStyle w:val="NormalWeb"/>
              <w:spacing w:before="0" w:after="0"/>
              <w:jc w:val="both"/>
              <w:rPr>
                <w:rFonts w:asciiTheme="minorHAnsi" w:hAnsiTheme="minorHAnsi" w:cstheme="minorHAnsi"/>
              </w:rPr>
            </w:pPr>
            <w:r w:rsidRPr="00720131">
              <w:rPr>
                <w:rFonts w:asciiTheme="minorHAnsi" w:hAnsiTheme="minorHAnsi" w:cstheme="minorHAnsi"/>
                <w:color w:val="2E2E2E"/>
              </w:rPr>
              <w:t>Rice is a major dietary source of essential trace elements required for the human body but also can be an exposure pathway to different potentially toxic trace elements. This study determined various essential and toxic trace elements in rice from Bangladeshi markets and their possible health risks. Concentrations of essential and toxic trace elements in rice varied significantly from location to location. Mean concentrations (mg kg−1 as dry weight) of essential trace elements were found in the following order - Zn&gt;</w:t>
            </w:r>
            <w:proofErr w:type="spellStart"/>
            <w:r w:rsidRPr="00720131">
              <w:rPr>
                <w:rFonts w:asciiTheme="minorHAnsi" w:hAnsiTheme="minorHAnsi" w:cstheme="minorHAnsi"/>
                <w:color w:val="2E2E2E"/>
              </w:rPr>
              <w:t>Mn</w:t>
            </w:r>
            <w:proofErr w:type="spellEnd"/>
            <w:r w:rsidRPr="00720131">
              <w:rPr>
                <w:rFonts w:asciiTheme="minorHAnsi" w:hAnsiTheme="minorHAnsi" w:cstheme="minorHAnsi"/>
                <w:color w:val="2E2E2E"/>
              </w:rPr>
              <w:t xml:space="preserve">&gt;Cu&gt;Fe&gt;Mo&gt;Se&gt;Co - and were within their maximum allowable limits. The average concentrations (mg kg−1) of toxic trace elements were as follows: As: 0.17, Cr: 0.18, Ni: 0.55 and </w:t>
            </w:r>
            <w:proofErr w:type="spellStart"/>
            <w:r w:rsidRPr="00720131">
              <w:rPr>
                <w:rFonts w:asciiTheme="minorHAnsi" w:hAnsiTheme="minorHAnsi" w:cstheme="minorHAnsi"/>
                <w:color w:val="2E2E2E"/>
              </w:rPr>
              <w:t>Pb</w:t>
            </w:r>
            <w:proofErr w:type="spellEnd"/>
            <w:r w:rsidRPr="00720131">
              <w:rPr>
                <w:rFonts w:asciiTheme="minorHAnsi" w:hAnsiTheme="minorHAnsi" w:cstheme="minorHAnsi"/>
                <w:color w:val="2E2E2E"/>
              </w:rPr>
              <w:t xml:space="preserve">: 0.18, while 7% and 40% of the rice samples surpassed, respectively, the EU recommended limits of As and </w:t>
            </w:r>
            <w:proofErr w:type="spellStart"/>
            <w:r w:rsidRPr="00720131">
              <w:rPr>
                <w:rFonts w:asciiTheme="minorHAnsi" w:hAnsiTheme="minorHAnsi" w:cstheme="minorHAnsi"/>
                <w:color w:val="2E2E2E"/>
              </w:rPr>
              <w:t>Pb</w:t>
            </w:r>
            <w:proofErr w:type="spellEnd"/>
            <w:r w:rsidRPr="00720131">
              <w:rPr>
                <w:rFonts w:asciiTheme="minorHAnsi" w:hAnsiTheme="minorHAnsi" w:cstheme="minorHAnsi"/>
                <w:color w:val="2E2E2E"/>
              </w:rPr>
              <w:t xml:space="preserve">. This study revealed that rice could be a primary exposure pathway of toxic elements, leading to either </w:t>
            </w:r>
            <w:proofErr w:type="spellStart"/>
            <w:r w:rsidRPr="00720131">
              <w:rPr>
                <w:rFonts w:asciiTheme="minorHAnsi" w:hAnsiTheme="minorHAnsi" w:cstheme="minorHAnsi"/>
                <w:color w:val="2E2E2E"/>
              </w:rPr>
              <w:t>noncarcinogenic</w:t>
            </w:r>
            <w:proofErr w:type="spellEnd"/>
            <w:r w:rsidRPr="00720131">
              <w:rPr>
                <w:rFonts w:asciiTheme="minorHAnsi" w:hAnsiTheme="minorHAnsi" w:cstheme="minorHAnsi"/>
                <w:color w:val="2E2E2E"/>
              </w:rPr>
              <w:t xml:space="preserve"> or </w:t>
            </w:r>
            <w:hyperlink r:id="rId4" w:tooltip="Learn more about carcinogenic from ScienceDirect's AI-generated Topic Pages" w:history="1">
              <w:r w:rsidRPr="00720131">
                <w:rPr>
                  <w:rStyle w:val="Hyperlink"/>
                  <w:rFonts w:asciiTheme="minorHAnsi" w:hAnsiTheme="minorHAnsi" w:cstheme="minorHAnsi"/>
                  <w:color w:val="2E2E2E"/>
                </w:rPr>
                <w:t>carcinogenic</w:t>
              </w:r>
            </w:hyperlink>
            <w:r w:rsidRPr="00720131">
              <w:rPr>
                <w:rFonts w:asciiTheme="minorHAnsi" w:hAnsiTheme="minorHAnsi" w:cstheme="minorHAnsi"/>
                <w:color w:val="2E2E2E"/>
              </w:rPr>
              <w:t> health problems for daily rice consumers. The non-carcinogenic health risk was mainly associated with As which contributed 77% to the hazard index. The </w:t>
            </w:r>
            <w:hyperlink r:id="rId5" w:tooltip="Learn more about carcinogenic from ScienceDirect's AI-generated Topic Pages" w:history="1">
              <w:r w:rsidRPr="00720131">
                <w:rPr>
                  <w:rStyle w:val="Hyperlink"/>
                  <w:rFonts w:asciiTheme="minorHAnsi" w:hAnsiTheme="minorHAnsi" w:cstheme="minorHAnsi"/>
                  <w:color w:val="2E2E2E"/>
                </w:rPr>
                <w:t>carcinogenic</w:t>
              </w:r>
            </w:hyperlink>
            <w:r w:rsidRPr="00720131">
              <w:rPr>
                <w:rFonts w:asciiTheme="minorHAnsi" w:hAnsiTheme="minorHAnsi" w:cstheme="minorHAnsi"/>
                <w:color w:val="2E2E2E"/>
              </w:rPr>
              <w:t xml:space="preserve"> risk measured as incremental lifetime cancer risk (ILCR) was high (&gt;10−4) with As, Cr and Ni, while </w:t>
            </w:r>
            <w:proofErr w:type="spellStart"/>
            <w:r w:rsidRPr="00720131">
              <w:rPr>
                <w:rFonts w:asciiTheme="minorHAnsi" w:hAnsiTheme="minorHAnsi" w:cstheme="minorHAnsi"/>
                <w:color w:val="2E2E2E"/>
              </w:rPr>
              <w:t>Pb</w:t>
            </w:r>
            <w:proofErr w:type="spellEnd"/>
            <w:r w:rsidRPr="00720131">
              <w:rPr>
                <w:rFonts w:asciiTheme="minorHAnsi" w:hAnsiTheme="minorHAnsi" w:cstheme="minorHAnsi"/>
                <w:color w:val="2E2E2E"/>
              </w:rPr>
              <w:t xml:space="preserve"> showed a moderate (&lt;10−4) carcinogenic risk to adults. Rice can substantially be contaminated by trace elements other than As with potential human health risks. Consequently, regular monitoring of the marketed rice </w:t>
            </w:r>
            <w:hyperlink r:id="rId6" w:tooltip="Learn more about grain from ScienceDirect's AI-generated Topic Pages" w:history="1">
              <w:r w:rsidRPr="00720131">
                <w:rPr>
                  <w:rStyle w:val="Hyperlink"/>
                  <w:rFonts w:asciiTheme="minorHAnsi" w:hAnsiTheme="minorHAnsi" w:cstheme="minorHAnsi"/>
                  <w:color w:val="2E2E2E"/>
                </w:rPr>
                <w:t>grain</w:t>
              </w:r>
            </w:hyperlink>
            <w:r w:rsidRPr="00720131">
              <w:rPr>
                <w:rFonts w:asciiTheme="minorHAnsi" w:hAnsiTheme="minorHAnsi" w:cstheme="minorHAnsi"/>
                <w:color w:val="2E2E2E"/>
              </w:rPr>
              <w:t> is demanded, backed up by viable mitigation strategies for reducing toxic elements uptake by rice grains.</w:t>
            </w:r>
          </w:p>
        </w:tc>
      </w:tr>
    </w:tbl>
    <w:p w:rsidR="00286666" w:rsidRPr="00720131" w:rsidRDefault="004F276A" w:rsidP="00720131">
      <w:pPr>
        <w:jc w:val="both"/>
        <w:rPr>
          <w:rStyle w:val="blue-tooltip"/>
          <w:rFonts w:cstheme="minorHAnsi"/>
          <w:b/>
          <w:sz w:val="24"/>
          <w:szCs w:val="24"/>
        </w:rPr>
      </w:pPr>
      <w:r w:rsidRPr="00720131">
        <w:rPr>
          <w:rStyle w:val="blue-tooltip"/>
          <w:rFonts w:cstheme="minorHAnsi"/>
          <w:b/>
          <w:sz w:val="24"/>
          <w:szCs w:val="24"/>
        </w:rPr>
        <w:t xml:space="preserve"> </w:t>
      </w:r>
    </w:p>
    <w:p w:rsidR="000816E0" w:rsidRPr="00720131" w:rsidRDefault="000816E0" w:rsidP="00720131">
      <w:pPr>
        <w:spacing w:before="150" w:after="150" w:line="240" w:lineRule="auto"/>
        <w:jc w:val="both"/>
        <w:rPr>
          <w:rFonts w:cstheme="minorHAnsi"/>
          <w:b/>
          <w:bCs/>
          <w:color w:val="4C4C4C"/>
          <w:sz w:val="24"/>
          <w:szCs w:val="24"/>
          <w:shd w:val="clear" w:color="auto" w:fill="FFFFFF"/>
        </w:rPr>
      </w:pPr>
      <w:r w:rsidRPr="00720131">
        <w:rPr>
          <w:rFonts w:cstheme="minorHAnsi"/>
          <w:b/>
          <w:bCs/>
          <w:color w:val="4C4C4C"/>
          <w:sz w:val="24"/>
          <w:szCs w:val="24"/>
          <w:shd w:val="clear" w:color="auto" w:fill="FFFFFF"/>
        </w:rPr>
        <w:t>Conference / Journal Link:</w:t>
      </w:r>
    </w:p>
    <w:bookmarkStart w:id="0" w:name="cj_link"/>
    <w:p w:rsidR="00720131" w:rsidRPr="00720131" w:rsidRDefault="00720131" w:rsidP="00720131">
      <w:pPr>
        <w:spacing w:before="150" w:after="150" w:line="240" w:lineRule="auto"/>
        <w:jc w:val="both"/>
        <w:rPr>
          <w:rFonts w:cstheme="minorHAnsi"/>
          <w:b/>
          <w:bCs/>
          <w:color w:val="0070C0"/>
          <w:sz w:val="24"/>
          <w:szCs w:val="24"/>
          <w:shd w:val="clear" w:color="auto" w:fill="FFFFFF"/>
        </w:rPr>
      </w:pPr>
      <w:r w:rsidRPr="00720131">
        <w:rPr>
          <w:rFonts w:cstheme="minorHAnsi"/>
          <w:color w:val="0070C0"/>
          <w:sz w:val="24"/>
          <w:szCs w:val="24"/>
        </w:rPr>
        <w:fldChar w:fldCharType="begin"/>
      </w:r>
      <w:r w:rsidRPr="00720131">
        <w:rPr>
          <w:rFonts w:cstheme="minorHAnsi"/>
          <w:color w:val="0070C0"/>
          <w:sz w:val="24"/>
          <w:szCs w:val="24"/>
        </w:rPr>
        <w:instrText xml:space="preserve"> HYPERLINK "https://www.sciencedirect.com/science/article/abs/pii/S088915752200727X" \t "_blank" </w:instrText>
      </w:r>
      <w:r w:rsidRPr="00720131">
        <w:rPr>
          <w:rFonts w:cstheme="minorHAnsi"/>
          <w:color w:val="0070C0"/>
          <w:sz w:val="24"/>
          <w:szCs w:val="24"/>
        </w:rPr>
        <w:fldChar w:fldCharType="separate"/>
      </w:r>
      <w:r w:rsidRPr="00720131">
        <w:rPr>
          <w:rStyle w:val="Hyperlink"/>
          <w:rFonts w:cstheme="minorHAnsi"/>
          <w:color w:val="0070C0"/>
          <w:sz w:val="24"/>
          <w:szCs w:val="24"/>
          <w:u w:val="none"/>
        </w:rPr>
        <w:t>https://www.sciencedirect.com/science/article/abs/pii/S088915752200727X</w:t>
      </w:r>
      <w:r w:rsidRPr="00720131">
        <w:rPr>
          <w:rFonts w:cstheme="minorHAnsi"/>
          <w:color w:val="0070C0"/>
          <w:sz w:val="24"/>
          <w:szCs w:val="24"/>
        </w:rPr>
        <w:fldChar w:fldCharType="end"/>
      </w:r>
      <w:bookmarkEnd w:id="0"/>
    </w:p>
    <w:p w:rsidR="000816E0" w:rsidRPr="00720131" w:rsidRDefault="000816E0" w:rsidP="00720131">
      <w:pPr>
        <w:spacing w:before="150"/>
        <w:jc w:val="both"/>
        <w:rPr>
          <w:rFonts w:cstheme="minorHAnsi"/>
          <w:b/>
          <w:color w:val="4C4C4C"/>
          <w:sz w:val="24"/>
          <w:szCs w:val="24"/>
        </w:rPr>
      </w:pPr>
      <w:r w:rsidRPr="00720131">
        <w:rPr>
          <w:rFonts w:cstheme="minorHAnsi"/>
          <w:b/>
          <w:color w:val="4C4C4C"/>
          <w:sz w:val="24"/>
          <w:szCs w:val="24"/>
        </w:rPr>
        <w:t>DOI:</w:t>
      </w:r>
    </w:p>
    <w:p w:rsidR="00720131" w:rsidRPr="00720131" w:rsidRDefault="00720131" w:rsidP="00720131">
      <w:pPr>
        <w:spacing w:before="150"/>
        <w:jc w:val="both"/>
        <w:rPr>
          <w:rFonts w:cstheme="minorHAnsi"/>
          <w:b/>
          <w:color w:val="0070C0"/>
          <w:sz w:val="24"/>
          <w:szCs w:val="24"/>
        </w:rPr>
      </w:pPr>
      <w:hyperlink r:id="rId7" w:tgtFrame="_blank" w:tooltip="Persistent link using digital object identifier" w:history="1">
        <w:r w:rsidRPr="00720131">
          <w:rPr>
            <w:rStyle w:val="anchor-text"/>
            <w:rFonts w:cstheme="minorHAnsi"/>
            <w:color w:val="0070C0"/>
            <w:sz w:val="24"/>
            <w:szCs w:val="24"/>
          </w:rPr>
          <w:t>https://doi.org/10.1016/j.jfca.2022.105109</w:t>
        </w:r>
      </w:hyperlink>
    </w:p>
    <w:p w:rsidR="000816E0" w:rsidRDefault="000816E0"/>
    <w:p w:rsidR="00286666" w:rsidRPr="00286666" w:rsidRDefault="00286666">
      <w:pPr>
        <w:rPr>
          <w:rStyle w:val="ofieldchar"/>
          <w:sz w:val="24"/>
          <w:szCs w:val="24"/>
        </w:rPr>
      </w:pPr>
      <w:bookmarkStart w:id="1" w:name="_GoBack"/>
      <w:bookmarkEnd w:id="1"/>
    </w:p>
    <w:sectPr w:rsidR="00286666" w:rsidRPr="002866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7532E"/>
    <w:rsid w:val="00081177"/>
    <w:rsid w:val="000816E0"/>
    <w:rsid w:val="000C0475"/>
    <w:rsid w:val="00103261"/>
    <w:rsid w:val="001457A5"/>
    <w:rsid w:val="00197F72"/>
    <w:rsid w:val="001B7224"/>
    <w:rsid w:val="001D380C"/>
    <w:rsid w:val="001F7544"/>
    <w:rsid w:val="002061D4"/>
    <w:rsid w:val="00212608"/>
    <w:rsid w:val="00282502"/>
    <w:rsid w:val="00286666"/>
    <w:rsid w:val="002C78EC"/>
    <w:rsid w:val="002E08A6"/>
    <w:rsid w:val="002E30B8"/>
    <w:rsid w:val="00383B0C"/>
    <w:rsid w:val="00397E1D"/>
    <w:rsid w:val="003D0896"/>
    <w:rsid w:val="003D493B"/>
    <w:rsid w:val="004B77E2"/>
    <w:rsid w:val="004F276A"/>
    <w:rsid w:val="005241A4"/>
    <w:rsid w:val="00542D8F"/>
    <w:rsid w:val="00597AC0"/>
    <w:rsid w:val="005A50A4"/>
    <w:rsid w:val="005A6D15"/>
    <w:rsid w:val="00680E6F"/>
    <w:rsid w:val="006920D4"/>
    <w:rsid w:val="006B3AD4"/>
    <w:rsid w:val="006F61D2"/>
    <w:rsid w:val="00720131"/>
    <w:rsid w:val="00740C0D"/>
    <w:rsid w:val="0078199A"/>
    <w:rsid w:val="007A2B06"/>
    <w:rsid w:val="00812C96"/>
    <w:rsid w:val="008543AA"/>
    <w:rsid w:val="008659B7"/>
    <w:rsid w:val="00874CFB"/>
    <w:rsid w:val="008B4C75"/>
    <w:rsid w:val="008E59F8"/>
    <w:rsid w:val="008F4B6C"/>
    <w:rsid w:val="008F7BAB"/>
    <w:rsid w:val="0090116F"/>
    <w:rsid w:val="00903341"/>
    <w:rsid w:val="009261CD"/>
    <w:rsid w:val="009437E0"/>
    <w:rsid w:val="0096681B"/>
    <w:rsid w:val="009A5C55"/>
    <w:rsid w:val="00A6337C"/>
    <w:rsid w:val="00A675F1"/>
    <w:rsid w:val="00A94B34"/>
    <w:rsid w:val="00AB508E"/>
    <w:rsid w:val="00AC4B91"/>
    <w:rsid w:val="00AC5C4F"/>
    <w:rsid w:val="00B2123C"/>
    <w:rsid w:val="00B409D9"/>
    <w:rsid w:val="00BB2349"/>
    <w:rsid w:val="00C433C0"/>
    <w:rsid w:val="00C665A2"/>
    <w:rsid w:val="00C916C7"/>
    <w:rsid w:val="00CA5BD2"/>
    <w:rsid w:val="00CD6A55"/>
    <w:rsid w:val="00D11FFB"/>
    <w:rsid w:val="00D26612"/>
    <w:rsid w:val="00DA36C1"/>
    <w:rsid w:val="00DF18D8"/>
    <w:rsid w:val="00E5274D"/>
    <w:rsid w:val="00E608D3"/>
    <w:rsid w:val="00E65008"/>
    <w:rsid w:val="00EE054B"/>
    <w:rsid w:val="00EE3075"/>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given-name">
    <w:name w:val="given-name"/>
    <w:basedOn w:val="DefaultParagraphFont"/>
    <w:rsid w:val="00720131"/>
  </w:style>
  <w:style w:type="character" w:customStyle="1" w:styleId="text">
    <w:name w:val="text"/>
    <w:basedOn w:val="DefaultParagraphFont"/>
    <w:rsid w:val="00720131"/>
  </w:style>
  <w:style w:type="character" w:customStyle="1" w:styleId="anchor-text">
    <w:name w:val="anchor-text"/>
    <w:basedOn w:val="DefaultParagraphFont"/>
    <w:rsid w:val="007201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437731">
      <w:bodyDiv w:val="1"/>
      <w:marLeft w:val="0"/>
      <w:marRight w:val="0"/>
      <w:marTop w:val="0"/>
      <w:marBottom w:val="0"/>
      <w:divBdr>
        <w:top w:val="none" w:sz="0" w:space="0" w:color="auto"/>
        <w:left w:val="none" w:sz="0" w:space="0" w:color="auto"/>
        <w:bottom w:val="none" w:sz="0" w:space="0" w:color="auto"/>
        <w:right w:val="none" w:sz="0" w:space="0" w:color="auto"/>
      </w:divBdr>
      <w:divsChild>
        <w:div w:id="2110931265">
          <w:marLeft w:val="0"/>
          <w:marRight w:val="0"/>
          <w:marTop w:val="0"/>
          <w:marBottom w:val="0"/>
          <w:divBdr>
            <w:top w:val="none" w:sz="0" w:space="0" w:color="auto"/>
            <w:left w:val="none" w:sz="0" w:space="0" w:color="auto"/>
            <w:bottom w:val="none" w:sz="0" w:space="0" w:color="auto"/>
            <w:right w:val="none" w:sz="0" w:space="0" w:color="auto"/>
          </w:divBdr>
        </w:div>
      </w:divsChild>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791719">
      <w:bodyDiv w:val="1"/>
      <w:marLeft w:val="0"/>
      <w:marRight w:val="0"/>
      <w:marTop w:val="0"/>
      <w:marBottom w:val="0"/>
      <w:divBdr>
        <w:top w:val="none" w:sz="0" w:space="0" w:color="auto"/>
        <w:left w:val="none" w:sz="0" w:space="0" w:color="auto"/>
        <w:bottom w:val="none" w:sz="0" w:space="0" w:color="auto"/>
        <w:right w:val="none" w:sz="0" w:space="0" w:color="auto"/>
      </w:divBdr>
      <w:divsChild>
        <w:div w:id="1672030348">
          <w:marLeft w:val="0"/>
          <w:marRight w:val="0"/>
          <w:marTop w:val="0"/>
          <w:marBottom w:val="0"/>
          <w:divBdr>
            <w:top w:val="none" w:sz="0" w:space="0" w:color="auto"/>
            <w:left w:val="none" w:sz="0" w:space="0" w:color="auto"/>
            <w:bottom w:val="none" w:sz="0" w:space="0" w:color="auto"/>
            <w:right w:val="none" w:sz="0" w:space="0" w:color="auto"/>
          </w:divBdr>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201473218">
      <w:bodyDiv w:val="1"/>
      <w:marLeft w:val="0"/>
      <w:marRight w:val="0"/>
      <w:marTop w:val="0"/>
      <w:marBottom w:val="0"/>
      <w:divBdr>
        <w:top w:val="none" w:sz="0" w:space="0" w:color="auto"/>
        <w:left w:val="none" w:sz="0" w:space="0" w:color="auto"/>
        <w:bottom w:val="none" w:sz="0" w:space="0" w:color="auto"/>
        <w:right w:val="none" w:sz="0" w:space="0" w:color="auto"/>
      </w:divBdr>
      <w:divsChild>
        <w:div w:id="515536069">
          <w:marLeft w:val="0"/>
          <w:marRight w:val="0"/>
          <w:marTop w:val="0"/>
          <w:marBottom w:val="0"/>
          <w:divBdr>
            <w:top w:val="none" w:sz="0" w:space="0" w:color="auto"/>
            <w:left w:val="none" w:sz="0" w:space="0" w:color="auto"/>
            <w:bottom w:val="none" w:sz="0" w:space="0" w:color="auto"/>
            <w:right w:val="none" w:sz="0" w:space="0" w:color="auto"/>
          </w:divBdr>
        </w:div>
      </w:divsChild>
    </w:div>
    <w:div w:id="1383603270">
      <w:bodyDiv w:val="1"/>
      <w:marLeft w:val="0"/>
      <w:marRight w:val="0"/>
      <w:marTop w:val="0"/>
      <w:marBottom w:val="0"/>
      <w:divBdr>
        <w:top w:val="none" w:sz="0" w:space="0" w:color="auto"/>
        <w:left w:val="none" w:sz="0" w:space="0" w:color="auto"/>
        <w:bottom w:val="none" w:sz="0" w:space="0" w:color="auto"/>
        <w:right w:val="none" w:sz="0" w:space="0" w:color="auto"/>
      </w:divBdr>
      <w:divsChild>
        <w:div w:id="868228454">
          <w:marLeft w:val="0"/>
          <w:marRight w:val="0"/>
          <w:marTop w:val="0"/>
          <w:marBottom w:val="0"/>
          <w:divBdr>
            <w:top w:val="none" w:sz="0" w:space="0" w:color="auto"/>
            <w:left w:val="none" w:sz="0" w:space="0" w:color="auto"/>
            <w:bottom w:val="none" w:sz="0" w:space="0" w:color="auto"/>
            <w:right w:val="none" w:sz="0" w:space="0" w:color="auto"/>
          </w:divBdr>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523177">
      <w:bodyDiv w:val="1"/>
      <w:marLeft w:val="0"/>
      <w:marRight w:val="0"/>
      <w:marTop w:val="0"/>
      <w:marBottom w:val="0"/>
      <w:divBdr>
        <w:top w:val="none" w:sz="0" w:space="0" w:color="auto"/>
        <w:left w:val="none" w:sz="0" w:space="0" w:color="auto"/>
        <w:bottom w:val="none" w:sz="0" w:space="0" w:color="auto"/>
        <w:right w:val="none" w:sz="0" w:space="0" w:color="auto"/>
      </w:divBdr>
      <w:divsChild>
        <w:div w:id="276179813">
          <w:marLeft w:val="0"/>
          <w:marRight w:val="0"/>
          <w:marTop w:val="0"/>
          <w:marBottom w:val="0"/>
          <w:divBdr>
            <w:top w:val="none" w:sz="0" w:space="0" w:color="auto"/>
            <w:left w:val="none" w:sz="0" w:space="0" w:color="auto"/>
            <w:bottom w:val="none" w:sz="0" w:space="0" w:color="auto"/>
            <w:right w:val="none" w:sz="0" w:space="0" w:color="auto"/>
          </w:divBdr>
          <w:divsChild>
            <w:div w:id="158237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016/j.jfca.2022.10510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food-science/cereal" TargetMode="External"/><Relationship Id="rId5" Type="http://schemas.openxmlformats.org/officeDocument/2006/relationships/hyperlink" Target="https://www.sciencedirect.com/topics/chemistry/carcinogenic" TargetMode="External"/><Relationship Id="rId4" Type="http://schemas.openxmlformats.org/officeDocument/2006/relationships/hyperlink" Target="https://www.sciencedirect.com/topics/chemistry/carcinogenic"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388</Words>
  <Characters>2217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2024-05-04T09:28:00Z</dcterms:created>
  <dcterms:modified xsi:type="dcterms:W3CDTF">2024-05-07T03:55:00Z</dcterms:modified>
</cp:coreProperties>
</file>