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9239AF" w:rsidRDefault="009239AF">
      <w:pPr>
        <w:rPr>
          <w:rStyle w:val="blue-tooltip"/>
          <w:bCs/>
          <w:sz w:val="40"/>
          <w:szCs w:val="40"/>
        </w:rPr>
      </w:pPr>
      <w:proofErr w:type="spellStart"/>
      <w:r w:rsidRPr="009239AF">
        <w:rPr>
          <w:rStyle w:val="blue-tooltip"/>
          <w:bCs/>
          <w:sz w:val="40"/>
          <w:szCs w:val="40"/>
        </w:rPr>
        <w:t>Decarbonization</w:t>
      </w:r>
      <w:proofErr w:type="spellEnd"/>
      <w:r w:rsidRPr="009239AF">
        <w:rPr>
          <w:rStyle w:val="blue-tooltip"/>
          <w:bCs/>
          <w:sz w:val="40"/>
          <w:szCs w:val="40"/>
        </w:rPr>
        <w:t xml:space="preserve"> Blueprints for Developing Countries: The Role of Energy Productivity, Renewable Energy, and Financial Development in Environmental Improvement</w:t>
      </w:r>
    </w:p>
    <w:p w:rsidR="009239AF" w:rsidRDefault="009239AF" w:rsidP="009239AF">
      <w:pPr>
        <w:rPr>
          <w:rStyle w:val="blue-tooltip"/>
          <w:rFonts w:asciiTheme="majorHAnsi" w:hAnsiTheme="majorHAnsi" w:cstheme="majorHAnsi"/>
          <w:b/>
          <w:bCs/>
          <w:sz w:val="24"/>
          <w:szCs w:val="24"/>
        </w:rPr>
      </w:pPr>
    </w:p>
    <w:p w:rsidR="009239AF" w:rsidRPr="009239AF" w:rsidRDefault="003B5227" w:rsidP="009239AF">
      <w:pPr>
        <w:jc w:val="both"/>
        <w:rPr>
          <w:rFonts w:eastAsia="Times New Roman" w:cstheme="minorHAnsi"/>
          <w:color w:val="0070C0"/>
          <w:sz w:val="24"/>
          <w:szCs w:val="24"/>
        </w:rPr>
      </w:pPr>
      <w:r>
        <w:rPr>
          <w:rStyle w:val="blue-tooltip"/>
          <w:rFonts w:cstheme="minorHAnsi"/>
          <w:b/>
          <w:bCs/>
          <w:sz w:val="24"/>
          <w:szCs w:val="24"/>
        </w:rPr>
        <w:t xml:space="preserve">Author: </w:t>
      </w:r>
      <w:r w:rsidR="009239AF" w:rsidRPr="009239AF">
        <w:rPr>
          <w:rFonts w:eastAsia="Times New Roman" w:cstheme="minorHAnsi"/>
          <w:color w:val="0070C0"/>
          <w:sz w:val="24"/>
          <w:szCs w:val="24"/>
        </w:rPr>
        <w:t xml:space="preserve">Chen Yan, </w:t>
      </w:r>
      <w:proofErr w:type="spellStart"/>
      <w:r w:rsidR="009239AF" w:rsidRPr="009239AF">
        <w:rPr>
          <w:rFonts w:eastAsia="Times New Roman" w:cstheme="minorHAnsi"/>
          <w:color w:val="0070C0"/>
          <w:sz w:val="24"/>
          <w:szCs w:val="24"/>
        </w:rPr>
        <w:t>Muntasir</w:t>
      </w:r>
      <w:proofErr w:type="spellEnd"/>
      <w:r w:rsidR="009239AF" w:rsidRPr="009239AF">
        <w:rPr>
          <w:rFonts w:eastAsia="Times New Roman" w:cstheme="minorHAnsi"/>
          <w:color w:val="0070C0"/>
          <w:sz w:val="24"/>
          <w:szCs w:val="24"/>
        </w:rPr>
        <w:t xml:space="preserve"> </w:t>
      </w:r>
      <w:proofErr w:type="spellStart"/>
      <w:r w:rsidR="009239AF" w:rsidRPr="009239AF">
        <w:rPr>
          <w:rFonts w:eastAsia="Times New Roman" w:cstheme="minorHAnsi"/>
          <w:color w:val="0070C0"/>
          <w:sz w:val="24"/>
          <w:szCs w:val="24"/>
        </w:rPr>
        <w:t>Murshed</w:t>
      </w:r>
      <w:proofErr w:type="spellEnd"/>
      <w:r w:rsidR="009239AF" w:rsidRPr="009239AF">
        <w:rPr>
          <w:rFonts w:eastAsia="Times New Roman" w:cstheme="minorHAnsi"/>
          <w:color w:val="0070C0"/>
          <w:sz w:val="24"/>
          <w:szCs w:val="24"/>
        </w:rPr>
        <w:t xml:space="preserve">, </w:t>
      </w:r>
      <w:proofErr w:type="spellStart"/>
      <w:r w:rsidR="009239AF" w:rsidRPr="009239AF">
        <w:rPr>
          <w:rFonts w:eastAsia="Times New Roman" w:cstheme="minorHAnsi"/>
          <w:color w:val="0070C0"/>
          <w:sz w:val="24"/>
          <w:szCs w:val="24"/>
        </w:rPr>
        <w:t>Ilhan</w:t>
      </w:r>
      <w:proofErr w:type="spellEnd"/>
      <w:r w:rsidR="009239AF" w:rsidRPr="009239AF">
        <w:rPr>
          <w:rFonts w:eastAsia="Times New Roman" w:cstheme="minorHAnsi"/>
          <w:color w:val="0070C0"/>
          <w:sz w:val="24"/>
          <w:szCs w:val="24"/>
        </w:rPr>
        <w:t xml:space="preserve"> </w:t>
      </w:r>
      <w:proofErr w:type="spellStart"/>
      <w:r w:rsidR="009239AF" w:rsidRPr="009239AF">
        <w:rPr>
          <w:rFonts w:eastAsia="Times New Roman" w:cstheme="minorHAnsi"/>
          <w:color w:val="0070C0"/>
          <w:sz w:val="24"/>
          <w:szCs w:val="24"/>
        </w:rPr>
        <w:t>Ozturk</w:t>
      </w:r>
      <w:proofErr w:type="spellEnd"/>
      <w:r w:rsidR="009239AF" w:rsidRPr="009239AF">
        <w:rPr>
          <w:rFonts w:eastAsia="Times New Roman" w:cstheme="minorHAnsi"/>
          <w:color w:val="0070C0"/>
          <w:sz w:val="24"/>
          <w:szCs w:val="24"/>
        </w:rPr>
        <w:t xml:space="preserve">, Abu </w:t>
      </w:r>
      <w:proofErr w:type="spellStart"/>
      <w:r w:rsidR="009239AF" w:rsidRPr="009239AF">
        <w:rPr>
          <w:rFonts w:eastAsia="Times New Roman" w:cstheme="minorHAnsi"/>
          <w:color w:val="0070C0"/>
          <w:sz w:val="24"/>
          <w:szCs w:val="24"/>
        </w:rPr>
        <w:t>Bakkar</w:t>
      </w:r>
      <w:proofErr w:type="spellEnd"/>
      <w:r w:rsidR="009239AF" w:rsidRPr="009239AF">
        <w:rPr>
          <w:rFonts w:eastAsia="Times New Roman" w:cstheme="minorHAnsi"/>
          <w:color w:val="0070C0"/>
          <w:sz w:val="24"/>
          <w:szCs w:val="24"/>
        </w:rPr>
        <w:t xml:space="preserve"> </w:t>
      </w:r>
      <w:proofErr w:type="spellStart"/>
      <w:r w:rsidR="009239AF" w:rsidRPr="009239AF">
        <w:rPr>
          <w:rFonts w:eastAsia="Times New Roman" w:cstheme="minorHAnsi"/>
          <w:color w:val="0070C0"/>
          <w:sz w:val="24"/>
          <w:szCs w:val="24"/>
        </w:rPr>
        <w:t>Siddik</w:t>
      </w:r>
      <w:proofErr w:type="spellEnd"/>
      <w:r w:rsidR="009239AF" w:rsidRPr="009239AF">
        <w:rPr>
          <w:rFonts w:eastAsia="Times New Roman" w:cstheme="minorHAnsi"/>
          <w:color w:val="0070C0"/>
          <w:sz w:val="24"/>
          <w:szCs w:val="24"/>
        </w:rPr>
        <w:t xml:space="preserve">, </w:t>
      </w:r>
      <w:proofErr w:type="spellStart"/>
      <w:r w:rsidR="009239AF" w:rsidRPr="009239AF">
        <w:rPr>
          <w:rFonts w:eastAsia="Times New Roman" w:cstheme="minorHAnsi"/>
          <w:color w:val="0070C0"/>
          <w:sz w:val="24"/>
          <w:szCs w:val="24"/>
        </w:rPr>
        <w:t>Wafa</w:t>
      </w:r>
      <w:proofErr w:type="spellEnd"/>
      <w:r w:rsidR="009239AF" w:rsidRPr="009239AF">
        <w:rPr>
          <w:rFonts w:eastAsia="Times New Roman" w:cstheme="minorHAnsi"/>
          <w:color w:val="0070C0"/>
          <w:sz w:val="24"/>
          <w:szCs w:val="24"/>
        </w:rPr>
        <w:t xml:space="preserve"> </w:t>
      </w:r>
      <w:proofErr w:type="spellStart"/>
      <w:r w:rsidR="009239AF" w:rsidRPr="009239AF">
        <w:rPr>
          <w:rFonts w:eastAsia="Times New Roman" w:cstheme="minorHAnsi"/>
          <w:color w:val="0070C0"/>
          <w:sz w:val="24"/>
          <w:szCs w:val="24"/>
        </w:rPr>
        <w:t>Ghardallou</w:t>
      </w:r>
      <w:proofErr w:type="spellEnd"/>
      <w:r w:rsidR="009239AF" w:rsidRPr="009239AF">
        <w:rPr>
          <w:rFonts w:eastAsia="Times New Roman" w:cstheme="minorHAnsi"/>
          <w:color w:val="0070C0"/>
          <w:sz w:val="24"/>
          <w:szCs w:val="24"/>
        </w:rPr>
        <w:t xml:space="preserve">, </w:t>
      </w:r>
      <w:proofErr w:type="spellStart"/>
      <w:r w:rsidR="009239AF" w:rsidRPr="009239AF">
        <w:rPr>
          <w:rFonts w:eastAsia="Times New Roman" w:cstheme="minorHAnsi"/>
          <w:color w:val="0070C0"/>
          <w:sz w:val="24"/>
          <w:szCs w:val="24"/>
        </w:rPr>
        <w:t>Khurshid</w:t>
      </w:r>
      <w:proofErr w:type="spellEnd"/>
      <w:r w:rsidR="009239AF" w:rsidRPr="009239AF">
        <w:rPr>
          <w:rFonts w:eastAsia="Times New Roman" w:cstheme="minorHAnsi"/>
          <w:color w:val="0070C0"/>
          <w:sz w:val="24"/>
          <w:szCs w:val="24"/>
        </w:rPr>
        <w:t xml:space="preserve"> </w:t>
      </w:r>
      <w:proofErr w:type="spellStart"/>
      <w:r w:rsidR="009239AF" w:rsidRPr="009239AF">
        <w:rPr>
          <w:rFonts w:eastAsia="Times New Roman" w:cstheme="minorHAnsi"/>
          <w:color w:val="0070C0"/>
          <w:sz w:val="24"/>
          <w:szCs w:val="24"/>
        </w:rPr>
        <w:t>Khudoykulov</w:t>
      </w:r>
      <w:proofErr w:type="spellEnd"/>
    </w:p>
    <w:p w:rsidR="00286666" w:rsidRPr="009239AF" w:rsidRDefault="00286666" w:rsidP="009239AF">
      <w:pPr>
        <w:jc w:val="both"/>
        <w:rPr>
          <w:rStyle w:val="blue-tooltip"/>
          <w:rFonts w:cstheme="minorHAnsi"/>
          <w:b/>
          <w:bCs/>
          <w:color w:val="0070C0"/>
          <w:sz w:val="24"/>
          <w:szCs w:val="24"/>
        </w:rPr>
      </w:pPr>
    </w:p>
    <w:p w:rsidR="009239AF" w:rsidRPr="009239AF" w:rsidRDefault="00286666" w:rsidP="009239AF">
      <w:pPr>
        <w:jc w:val="both"/>
        <w:rPr>
          <w:rStyle w:val="blue-tooltip"/>
          <w:rFonts w:cstheme="minorHAnsi"/>
          <w:b/>
          <w:sz w:val="24"/>
          <w:szCs w:val="24"/>
        </w:rPr>
      </w:pPr>
      <w:r w:rsidRPr="009239AF">
        <w:rPr>
          <w:rStyle w:val="blue-tooltip"/>
          <w:rFonts w:cstheme="minorHAnsi"/>
          <w:b/>
          <w:sz w:val="24"/>
          <w:szCs w:val="24"/>
        </w:rPr>
        <w:t xml:space="preserve">Abstract: </w:t>
      </w:r>
      <w:r w:rsidR="00C433C0" w:rsidRPr="009239AF">
        <w:rPr>
          <w:rStyle w:val="blue-tooltip"/>
          <w:rFonts w:cstheme="minorHAnsi"/>
          <w:b/>
          <w:sz w:val="24"/>
          <w:szCs w:val="24"/>
        </w:rPr>
        <w:t xml:space="preserve"> </w:t>
      </w:r>
    </w:p>
    <w:p w:rsidR="00286666" w:rsidRPr="009239AF" w:rsidRDefault="009239AF" w:rsidP="009239AF">
      <w:pPr>
        <w:jc w:val="both"/>
        <w:rPr>
          <w:rStyle w:val="blue-tooltip"/>
          <w:rFonts w:cstheme="minorHAnsi"/>
          <w:b/>
          <w:sz w:val="24"/>
          <w:szCs w:val="24"/>
        </w:rPr>
      </w:pPr>
      <w:r w:rsidRPr="009239AF">
        <w:rPr>
          <w:rFonts w:cstheme="minorHAnsi"/>
          <w:color w:val="2E2E2E"/>
          <w:sz w:val="24"/>
          <w:szCs w:val="24"/>
        </w:rPr>
        <w:t>As the </w:t>
      </w:r>
      <w:hyperlink r:id="rId4" w:tooltip="Learn more about International Energy Agency from ScienceDirect's AI-generated Topic Pages" w:history="1">
        <w:r w:rsidRPr="009239AF">
          <w:rPr>
            <w:rStyle w:val="Hyperlink"/>
            <w:rFonts w:cstheme="minorHAnsi"/>
            <w:color w:val="2E2E2E"/>
            <w:sz w:val="24"/>
            <w:szCs w:val="24"/>
          </w:rPr>
          <w:t>International Energy Agency</w:t>
        </w:r>
      </w:hyperlink>
      <w:r w:rsidRPr="009239AF">
        <w:rPr>
          <w:rFonts w:cstheme="minorHAnsi"/>
          <w:color w:val="2E2E2E"/>
          <w:sz w:val="24"/>
          <w:szCs w:val="24"/>
        </w:rPr>
        <w:t> expects forecasts developing countries to become pollution hubs in the future, designing </w:t>
      </w:r>
      <w:proofErr w:type="spellStart"/>
      <w:r w:rsidRPr="009239AF">
        <w:rPr>
          <w:rFonts w:cstheme="minorHAnsi"/>
          <w:color w:val="2E2E2E"/>
          <w:sz w:val="24"/>
          <w:szCs w:val="24"/>
        </w:rPr>
        <w:fldChar w:fldCharType="begin"/>
      </w:r>
      <w:r w:rsidRPr="009239AF">
        <w:rPr>
          <w:rFonts w:cstheme="minorHAnsi"/>
          <w:color w:val="2E2E2E"/>
          <w:sz w:val="24"/>
          <w:szCs w:val="24"/>
        </w:rPr>
        <w:instrText xml:space="preserve"> HYPERLINK "https://www.sciencedirect.com/topics/economics-econometrics-and-finance/decarbonization" \o "Learn more about decarbonization from ScienceDirect's AI-generated Topic Pages" </w:instrText>
      </w:r>
      <w:r w:rsidRPr="009239AF">
        <w:rPr>
          <w:rFonts w:cstheme="minorHAnsi"/>
          <w:color w:val="2E2E2E"/>
          <w:sz w:val="24"/>
          <w:szCs w:val="24"/>
        </w:rPr>
        <w:fldChar w:fldCharType="separate"/>
      </w:r>
      <w:r w:rsidRPr="009239AF">
        <w:rPr>
          <w:rStyle w:val="Hyperlink"/>
          <w:rFonts w:cstheme="minorHAnsi"/>
          <w:color w:val="2E2E2E"/>
          <w:sz w:val="24"/>
          <w:szCs w:val="24"/>
        </w:rPr>
        <w:t>decarbonization</w:t>
      </w:r>
      <w:proofErr w:type="spellEnd"/>
      <w:r w:rsidRPr="009239AF">
        <w:rPr>
          <w:rFonts w:cstheme="minorHAnsi"/>
          <w:color w:val="2E2E2E"/>
          <w:sz w:val="24"/>
          <w:szCs w:val="24"/>
        </w:rPr>
        <w:fldChar w:fldCharType="end"/>
      </w:r>
      <w:r w:rsidRPr="009239AF">
        <w:rPr>
          <w:rFonts w:cstheme="minorHAnsi"/>
          <w:color w:val="2E2E2E"/>
          <w:sz w:val="24"/>
          <w:szCs w:val="24"/>
        </w:rPr>
        <w:t> blueprints has become critically important for the concerned governments. Hence, this study aims to identify the factors that can help developing nations in controlling their atmospheric discharges of carbon dioxide. Based on the rigorous </w:t>
      </w:r>
      <w:hyperlink r:id="rId5" w:tooltip="Learn more about econometric analysis from ScienceDirect's AI-generated Topic Pages" w:history="1">
        <w:r w:rsidRPr="009239AF">
          <w:rPr>
            <w:rStyle w:val="Hyperlink"/>
            <w:rFonts w:cstheme="minorHAnsi"/>
            <w:color w:val="2E2E2E"/>
            <w:sz w:val="24"/>
            <w:szCs w:val="24"/>
          </w:rPr>
          <w:t>econometric analysis</w:t>
        </w:r>
      </w:hyperlink>
      <w:r w:rsidRPr="009239AF">
        <w:rPr>
          <w:rFonts w:cstheme="minorHAnsi"/>
          <w:color w:val="2E2E2E"/>
          <w:sz w:val="24"/>
          <w:szCs w:val="24"/>
        </w:rPr>
        <w:t>, utilizing data from selected low- and middle-income nations, it is found that using energy productively and enhancing the share of renewable energy in the national energy consumption profiles can reduce </w:t>
      </w:r>
      <w:hyperlink r:id="rId6" w:tooltip="Learn more about carbon emissions from ScienceDirect's AI-generated Topic Pages" w:history="1">
        <w:r w:rsidRPr="009239AF">
          <w:rPr>
            <w:rStyle w:val="Hyperlink"/>
            <w:rFonts w:cstheme="minorHAnsi"/>
            <w:color w:val="2E2E2E"/>
            <w:sz w:val="24"/>
            <w:szCs w:val="24"/>
          </w:rPr>
          <w:t>carbon emissions</w:t>
        </w:r>
      </w:hyperlink>
      <w:r w:rsidRPr="009239AF">
        <w:rPr>
          <w:rFonts w:cstheme="minorHAnsi"/>
          <w:color w:val="2E2E2E"/>
          <w:sz w:val="24"/>
          <w:szCs w:val="24"/>
        </w:rPr>
        <w:t>. By contrast, urbanization exerts emission-boosting impacts while the corresponding impacts of financial development and </w:t>
      </w:r>
      <w:hyperlink r:id="rId7" w:tooltip="Learn more about international trade from ScienceDirect's AI-generated Topic Pages" w:history="1">
        <w:r w:rsidRPr="009239AF">
          <w:rPr>
            <w:rStyle w:val="Hyperlink"/>
            <w:rFonts w:cstheme="minorHAnsi"/>
            <w:color w:val="2E2E2E"/>
            <w:sz w:val="24"/>
            <w:szCs w:val="24"/>
          </w:rPr>
          <w:t>international trade</w:t>
        </w:r>
      </w:hyperlink>
      <w:r w:rsidRPr="009239AF">
        <w:rPr>
          <w:rFonts w:cstheme="minorHAnsi"/>
          <w:color w:val="2E2E2E"/>
          <w:sz w:val="24"/>
          <w:szCs w:val="24"/>
        </w:rPr>
        <w:t> are inconclusive. Besides, the income group-specific analysis reveals heterogeneous outcomes as energy productivity improvement is found to decarbonize only the selected middle-income countries. However, the adoption of renewable energy exerts decarbonizing effects irrespective of the income group classification of the concerned developing nations. On the other hand, financial development hampers and promotes the </w:t>
      </w:r>
      <w:proofErr w:type="spellStart"/>
      <w:r w:rsidRPr="009239AF">
        <w:rPr>
          <w:rFonts w:cstheme="minorHAnsi"/>
          <w:color w:val="2E2E2E"/>
          <w:sz w:val="24"/>
          <w:szCs w:val="24"/>
        </w:rPr>
        <w:fldChar w:fldCharType="begin"/>
      </w:r>
      <w:r w:rsidRPr="009239AF">
        <w:rPr>
          <w:rFonts w:cstheme="minorHAnsi"/>
          <w:color w:val="2E2E2E"/>
          <w:sz w:val="24"/>
          <w:szCs w:val="24"/>
        </w:rPr>
        <w:instrText xml:space="preserve"> HYPERLINK "https://www.sciencedirect.com/topics/economics-econometrics-and-finance/decarbonization" \o "Learn more about decarbonization from ScienceDirect's AI-generated Topic Pages" </w:instrText>
      </w:r>
      <w:r w:rsidRPr="009239AF">
        <w:rPr>
          <w:rFonts w:cstheme="minorHAnsi"/>
          <w:color w:val="2E2E2E"/>
          <w:sz w:val="24"/>
          <w:szCs w:val="24"/>
        </w:rPr>
        <w:fldChar w:fldCharType="separate"/>
      </w:r>
      <w:r w:rsidRPr="009239AF">
        <w:rPr>
          <w:rStyle w:val="Hyperlink"/>
          <w:rFonts w:cstheme="minorHAnsi"/>
          <w:color w:val="2E2E2E"/>
          <w:sz w:val="24"/>
          <w:szCs w:val="24"/>
        </w:rPr>
        <w:t>decarbonization</w:t>
      </w:r>
      <w:proofErr w:type="spellEnd"/>
      <w:r w:rsidRPr="009239AF">
        <w:rPr>
          <w:rFonts w:cstheme="minorHAnsi"/>
          <w:color w:val="2E2E2E"/>
          <w:sz w:val="24"/>
          <w:szCs w:val="24"/>
        </w:rPr>
        <w:fldChar w:fldCharType="end"/>
      </w:r>
      <w:r w:rsidRPr="009239AF">
        <w:rPr>
          <w:rFonts w:cstheme="minorHAnsi"/>
          <w:color w:val="2E2E2E"/>
          <w:sz w:val="24"/>
          <w:szCs w:val="24"/>
        </w:rPr>
        <w:t xml:space="preserve"> objectives of lower-middle-income and upper-middle-income countries, respectively. In addition, higher exports boost the emissions figures of low-income countries, in particular. Furthermore, urbanization is identified as a </w:t>
      </w:r>
      <w:proofErr w:type="spellStart"/>
      <w:r w:rsidRPr="009239AF">
        <w:rPr>
          <w:rFonts w:cstheme="minorHAnsi"/>
          <w:color w:val="2E2E2E"/>
          <w:sz w:val="24"/>
          <w:szCs w:val="24"/>
        </w:rPr>
        <w:t>decarbonization</w:t>
      </w:r>
      <w:proofErr w:type="spellEnd"/>
      <w:r w:rsidRPr="009239AF">
        <w:rPr>
          <w:rFonts w:cstheme="minorHAnsi"/>
          <w:color w:val="2E2E2E"/>
          <w:sz w:val="24"/>
          <w:szCs w:val="24"/>
        </w:rPr>
        <w:t xml:space="preserve">-restricting factor for developing economies irrespective of their income group classifications. On the other hand, the outcomes from the regional and country-specific analyses also exhibit heterogeneity in the majority of the aspects. Considering these major findings, several </w:t>
      </w:r>
      <w:proofErr w:type="spellStart"/>
      <w:r w:rsidRPr="009239AF">
        <w:rPr>
          <w:rFonts w:cstheme="minorHAnsi"/>
          <w:color w:val="2E2E2E"/>
          <w:sz w:val="24"/>
          <w:szCs w:val="24"/>
        </w:rPr>
        <w:t>decarbonization</w:t>
      </w:r>
      <w:proofErr w:type="spellEnd"/>
      <w:r w:rsidRPr="009239AF">
        <w:rPr>
          <w:rFonts w:cstheme="minorHAnsi"/>
          <w:color w:val="2E2E2E"/>
          <w:sz w:val="24"/>
          <w:szCs w:val="24"/>
        </w:rPr>
        <w:t xml:space="preserve"> strategies are recommended.</w:t>
      </w:r>
      <w:r w:rsidR="004F276A" w:rsidRPr="009239AF">
        <w:rPr>
          <w:rStyle w:val="blue-tooltip"/>
          <w:rFonts w:cstheme="minorHAnsi"/>
          <w:b/>
          <w:sz w:val="24"/>
          <w:szCs w:val="24"/>
        </w:rPr>
        <w:t xml:space="preserve"> </w:t>
      </w:r>
    </w:p>
    <w:p w:rsidR="000816E0" w:rsidRPr="009239AF" w:rsidRDefault="000816E0" w:rsidP="009239AF">
      <w:pPr>
        <w:jc w:val="both"/>
        <w:rPr>
          <w:rFonts w:cstheme="minorHAnsi"/>
          <w:sz w:val="24"/>
          <w:szCs w:val="24"/>
        </w:rPr>
      </w:pPr>
    </w:p>
    <w:p w:rsidR="000816E0" w:rsidRPr="009239AF" w:rsidRDefault="000816E0" w:rsidP="009239AF">
      <w:pPr>
        <w:spacing w:before="150" w:after="150" w:line="240" w:lineRule="auto"/>
        <w:jc w:val="both"/>
        <w:rPr>
          <w:rFonts w:cstheme="minorHAnsi"/>
          <w:b/>
          <w:bCs/>
          <w:color w:val="4C4C4C"/>
          <w:sz w:val="24"/>
          <w:szCs w:val="24"/>
          <w:shd w:val="clear" w:color="auto" w:fill="FFFFFF"/>
        </w:rPr>
      </w:pPr>
      <w:r w:rsidRPr="009239AF">
        <w:rPr>
          <w:rFonts w:cstheme="minorHAnsi"/>
          <w:b/>
          <w:bCs/>
          <w:color w:val="4C4C4C"/>
          <w:sz w:val="24"/>
          <w:szCs w:val="24"/>
          <w:shd w:val="clear" w:color="auto" w:fill="FFFFFF"/>
        </w:rPr>
        <w:t>Conference / Journal Link:</w:t>
      </w:r>
    </w:p>
    <w:bookmarkStart w:id="0" w:name="cj_link"/>
    <w:p w:rsidR="009239AF" w:rsidRPr="009239AF" w:rsidRDefault="009239AF" w:rsidP="009239AF">
      <w:pPr>
        <w:spacing w:before="150" w:after="150" w:line="240" w:lineRule="auto"/>
        <w:jc w:val="both"/>
        <w:rPr>
          <w:rFonts w:cstheme="minorHAnsi"/>
          <w:b/>
          <w:bCs/>
          <w:color w:val="0070C0"/>
          <w:sz w:val="24"/>
          <w:szCs w:val="24"/>
          <w:shd w:val="clear" w:color="auto" w:fill="FFFFFF"/>
        </w:rPr>
      </w:pPr>
      <w:r w:rsidRPr="009239AF">
        <w:rPr>
          <w:rFonts w:cstheme="minorHAnsi"/>
          <w:color w:val="0070C0"/>
          <w:sz w:val="24"/>
          <w:szCs w:val="24"/>
        </w:rPr>
        <w:fldChar w:fldCharType="begin"/>
      </w:r>
      <w:r w:rsidRPr="009239AF">
        <w:rPr>
          <w:rFonts w:cstheme="minorHAnsi"/>
          <w:color w:val="0070C0"/>
          <w:sz w:val="24"/>
          <w:szCs w:val="24"/>
        </w:rPr>
        <w:instrText xml:space="preserve"> HYPERLINK "https://www.sciencedirect.com/science/article/abs/pii/S0301420723003859" \t "_blank" </w:instrText>
      </w:r>
      <w:r w:rsidRPr="009239AF">
        <w:rPr>
          <w:rFonts w:cstheme="minorHAnsi"/>
          <w:color w:val="0070C0"/>
          <w:sz w:val="24"/>
          <w:szCs w:val="24"/>
        </w:rPr>
        <w:fldChar w:fldCharType="separate"/>
      </w:r>
      <w:r w:rsidRPr="009239AF">
        <w:rPr>
          <w:rStyle w:val="Hyperlink"/>
          <w:rFonts w:cstheme="minorHAnsi"/>
          <w:color w:val="0070C0"/>
          <w:sz w:val="24"/>
          <w:szCs w:val="24"/>
          <w:u w:val="none"/>
        </w:rPr>
        <w:t>https://www.sciencedirect.com/science/article/abs/pii/S0301420723003859</w:t>
      </w:r>
      <w:r w:rsidRPr="009239AF">
        <w:rPr>
          <w:rFonts w:cstheme="minorHAnsi"/>
          <w:color w:val="0070C0"/>
          <w:sz w:val="24"/>
          <w:szCs w:val="24"/>
        </w:rPr>
        <w:fldChar w:fldCharType="end"/>
      </w:r>
      <w:bookmarkEnd w:id="0"/>
    </w:p>
    <w:p w:rsidR="000816E0" w:rsidRPr="009239AF" w:rsidRDefault="000816E0" w:rsidP="009239AF">
      <w:pPr>
        <w:spacing w:before="150"/>
        <w:jc w:val="both"/>
        <w:rPr>
          <w:rFonts w:cstheme="minorHAnsi"/>
          <w:b/>
          <w:color w:val="4C4C4C"/>
          <w:sz w:val="24"/>
          <w:szCs w:val="24"/>
        </w:rPr>
      </w:pPr>
      <w:r w:rsidRPr="009239AF">
        <w:rPr>
          <w:rFonts w:cstheme="minorHAnsi"/>
          <w:b/>
          <w:color w:val="4C4C4C"/>
          <w:sz w:val="24"/>
          <w:szCs w:val="24"/>
        </w:rPr>
        <w:t>DOI:</w:t>
      </w:r>
    </w:p>
    <w:p w:rsidR="009239AF" w:rsidRPr="009239AF" w:rsidRDefault="009239AF" w:rsidP="009239AF">
      <w:pPr>
        <w:spacing w:before="150"/>
        <w:jc w:val="both"/>
        <w:rPr>
          <w:rFonts w:asciiTheme="majorHAnsi" w:hAnsiTheme="majorHAnsi" w:cstheme="majorHAnsi"/>
          <w:b/>
          <w:color w:val="0070C0"/>
          <w:sz w:val="24"/>
          <w:szCs w:val="24"/>
        </w:rPr>
      </w:pPr>
      <w:hyperlink r:id="rId8" w:tgtFrame="_blank" w:tooltip="Persistent link using digital object identifier" w:history="1">
        <w:r w:rsidRPr="009239AF">
          <w:rPr>
            <w:rStyle w:val="anchor-text"/>
            <w:rFonts w:cstheme="minorHAnsi"/>
            <w:color w:val="0070C0"/>
            <w:sz w:val="24"/>
            <w:szCs w:val="24"/>
          </w:rPr>
          <w:t>https://doi.org/10.1016/j.resourpol.2023.</w:t>
        </w:r>
        <w:bookmarkStart w:id="1" w:name="_GoBack"/>
        <w:bookmarkEnd w:id="1"/>
        <w:r w:rsidRPr="009239AF">
          <w:rPr>
            <w:rStyle w:val="anchor-text"/>
            <w:rFonts w:cstheme="minorHAnsi"/>
            <w:color w:val="0070C0"/>
            <w:sz w:val="24"/>
            <w:szCs w:val="24"/>
          </w:rPr>
          <w:t>103674</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82502"/>
    <w:rsid w:val="00286666"/>
    <w:rsid w:val="002C78EC"/>
    <w:rsid w:val="002E30B8"/>
    <w:rsid w:val="00383B0C"/>
    <w:rsid w:val="00397E1D"/>
    <w:rsid w:val="003B5227"/>
    <w:rsid w:val="003D493B"/>
    <w:rsid w:val="004B77E2"/>
    <w:rsid w:val="004F276A"/>
    <w:rsid w:val="005241A4"/>
    <w:rsid w:val="00542D8F"/>
    <w:rsid w:val="00597AC0"/>
    <w:rsid w:val="005A50A4"/>
    <w:rsid w:val="00680E6F"/>
    <w:rsid w:val="006920D4"/>
    <w:rsid w:val="006F61D2"/>
    <w:rsid w:val="00740C0D"/>
    <w:rsid w:val="007A2B06"/>
    <w:rsid w:val="008543AA"/>
    <w:rsid w:val="008659B7"/>
    <w:rsid w:val="008B4C75"/>
    <w:rsid w:val="008E59F8"/>
    <w:rsid w:val="008F4B6C"/>
    <w:rsid w:val="008F7BAB"/>
    <w:rsid w:val="0090116F"/>
    <w:rsid w:val="009239AF"/>
    <w:rsid w:val="009437E0"/>
    <w:rsid w:val="00A6337C"/>
    <w:rsid w:val="00A675F1"/>
    <w:rsid w:val="00A94B34"/>
    <w:rsid w:val="00AB508E"/>
    <w:rsid w:val="00AC4B91"/>
    <w:rsid w:val="00AC5C4F"/>
    <w:rsid w:val="00B2123C"/>
    <w:rsid w:val="00B409D9"/>
    <w:rsid w:val="00BB2349"/>
    <w:rsid w:val="00C433C0"/>
    <w:rsid w:val="00C916C7"/>
    <w:rsid w:val="00CD6A55"/>
    <w:rsid w:val="00D11FFB"/>
    <w:rsid w:val="00D26612"/>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9239AF"/>
  </w:style>
  <w:style w:type="character" w:customStyle="1" w:styleId="text">
    <w:name w:val="text"/>
    <w:basedOn w:val="DefaultParagraphFont"/>
    <w:rsid w:val="009239AF"/>
  </w:style>
  <w:style w:type="character" w:customStyle="1" w:styleId="anchor-text">
    <w:name w:val="anchor-text"/>
    <w:basedOn w:val="DefaultParagraphFont"/>
    <w:rsid w:val="00923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345466">
      <w:bodyDiv w:val="1"/>
      <w:marLeft w:val="0"/>
      <w:marRight w:val="0"/>
      <w:marTop w:val="0"/>
      <w:marBottom w:val="0"/>
      <w:divBdr>
        <w:top w:val="none" w:sz="0" w:space="0" w:color="auto"/>
        <w:left w:val="none" w:sz="0" w:space="0" w:color="auto"/>
        <w:bottom w:val="none" w:sz="0" w:space="0" w:color="auto"/>
        <w:right w:val="none" w:sz="0" w:space="0" w:color="auto"/>
      </w:divBdr>
      <w:divsChild>
        <w:div w:id="1978102149">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69172">
      <w:bodyDiv w:val="1"/>
      <w:marLeft w:val="0"/>
      <w:marRight w:val="0"/>
      <w:marTop w:val="0"/>
      <w:marBottom w:val="0"/>
      <w:divBdr>
        <w:top w:val="none" w:sz="0" w:space="0" w:color="auto"/>
        <w:left w:val="none" w:sz="0" w:space="0" w:color="auto"/>
        <w:bottom w:val="none" w:sz="0" w:space="0" w:color="auto"/>
        <w:right w:val="none" w:sz="0" w:space="0" w:color="auto"/>
      </w:divBdr>
      <w:divsChild>
        <w:div w:id="2125535942">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70357894">
      <w:bodyDiv w:val="1"/>
      <w:marLeft w:val="0"/>
      <w:marRight w:val="0"/>
      <w:marTop w:val="0"/>
      <w:marBottom w:val="0"/>
      <w:divBdr>
        <w:top w:val="none" w:sz="0" w:space="0" w:color="auto"/>
        <w:left w:val="none" w:sz="0" w:space="0" w:color="auto"/>
        <w:bottom w:val="none" w:sz="0" w:space="0" w:color="auto"/>
        <w:right w:val="none" w:sz="0" w:space="0" w:color="auto"/>
      </w:divBdr>
      <w:divsChild>
        <w:div w:id="1460566573">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86596">
      <w:bodyDiv w:val="1"/>
      <w:marLeft w:val="0"/>
      <w:marRight w:val="0"/>
      <w:marTop w:val="0"/>
      <w:marBottom w:val="0"/>
      <w:divBdr>
        <w:top w:val="none" w:sz="0" w:space="0" w:color="auto"/>
        <w:left w:val="none" w:sz="0" w:space="0" w:color="auto"/>
        <w:bottom w:val="none" w:sz="0" w:space="0" w:color="auto"/>
        <w:right w:val="none" w:sz="0" w:space="0" w:color="auto"/>
      </w:divBdr>
      <w:divsChild>
        <w:div w:id="1109813515">
          <w:marLeft w:val="0"/>
          <w:marRight w:val="0"/>
          <w:marTop w:val="0"/>
          <w:marBottom w:val="0"/>
          <w:divBdr>
            <w:top w:val="none" w:sz="0" w:space="0" w:color="auto"/>
            <w:left w:val="none" w:sz="0" w:space="0" w:color="auto"/>
            <w:bottom w:val="none" w:sz="0" w:space="0" w:color="auto"/>
            <w:right w:val="none" w:sz="0" w:space="0" w:color="auto"/>
          </w:divBdr>
        </w:div>
      </w:divsChild>
    </w:div>
    <w:div w:id="2073656807">
      <w:bodyDiv w:val="1"/>
      <w:marLeft w:val="0"/>
      <w:marRight w:val="0"/>
      <w:marTop w:val="0"/>
      <w:marBottom w:val="0"/>
      <w:divBdr>
        <w:top w:val="none" w:sz="0" w:space="0" w:color="auto"/>
        <w:left w:val="none" w:sz="0" w:space="0" w:color="auto"/>
        <w:bottom w:val="none" w:sz="0" w:space="0" w:color="auto"/>
        <w:right w:val="none" w:sz="0" w:space="0" w:color="auto"/>
      </w:divBdr>
      <w:divsChild>
        <w:div w:id="1998729296">
          <w:marLeft w:val="0"/>
          <w:marRight w:val="0"/>
          <w:marTop w:val="0"/>
          <w:marBottom w:val="0"/>
          <w:divBdr>
            <w:top w:val="none" w:sz="0" w:space="0" w:color="auto"/>
            <w:left w:val="none" w:sz="0" w:space="0" w:color="auto"/>
            <w:bottom w:val="none" w:sz="0" w:space="0" w:color="auto"/>
            <w:right w:val="none" w:sz="0" w:space="0" w:color="auto"/>
          </w:divBdr>
        </w:div>
      </w:divsChild>
    </w:div>
    <w:div w:id="2128379818">
      <w:bodyDiv w:val="1"/>
      <w:marLeft w:val="0"/>
      <w:marRight w:val="0"/>
      <w:marTop w:val="0"/>
      <w:marBottom w:val="0"/>
      <w:divBdr>
        <w:top w:val="none" w:sz="0" w:space="0" w:color="auto"/>
        <w:left w:val="none" w:sz="0" w:space="0" w:color="auto"/>
        <w:bottom w:val="none" w:sz="0" w:space="0" w:color="auto"/>
        <w:right w:val="none" w:sz="0" w:space="0" w:color="auto"/>
      </w:divBdr>
      <w:divsChild>
        <w:div w:id="1806770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resourpol.2023.103674" TargetMode="External"/><Relationship Id="rId3" Type="http://schemas.openxmlformats.org/officeDocument/2006/relationships/webSettings" Target="webSettings.xml"/><Relationship Id="rId7" Type="http://schemas.openxmlformats.org/officeDocument/2006/relationships/hyperlink" Target="https://www.sciencedirect.com/topics/economics-econometrics-and-finance/international-tra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carbon-dioxide-emission" TargetMode="External"/><Relationship Id="rId5" Type="http://schemas.openxmlformats.org/officeDocument/2006/relationships/hyperlink" Target="https://www.sciencedirect.com/topics/social-sciences/econometrics" TargetMode="External"/><Relationship Id="rId10" Type="http://schemas.openxmlformats.org/officeDocument/2006/relationships/theme" Target="theme/theme1.xml"/><Relationship Id="rId4" Type="http://schemas.openxmlformats.org/officeDocument/2006/relationships/hyperlink" Target="https://www.sciencedirect.com/topics/social-sciences/international-energy-agency"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2024-04-27T05:43:00Z</dcterms:created>
  <dcterms:modified xsi:type="dcterms:W3CDTF">2024-05-09T09:47:00Z</dcterms:modified>
</cp:coreProperties>
</file>