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E02A14" w:rsidRDefault="00E02A14">
      <w:pPr>
        <w:rPr>
          <w:rStyle w:val="blue-tooltip"/>
          <w:rFonts w:ascii="Times New Roman" w:hAnsi="Times New Roman" w:cs="Times New Roman"/>
          <w:sz w:val="40"/>
          <w:szCs w:val="40"/>
        </w:rPr>
      </w:pPr>
      <w:r w:rsidRPr="00E02A14">
        <w:rPr>
          <w:rStyle w:val="blue-tooltip"/>
          <w:rFonts w:ascii="Times New Roman" w:hAnsi="Times New Roman" w:cs="Times New Roman"/>
          <w:sz w:val="40"/>
          <w:szCs w:val="40"/>
        </w:rPr>
        <w:t>Efficacies of Technological Progress and Renewable Energy Transition in Amplifying National Electrification Rates: Contextual Evidence from Developing Countries</w:t>
      </w:r>
    </w:p>
    <w:p w:rsidR="00E02A14" w:rsidRDefault="00E02A14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E02A14" w:rsidRPr="00E02A14" w:rsidRDefault="00056A8C" w:rsidP="00E02A14">
      <w:pPr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lang w:bidi="bn-BD"/>
        </w:rPr>
      </w:pPr>
      <w:r w:rsidRPr="00E02A14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E02A14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2A14" w:rsidRPr="00E02A14">
        <w:rPr>
          <w:rFonts w:ascii="Times New Roman" w:eastAsia="Times New Roman" w:hAnsi="Times New Roman" w:cs="Times New Roman"/>
          <w:color w:val="0070C0"/>
          <w:sz w:val="24"/>
          <w:szCs w:val="24"/>
          <w:lang w:bidi="bn-BD"/>
        </w:rPr>
        <w:t>Muntasir</w:t>
      </w:r>
      <w:proofErr w:type="spellEnd"/>
      <w:r w:rsidR="00E02A14" w:rsidRPr="00E02A14">
        <w:rPr>
          <w:rFonts w:ascii="Times New Roman" w:eastAsia="Times New Roman" w:hAnsi="Times New Roman" w:cs="Times New Roman"/>
          <w:color w:val="0070C0"/>
          <w:sz w:val="24"/>
          <w:szCs w:val="24"/>
          <w:lang w:bidi="bn-BD"/>
        </w:rPr>
        <w:t xml:space="preserve"> </w:t>
      </w:r>
      <w:proofErr w:type="spellStart"/>
      <w:r w:rsidR="00E02A14" w:rsidRPr="00E02A14">
        <w:rPr>
          <w:rFonts w:ascii="Times New Roman" w:eastAsia="Times New Roman" w:hAnsi="Times New Roman" w:cs="Times New Roman"/>
          <w:color w:val="0070C0"/>
          <w:sz w:val="24"/>
          <w:szCs w:val="24"/>
          <w:lang w:bidi="bn-BD"/>
        </w:rPr>
        <w:t>Murshed</w:t>
      </w:r>
      <w:proofErr w:type="spellEnd"/>
    </w:p>
    <w:p w:rsidR="00E02A14" w:rsidRPr="00E02A14" w:rsidRDefault="00286666" w:rsidP="00E02A14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E02A14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  <w:r w:rsidR="00C433C0" w:rsidRPr="00E02A14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6666" w:rsidRPr="00A7368F" w:rsidRDefault="00E02A14" w:rsidP="00E02A14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A7368F">
        <w:rPr>
          <w:rFonts w:ascii="Times New Roman" w:hAnsi="Times New Roman" w:cs="Times New Roman"/>
          <w:color w:val="2E2E2E"/>
          <w:sz w:val="24"/>
          <w:szCs w:val="24"/>
        </w:rPr>
        <w:t>Since electricity is a basic human need, improving its accessibility is of global relevance. Hence, this study considers data from 74 developing countries for understanding the </w:t>
      </w:r>
      <w:hyperlink r:id="rId4" w:tooltip="Learn more about macroeconomic factors from ScienceDirect's AI-generated Topic Pages" w:history="1">
        <w:r w:rsidRPr="00A7368F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macroeconomic factors</w:t>
        </w:r>
      </w:hyperlink>
      <w:r w:rsidRPr="00A7368F">
        <w:rPr>
          <w:rFonts w:ascii="Times New Roman" w:hAnsi="Times New Roman" w:cs="Times New Roman"/>
          <w:color w:val="2E2E2E"/>
          <w:sz w:val="24"/>
          <w:szCs w:val="24"/>
        </w:rPr>
        <w:t> influencing their national electrification rates. Although the income-group-specific findings exhibit heterogeneity, the overall results endorse the electrification rate-boosting impacts of technological progress</w:t>
      </w:r>
      <w:bookmarkStart w:id="0" w:name="_GoBack"/>
      <w:bookmarkEnd w:id="0"/>
      <w:r w:rsidRPr="00A7368F">
        <w:rPr>
          <w:rFonts w:ascii="Times New Roman" w:hAnsi="Times New Roman" w:cs="Times New Roman"/>
          <w:color w:val="2E2E2E"/>
          <w:sz w:val="24"/>
          <w:szCs w:val="24"/>
        </w:rPr>
        <w:t>, renewable energy transition, economic growth, and institutional quality improvement. Besides, the </w:t>
      </w:r>
      <w:hyperlink r:id="rId5" w:tooltip="Learn more about joint from ScienceDirect's AI-generated Topic Pages" w:history="1">
        <w:r w:rsidRPr="00A7368F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joint</w:t>
        </w:r>
      </w:hyperlink>
      <w:r w:rsidRPr="00A7368F">
        <w:rPr>
          <w:rFonts w:ascii="Times New Roman" w:hAnsi="Times New Roman" w:cs="Times New Roman"/>
          <w:color w:val="2E2E2E"/>
          <w:sz w:val="24"/>
          <w:szCs w:val="24"/>
        </w:rPr>
        <w:t> electrification rate-boosting effect of technological progress and renewable energy transition is affirmed, while higher </w:t>
      </w:r>
      <w:hyperlink r:id="rId6" w:tooltip="Learn more about income inequality from ScienceDirect's AI-generated Topic Pages" w:history="1">
        <w:r w:rsidRPr="00A7368F">
          <w:rPr>
            <w:rStyle w:val="Hyperlink"/>
            <w:rFonts w:ascii="Times New Roman" w:hAnsi="Times New Roman" w:cs="Times New Roman"/>
            <w:color w:val="2E2E2E"/>
            <w:sz w:val="24"/>
            <w:szCs w:val="24"/>
            <w:u w:val="none"/>
          </w:rPr>
          <w:t>income inequality</w:t>
        </w:r>
      </w:hyperlink>
      <w:r w:rsidRPr="00A7368F">
        <w:rPr>
          <w:rFonts w:ascii="Times New Roman" w:hAnsi="Times New Roman" w:cs="Times New Roman"/>
          <w:color w:val="2E2E2E"/>
          <w:sz w:val="24"/>
          <w:szCs w:val="24"/>
        </w:rPr>
        <w:t> and prices of crude oil are found to inhibit improvement in electrification rates in the developing countries of concern. Accordingly, several electrification rate-boosting policies are suggested.</w:t>
      </w:r>
      <w:r w:rsidR="004F276A" w:rsidRPr="00A7368F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6E0" w:rsidRPr="00E02A14" w:rsidRDefault="000816E0" w:rsidP="00E02A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E02A14" w:rsidRDefault="000816E0" w:rsidP="00E02A1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E02A1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E02A14" w:rsidRPr="00E02A14" w:rsidRDefault="00E02A14" w:rsidP="00E02A14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E02A14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E02A14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"https://www.sciencedirect.com/science/article/abs/pii/S0957178723000243" \t "_blank" </w:instrText>
      </w:r>
      <w:r w:rsidRPr="00E02A14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E02A14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https://www.sciencedirect.com/science/article/abs/pii/S0957178723000243</w:t>
      </w:r>
      <w:r w:rsidRPr="00E02A14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E02A14" w:rsidRDefault="000816E0" w:rsidP="00E02A14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2A14">
        <w:rPr>
          <w:rFonts w:ascii="Times New Roman" w:hAnsi="Times New Roman" w:cs="Times New Roman"/>
          <w:b/>
          <w:sz w:val="24"/>
          <w:szCs w:val="24"/>
        </w:rPr>
        <w:t>DOI:</w:t>
      </w:r>
    </w:p>
    <w:p w:rsidR="00E02A14" w:rsidRPr="00E02A14" w:rsidRDefault="00E02A14" w:rsidP="00E02A14">
      <w:pPr>
        <w:spacing w:before="150"/>
        <w:jc w:val="both"/>
        <w:rPr>
          <w:rFonts w:asciiTheme="majorHAnsi" w:hAnsiTheme="majorHAnsi" w:cstheme="majorHAnsi"/>
          <w:b/>
          <w:color w:val="0070C0"/>
          <w:sz w:val="24"/>
          <w:szCs w:val="24"/>
        </w:rPr>
      </w:pPr>
      <w:hyperlink r:id="rId7" w:tgtFrame="_blank" w:tooltip="Persistent link using digital object identifier" w:history="1">
        <w:r w:rsidRPr="00E02A14">
          <w:rPr>
            <w:rStyle w:val="anchor-text"/>
            <w:rFonts w:ascii="Times New Roman" w:hAnsi="Times New Roman" w:cs="Times New Roman"/>
            <w:color w:val="0070C0"/>
            <w:sz w:val="24"/>
            <w:szCs w:val="24"/>
          </w:rPr>
          <w:t>https://doi.org/10.1016/j.jup.2023.101512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42AAB"/>
    <w:rsid w:val="00056A8C"/>
    <w:rsid w:val="0007532E"/>
    <w:rsid w:val="00081177"/>
    <w:rsid w:val="000816E0"/>
    <w:rsid w:val="000C0475"/>
    <w:rsid w:val="00103261"/>
    <w:rsid w:val="00127B96"/>
    <w:rsid w:val="001457A5"/>
    <w:rsid w:val="00197F72"/>
    <w:rsid w:val="001B444F"/>
    <w:rsid w:val="001B7224"/>
    <w:rsid w:val="001D380C"/>
    <w:rsid w:val="002061D4"/>
    <w:rsid w:val="00212608"/>
    <w:rsid w:val="00254A70"/>
    <w:rsid w:val="00282502"/>
    <w:rsid w:val="00286666"/>
    <w:rsid w:val="002A5314"/>
    <w:rsid w:val="002C78EC"/>
    <w:rsid w:val="002E08A6"/>
    <w:rsid w:val="002E30B8"/>
    <w:rsid w:val="00301BDA"/>
    <w:rsid w:val="00337AFE"/>
    <w:rsid w:val="003532BB"/>
    <w:rsid w:val="00383B0C"/>
    <w:rsid w:val="00397E1D"/>
    <w:rsid w:val="003D493B"/>
    <w:rsid w:val="003F5F00"/>
    <w:rsid w:val="004274D0"/>
    <w:rsid w:val="004B77E2"/>
    <w:rsid w:val="004F276A"/>
    <w:rsid w:val="005241A4"/>
    <w:rsid w:val="00542D8F"/>
    <w:rsid w:val="00597AC0"/>
    <w:rsid w:val="005A50A4"/>
    <w:rsid w:val="005A6D15"/>
    <w:rsid w:val="0060721B"/>
    <w:rsid w:val="00620AFF"/>
    <w:rsid w:val="00650A04"/>
    <w:rsid w:val="00680022"/>
    <w:rsid w:val="00680E6F"/>
    <w:rsid w:val="006920D4"/>
    <w:rsid w:val="006A4A8B"/>
    <w:rsid w:val="006B3AD4"/>
    <w:rsid w:val="006F61D2"/>
    <w:rsid w:val="00740C0D"/>
    <w:rsid w:val="0078199A"/>
    <w:rsid w:val="007A2B06"/>
    <w:rsid w:val="00812C96"/>
    <w:rsid w:val="008543AA"/>
    <w:rsid w:val="008563CF"/>
    <w:rsid w:val="008659B7"/>
    <w:rsid w:val="0086732B"/>
    <w:rsid w:val="008716BD"/>
    <w:rsid w:val="00874CFB"/>
    <w:rsid w:val="00891D34"/>
    <w:rsid w:val="0089414C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47E5F"/>
    <w:rsid w:val="0095025C"/>
    <w:rsid w:val="0096681B"/>
    <w:rsid w:val="009726B1"/>
    <w:rsid w:val="009A5C55"/>
    <w:rsid w:val="00A6337C"/>
    <w:rsid w:val="00A675F1"/>
    <w:rsid w:val="00A70799"/>
    <w:rsid w:val="00A7368F"/>
    <w:rsid w:val="00A94B34"/>
    <w:rsid w:val="00AB508E"/>
    <w:rsid w:val="00AC4B91"/>
    <w:rsid w:val="00AC5C4F"/>
    <w:rsid w:val="00B12BAA"/>
    <w:rsid w:val="00B2123C"/>
    <w:rsid w:val="00B34BD6"/>
    <w:rsid w:val="00B409D9"/>
    <w:rsid w:val="00BB2349"/>
    <w:rsid w:val="00BC2981"/>
    <w:rsid w:val="00BE4F61"/>
    <w:rsid w:val="00BF3DF4"/>
    <w:rsid w:val="00C433C0"/>
    <w:rsid w:val="00C665A2"/>
    <w:rsid w:val="00C916C7"/>
    <w:rsid w:val="00CA5BD2"/>
    <w:rsid w:val="00CC6082"/>
    <w:rsid w:val="00CD6A55"/>
    <w:rsid w:val="00CD7D9F"/>
    <w:rsid w:val="00D11FFB"/>
    <w:rsid w:val="00D26612"/>
    <w:rsid w:val="00DA36C1"/>
    <w:rsid w:val="00DF18D8"/>
    <w:rsid w:val="00E02A14"/>
    <w:rsid w:val="00E21768"/>
    <w:rsid w:val="00E5274D"/>
    <w:rsid w:val="00E608D3"/>
    <w:rsid w:val="00E65008"/>
    <w:rsid w:val="00E676C5"/>
    <w:rsid w:val="00EE054B"/>
    <w:rsid w:val="00EE3075"/>
    <w:rsid w:val="00EE40A0"/>
    <w:rsid w:val="00EF3278"/>
    <w:rsid w:val="00EF32CA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given-name">
    <w:name w:val="given-name"/>
    <w:basedOn w:val="DefaultParagraphFont"/>
    <w:rsid w:val="00E02A14"/>
  </w:style>
  <w:style w:type="character" w:customStyle="1" w:styleId="text">
    <w:name w:val="text"/>
    <w:basedOn w:val="DefaultParagraphFont"/>
    <w:rsid w:val="00E02A14"/>
  </w:style>
  <w:style w:type="character" w:customStyle="1" w:styleId="anchor-text">
    <w:name w:val="anchor-text"/>
    <w:basedOn w:val="DefaultParagraphFont"/>
    <w:rsid w:val="00E02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0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jup.2023.10151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social-sciences/income-inequality" TargetMode="External"/><Relationship Id="rId5" Type="http://schemas.openxmlformats.org/officeDocument/2006/relationships/hyperlink" Target="https://www.sciencedirect.com/topics/engineering/joints-structural-components" TargetMode="External"/><Relationship Id="rId4" Type="http://schemas.openxmlformats.org/officeDocument/2006/relationships/hyperlink" Target="https://www.sciencedirect.com/topics/social-sciences/macroeconomic-factor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10</cp:revision>
  <dcterms:created xsi:type="dcterms:W3CDTF">2024-05-16T07:22:00Z</dcterms:created>
  <dcterms:modified xsi:type="dcterms:W3CDTF">2024-05-23T03:57:00Z</dcterms:modified>
</cp:coreProperties>
</file>