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3468BB" w:rsidRDefault="00154884">
      <w:pPr>
        <w:rPr>
          <w:rStyle w:val="blue-tooltip"/>
          <w:rFonts w:ascii="Times New Roman" w:hAnsi="Times New Roman" w:cs="Times New Roman"/>
          <w:b/>
          <w:bCs/>
          <w:sz w:val="40"/>
          <w:szCs w:val="40"/>
        </w:rPr>
      </w:pPr>
      <w:r w:rsidRPr="00154884">
        <w:rPr>
          <w:rFonts w:ascii="Times New Roman" w:hAnsi="Times New Roman" w:cs="Times New Roman"/>
          <w:color w:val="000000"/>
          <w:sz w:val="40"/>
          <w:szCs w:val="40"/>
        </w:rPr>
        <w:t>Evaluation of Groundwater Contamination and Associated Human Health Risk in a Water-Scarce Hard Rock-Dominated Region of India: Issues, Management Measures and Policy Recommendation</w:t>
      </w:r>
      <w:r w:rsidR="00031A02">
        <w:rPr>
          <w:rFonts w:ascii="Times New Roman" w:hAnsi="Times New Roman" w:cs="Times New Roman"/>
          <w:color w:val="000000"/>
          <w:sz w:val="40"/>
          <w:szCs w:val="40"/>
        </w:rPr>
        <w:t xml:space="preserve"> </w:t>
      </w:r>
    </w:p>
    <w:p w:rsidR="003468BB" w:rsidRDefault="003468BB">
      <w:pPr>
        <w:rPr>
          <w:rStyle w:val="blue-tooltip"/>
          <w:rFonts w:asciiTheme="majorHAnsi" w:hAnsiTheme="majorHAnsi" w:cstheme="majorHAnsi"/>
          <w:b/>
          <w:bCs/>
          <w:sz w:val="24"/>
          <w:szCs w:val="24"/>
        </w:rPr>
      </w:pPr>
    </w:p>
    <w:p w:rsidR="00154884" w:rsidRPr="00154884" w:rsidRDefault="00056A8C" w:rsidP="00154884">
      <w:pPr>
        <w:jc w:val="both"/>
        <w:rPr>
          <w:rFonts w:ascii="Times New Roman" w:eastAsia="Times New Roman" w:hAnsi="Times New Roman" w:cs="Times New Roman"/>
          <w:color w:val="0070C0"/>
          <w:sz w:val="24"/>
          <w:szCs w:val="24"/>
        </w:rPr>
      </w:pPr>
      <w:r w:rsidRPr="00154884">
        <w:rPr>
          <w:rStyle w:val="blue-tooltip"/>
          <w:rFonts w:ascii="Times New Roman" w:hAnsi="Times New Roman" w:cs="Times New Roman"/>
          <w:b/>
          <w:bCs/>
          <w:sz w:val="24"/>
          <w:szCs w:val="24"/>
        </w:rPr>
        <w:t xml:space="preserve">Author: </w:t>
      </w:r>
      <w:r w:rsidR="009437E0" w:rsidRPr="00154884">
        <w:rPr>
          <w:rStyle w:val="blue-tooltip"/>
          <w:rFonts w:ascii="Times New Roman" w:hAnsi="Times New Roman" w:cs="Times New Roman"/>
          <w:sz w:val="24"/>
          <w:szCs w:val="24"/>
        </w:rPr>
        <w:t xml:space="preserve"> </w:t>
      </w:r>
      <w:proofErr w:type="spellStart"/>
      <w:r w:rsidR="00154884" w:rsidRPr="00154884">
        <w:rPr>
          <w:rFonts w:ascii="Times New Roman" w:eastAsia="Times New Roman" w:hAnsi="Times New Roman" w:cs="Times New Roman"/>
          <w:color w:val="0070C0"/>
          <w:sz w:val="24"/>
          <w:szCs w:val="24"/>
        </w:rPr>
        <w:t>Tanmoy</w:t>
      </w:r>
      <w:proofErr w:type="spellEnd"/>
      <w:r w:rsidR="00154884" w:rsidRPr="00154884">
        <w:rPr>
          <w:rFonts w:ascii="Times New Roman" w:eastAsia="Times New Roman" w:hAnsi="Times New Roman" w:cs="Times New Roman"/>
          <w:color w:val="0070C0"/>
          <w:sz w:val="24"/>
          <w:szCs w:val="24"/>
        </w:rPr>
        <w:t xml:space="preserve"> Biswas, </w:t>
      </w:r>
      <w:proofErr w:type="spellStart"/>
      <w:r w:rsidR="00154884" w:rsidRPr="00154884">
        <w:rPr>
          <w:rFonts w:ascii="Times New Roman" w:eastAsia="Times New Roman" w:hAnsi="Times New Roman" w:cs="Times New Roman"/>
          <w:color w:val="0070C0"/>
          <w:sz w:val="24"/>
          <w:szCs w:val="24"/>
        </w:rPr>
        <w:t>Subodh</w:t>
      </w:r>
      <w:proofErr w:type="spellEnd"/>
      <w:r w:rsidR="00154884" w:rsidRPr="00154884">
        <w:rPr>
          <w:rFonts w:ascii="Times New Roman" w:eastAsia="Times New Roman" w:hAnsi="Times New Roman" w:cs="Times New Roman"/>
          <w:color w:val="0070C0"/>
          <w:sz w:val="24"/>
          <w:szCs w:val="24"/>
        </w:rPr>
        <w:t xml:space="preserve"> Chandra Pal, </w:t>
      </w:r>
      <w:proofErr w:type="spellStart"/>
      <w:r w:rsidR="00154884" w:rsidRPr="00154884">
        <w:rPr>
          <w:rFonts w:ascii="Times New Roman" w:eastAsia="Times New Roman" w:hAnsi="Times New Roman" w:cs="Times New Roman"/>
          <w:color w:val="0070C0"/>
          <w:sz w:val="24"/>
          <w:szCs w:val="24"/>
        </w:rPr>
        <w:t>Dipankar</w:t>
      </w:r>
      <w:proofErr w:type="spellEnd"/>
      <w:r w:rsidR="00154884" w:rsidRPr="00154884">
        <w:rPr>
          <w:rFonts w:ascii="Times New Roman" w:eastAsia="Times New Roman" w:hAnsi="Times New Roman" w:cs="Times New Roman"/>
          <w:color w:val="0070C0"/>
          <w:sz w:val="24"/>
          <w:szCs w:val="24"/>
        </w:rPr>
        <w:t xml:space="preserve"> </w:t>
      </w:r>
      <w:proofErr w:type="spellStart"/>
      <w:r w:rsidR="00154884" w:rsidRPr="00154884">
        <w:rPr>
          <w:rFonts w:ascii="Times New Roman" w:eastAsia="Times New Roman" w:hAnsi="Times New Roman" w:cs="Times New Roman"/>
          <w:color w:val="0070C0"/>
          <w:sz w:val="24"/>
          <w:szCs w:val="24"/>
        </w:rPr>
        <w:t>Ruidas</w:t>
      </w:r>
      <w:proofErr w:type="spellEnd"/>
      <w:r w:rsidR="00154884" w:rsidRPr="00154884">
        <w:rPr>
          <w:rFonts w:ascii="Times New Roman" w:eastAsia="Times New Roman" w:hAnsi="Times New Roman" w:cs="Times New Roman"/>
          <w:color w:val="0070C0"/>
          <w:sz w:val="24"/>
          <w:szCs w:val="24"/>
        </w:rPr>
        <w:t xml:space="preserve">, </w:t>
      </w:r>
      <w:proofErr w:type="spellStart"/>
      <w:r w:rsidR="00154884" w:rsidRPr="00154884">
        <w:rPr>
          <w:rFonts w:ascii="Times New Roman" w:eastAsia="Times New Roman" w:hAnsi="Times New Roman" w:cs="Times New Roman"/>
          <w:color w:val="0070C0"/>
          <w:sz w:val="24"/>
          <w:szCs w:val="24"/>
        </w:rPr>
        <w:t>Asish</w:t>
      </w:r>
      <w:proofErr w:type="spellEnd"/>
      <w:r w:rsidR="00154884" w:rsidRPr="00154884">
        <w:rPr>
          <w:rFonts w:ascii="Times New Roman" w:eastAsia="Times New Roman" w:hAnsi="Times New Roman" w:cs="Times New Roman"/>
          <w:color w:val="0070C0"/>
          <w:sz w:val="24"/>
          <w:szCs w:val="24"/>
        </w:rPr>
        <w:t xml:space="preserve"> </w:t>
      </w:r>
      <w:proofErr w:type="spellStart"/>
      <w:r w:rsidR="00154884" w:rsidRPr="00154884">
        <w:rPr>
          <w:rFonts w:ascii="Times New Roman" w:eastAsia="Times New Roman" w:hAnsi="Times New Roman" w:cs="Times New Roman"/>
          <w:color w:val="0070C0"/>
          <w:sz w:val="24"/>
          <w:szCs w:val="24"/>
        </w:rPr>
        <w:t>Saha</w:t>
      </w:r>
      <w:proofErr w:type="spellEnd"/>
      <w:r w:rsidR="00154884" w:rsidRPr="00154884">
        <w:rPr>
          <w:rFonts w:ascii="Times New Roman" w:eastAsia="Times New Roman" w:hAnsi="Times New Roman" w:cs="Times New Roman"/>
          <w:color w:val="0070C0"/>
          <w:sz w:val="24"/>
          <w:szCs w:val="24"/>
        </w:rPr>
        <w:t xml:space="preserve">, </w:t>
      </w:r>
      <w:proofErr w:type="spellStart"/>
      <w:r w:rsidR="00154884" w:rsidRPr="00154884">
        <w:rPr>
          <w:rFonts w:ascii="Times New Roman" w:eastAsia="Times New Roman" w:hAnsi="Times New Roman" w:cs="Times New Roman"/>
          <w:color w:val="0070C0"/>
          <w:sz w:val="24"/>
          <w:szCs w:val="24"/>
        </w:rPr>
        <w:t>Manisa</w:t>
      </w:r>
      <w:proofErr w:type="spellEnd"/>
      <w:r w:rsidR="00154884" w:rsidRPr="00154884">
        <w:rPr>
          <w:rFonts w:ascii="Times New Roman" w:eastAsia="Times New Roman" w:hAnsi="Times New Roman" w:cs="Times New Roman"/>
          <w:color w:val="0070C0"/>
          <w:sz w:val="24"/>
          <w:szCs w:val="24"/>
        </w:rPr>
        <w:t xml:space="preserve"> Shit, Abu Reza Md. </w:t>
      </w:r>
      <w:proofErr w:type="spellStart"/>
      <w:r w:rsidR="00154884" w:rsidRPr="00154884">
        <w:rPr>
          <w:rFonts w:ascii="Times New Roman" w:eastAsia="Times New Roman" w:hAnsi="Times New Roman" w:cs="Times New Roman"/>
          <w:color w:val="0070C0"/>
          <w:sz w:val="24"/>
          <w:szCs w:val="24"/>
        </w:rPr>
        <w:t>Towfiqul</w:t>
      </w:r>
      <w:proofErr w:type="spellEnd"/>
      <w:r w:rsidR="00154884" w:rsidRPr="00154884">
        <w:rPr>
          <w:rFonts w:ascii="Times New Roman" w:eastAsia="Times New Roman" w:hAnsi="Times New Roman" w:cs="Times New Roman"/>
          <w:color w:val="0070C0"/>
          <w:sz w:val="24"/>
          <w:szCs w:val="24"/>
        </w:rPr>
        <w:t xml:space="preserve"> Islam, </w:t>
      </w:r>
      <w:proofErr w:type="spellStart"/>
      <w:r w:rsidR="00154884" w:rsidRPr="00154884">
        <w:rPr>
          <w:rFonts w:ascii="Times New Roman" w:eastAsia="Times New Roman" w:hAnsi="Times New Roman" w:cs="Times New Roman"/>
          <w:color w:val="0070C0"/>
          <w:sz w:val="24"/>
          <w:szCs w:val="24"/>
        </w:rPr>
        <w:t>Aznarul</w:t>
      </w:r>
      <w:proofErr w:type="spellEnd"/>
      <w:r w:rsidR="00154884" w:rsidRPr="00154884">
        <w:rPr>
          <w:rFonts w:ascii="Times New Roman" w:eastAsia="Times New Roman" w:hAnsi="Times New Roman" w:cs="Times New Roman"/>
          <w:color w:val="0070C0"/>
          <w:sz w:val="24"/>
          <w:szCs w:val="24"/>
        </w:rPr>
        <w:t xml:space="preserve"> Islam, Romulus </w:t>
      </w:r>
      <w:proofErr w:type="spellStart"/>
      <w:r w:rsidR="00154884" w:rsidRPr="00154884">
        <w:rPr>
          <w:rFonts w:ascii="Times New Roman" w:eastAsia="Times New Roman" w:hAnsi="Times New Roman" w:cs="Times New Roman"/>
          <w:color w:val="0070C0"/>
          <w:sz w:val="24"/>
          <w:szCs w:val="24"/>
        </w:rPr>
        <w:t>Costache</w:t>
      </w:r>
      <w:proofErr w:type="spellEnd"/>
    </w:p>
    <w:p w:rsidR="00286666" w:rsidRPr="00154884" w:rsidRDefault="00286666" w:rsidP="00154884">
      <w:pPr>
        <w:jc w:val="both"/>
        <w:rPr>
          <w:rStyle w:val="blue-tooltip"/>
          <w:rFonts w:ascii="Times New Roman" w:hAnsi="Times New Roman" w:cs="Times New Roman"/>
          <w:b/>
          <w:bCs/>
          <w:color w:val="0070C0"/>
          <w:sz w:val="24"/>
          <w:szCs w:val="24"/>
        </w:rPr>
      </w:pPr>
    </w:p>
    <w:p w:rsidR="00154884" w:rsidRPr="00154884" w:rsidRDefault="00286666" w:rsidP="00154884">
      <w:pPr>
        <w:jc w:val="both"/>
        <w:rPr>
          <w:rStyle w:val="blue-tooltip"/>
          <w:rFonts w:ascii="Times New Roman" w:hAnsi="Times New Roman" w:cs="Times New Roman"/>
          <w:b/>
          <w:sz w:val="24"/>
          <w:szCs w:val="24"/>
        </w:rPr>
      </w:pPr>
      <w:r w:rsidRPr="00154884">
        <w:rPr>
          <w:rStyle w:val="blue-tooltip"/>
          <w:rFonts w:ascii="Times New Roman" w:hAnsi="Times New Roman" w:cs="Times New Roman"/>
          <w:b/>
          <w:sz w:val="24"/>
          <w:szCs w:val="24"/>
        </w:rPr>
        <w:t xml:space="preserve">Abstract: </w:t>
      </w:r>
    </w:p>
    <w:p w:rsidR="00286666" w:rsidRPr="00154884" w:rsidRDefault="00154884" w:rsidP="00154884">
      <w:pPr>
        <w:jc w:val="both"/>
        <w:rPr>
          <w:rStyle w:val="blue-tooltip"/>
          <w:rFonts w:ascii="Times New Roman" w:hAnsi="Times New Roman" w:cs="Times New Roman"/>
          <w:b/>
          <w:sz w:val="24"/>
          <w:szCs w:val="24"/>
        </w:rPr>
      </w:pPr>
      <w:r w:rsidRPr="00154884">
        <w:rPr>
          <w:rFonts w:ascii="Times New Roman" w:hAnsi="Times New Roman" w:cs="Times New Roman"/>
          <w:sz w:val="24"/>
          <w:szCs w:val="24"/>
        </w:rPr>
        <w:t>Groundwater is the most precious resource on the earth's surface, providing fresh </w:t>
      </w:r>
      <w:hyperlink r:id="rId4" w:tooltip="Learn more about drinking water from ScienceDirect's AI-generated Topic Pages" w:history="1">
        <w:r w:rsidRPr="00154884">
          <w:rPr>
            <w:rStyle w:val="Hyperlink"/>
            <w:rFonts w:ascii="Times New Roman" w:hAnsi="Times New Roman" w:cs="Times New Roman"/>
            <w:color w:val="1F1F1F"/>
            <w:sz w:val="24"/>
            <w:szCs w:val="24"/>
          </w:rPr>
          <w:t>drinking water</w:t>
        </w:r>
      </w:hyperlink>
      <w:r w:rsidRPr="00154884">
        <w:rPr>
          <w:rFonts w:ascii="Times New Roman" w:hAnsi="Times New Roman" w:cs="Times New Roman"/>
          <w:sz w:val="24"/>
          <w:szCs w:val="24"/>
        </w:rPr>
        <w:t> for human beings and supplying water for plants to survive. The shortage, unavailability, and pollution of fresh </w:t>
      </w:r>
      <w:hyperlink r:id="rId5" w:tooltip="Learn more about drinking water from ScienceDirect's AI-generated Topic Pages" w:history="1">
        <w:r w:rsidRPr="00154884">
          <w:rPr>
            <w:rStyle w:val="Hyperlink"/>
            <w:rFonts w:ascii="Times New Roman" w:hAnsi="Times New Roman" w:cs="Times New Roman"/>
            <w:color w:val="1F1F1F"/>
            <w:sz w:val="24"/>
            <w:szCs w:val="24"/>
          </w:rPr>
          <w:t>drinking water</w:t>
        </w:r>
      </w:hyperlink>
      <w:r w:rsidRPr="00154884">
        <w:rPr>
          <w:rFonts w:ascii="Times New Roman" w:hAnsi="Times New Roman" w:cs="Times New Roman"/>
          <w:sz w:val="24"/>
          <w:szCs w:val="24"/>
        </w:rPr>
        <w:t xml:space="preserve"> is an emerging issue in almost every part of the world. To this end, the present study intends to evaluate the quality of groundwater and the associated health hazard risk of the </w:t>
      </w:r>
      <w:proofErr w:type="spellStart"/>
      <w:r w:rsidRPr="00154884">
        <w:rPr>
          <w:rFonts w:ascii="Times New Roman" w:hAnsi="Times New Roman" w:cs="Times New Roman"/>
          <w:sz w:val="24"/>
          <w:szCs w:val="24"/>
        </w:rPr>
        <w:t>Bankura</w:t>
      </w:r>
      <w:proofErr w:type="spellEnd"/>
      <w:r w:rsidRPr="00154884">
        <w:rPr>
          <w:rFonts w:ascii="Times New Roman" w:hAnsi="Times New Roman" w:cs="Times New Roman"/>
          <w:sz w:val="24"/>
          <w:szCs w:val="24"/>
        </w:rPr>
        <w:t xml:space="preserve"> district. To conduct the present study, 55 groundwater samples were collected across the </w:t>
      </w:r>
      <w:proofErr w:type="spellStart"/>
      <w:r w:rsidRPr="00154884">
        <w:rPr>
          <w:rFonts w:ascii="Times New Roman" w:hAnsi="Times New Roman" w:cs="Times New Roman"/>
          <w:sz w:val="24"/>
          <w:szCs w:val="24"/>
        </w:rPr>
        <w:t>Bankura</w:t>
      </w:r>
      <w:proofErr w:type="spellEnd"/>
      <w:r w:rsidRPr="00154884">
        <w:rPr>
          <w:rFonts w:ascii="Times New Roman" w:hAnsi="Times New Roman" w:cs="Times New Roman"/>
          <w:sz w:val="24"/>
          <w:szCs w:val="24"/>
        </w:rPr>
        <w:t xml:space="preserve"> district with intensive field investigation in the dry season, 2021 to assess the groundwater quality and associated health risks. For this study, we have selected 15 groundwater causative parameters to seek the NO3−, F− and Fe heavy metal groundwater quality (GWQ) status and impact of GWQ on human health by utilizing the degree of contamination (CD), GWQI and human health hazard index. Gibbs's diagram confirmed that the source of the groundwater pollutants is more </w:t>
      </w:r>
      <w:proofErr w:type="spellStart"/>
      <w:r w:rsidRPr="00154884">
        <w:rPr>
          <w:rFonts w:ascii="Times New Roman" w:hAnsi="Times New Roman" w:cs="Times New Roman"/>
          <w:sz w:val="24"/>
          <w:szCs w:val="24"/>
        </w:rPr>
        <w:t>geogenic</w:t>
      </w:r>
      <w:proofErr w:type="spellEnd"/>
      <w:r w:rsidRPr="00154884">
        <w:rPr>
          <w:rFonts w:ascii="Times New Roman" w:hAnsi="Times New Roman" w:cs="Times New Roman"/>
          <w:sz w:val="24"/>
          <w:szCs w:val="24"/>
        </w:rPr>
        <w:t xml:space="preserve"> than anthropogenic inputs for the </w:t>
      </w:r>
      <w:proofErr w:type="spellStart"/>
      <w:r w:rsidRPr="00154884">
        <w:rPr>
          <w:rFonts w:ascii="Times New Roman" w:hAnsi="Times New Roman" w:cs="Times New Roman"/>
          <w:sz w:val="24"/>
          <w:szCs w:val="24"/>
        </w:rPr>
        <w:t>Bankura</w:t>
      </w:r>
      <w:proofErr w:type="spellEnd"/>
      <w:r w:rsidRPr="00154884">
        <w:rPr>
          <w:rFonts w:ascii="Times New Roman" w:hAnsi="Times New Roman" w:cs="Times New Roman"/>
          <w:sz w:val="24"/>
          <w:szCs w:val="24"/>
        </w:rPr>
        <w:t xml:space="preserve"> district. The study's findings indicate that the GWQ of 25% area of the </w:t>
      </w:r>
      <w:proofErr w:type="spellStart"/>
      <w:r w:rsidRPr="00154884">
        <w:rPr>
          <w:rFonts w:ascii="Times New Roman" w:hAnsi="Times New Roman" w:cs="Times New Roman"/>
          <w:sz w:val="24"/>
          <w:szCs w:val="24"/>
        </w:rPr>
        <w:t>Bankura</w:t>
      </w:r>
      <w:proofErr w:type="spellEnd"/>
      <w:r w:rsidRPr="00154884">
        <w:rPr>
          <w:rFonts w:ascii="Times New Roman" w:hAnsi="Times New Roman" w:cs="Times New Roman"/>
          <w:sz w:val="24"/>
          <w:szCs w:val="24"/>
        </w:rPr>
        <w:t xml:space="preserve"> district is poor and unsafe for drinking purposes. In comparison, 15% of the groundwater contains good quality and is safe for drinking, and various pollutants moderately contaminate the remaining areas. The human health hazard index exhibited the same pattern as the GWQI map of the </w:t>
      </w:r>
      <w:proofErr w:type="spellStart"/>
      <w:r w:rsidRPr="00154884">
        <w:rPr>
          <w:rFonts w:ascii="Times New Roman" w:hAnsi="Times New Roman" w:cs="Times New Roman"/>
          <w:sz w:val="24"/>
          <w:szCs w:val="24"/>
        </w:rPr>
        <w:t>Bankura</w:t>
      </w:r>
      <w:proofErr w:type="spellEnd"/>
      <w:r w:rsidRPr="00154884">
        <w:rPr>
          <w:rFonts w:ascii="Times New Roman" w:hAnsi="Times New Roman" w:cs="Times New Roman"/>
          <w:sz w:val="24"/>
          <w:szCs w:val="24"/>
        </w:rPr>
        <w:t xml:space="preserve"> district. This unique finding of the present study will be helpful for the decision-makers, local well-being authorities and disaster management team to manage and mitigate the issue of GWQ of </w:t>
      </w:r>
      <w:proofErr w:type="spellStart"/>
      <w:r w:rsidRPr="00154884">
        <w:rPr>
          <w:rFonts w:ascii="Times New Roman" w:hAnsi="Times New Roman" w:cs="Times New Roman"/>
          <w:sz w:val="24"/>
          <w:szCs w:val="24"/>
        </w:rPr>
        <w:t>Bankura</w:t>
      </w:r>
      <w:proofErr w:type="spellEnd"/>
      <w:r w:rsidRPr="00154884">
        <w:rPr>
          <w:rFonts w:ascii="Times New Roman" w:hAnsi="Times New Roman" w:cs="Times New Roman"/>
          <w:sz w:val="24"/>
          <w:szCs w:val="24"/>
        </w:rPr>
        <w:t xml:space="preserve"> district and surroundings more sustainably</w:t>
      </w:r>
      <w:r w:rsidR="00C433C0" w:rsidRPr="00154884">
        <w:rPr>
          <w:rStyle w:val="blue-tooltip"/>
          <w:rFonts w:ascii="Times New Roman" w:hAnsi="Times New Roman" w:cs="Times New Roman"/>
          <w:b/>
          <w:sz w:val="24"/>
          <w:szCs w:val="24"/>
        </w:rPr>
        <w:t xml:space="preserve"> </w:t>
      </w:r>
      <w:r w:rsidR="004F276A" w:rsidRPr="00154884">
        <w:rPr>
          <w:rStyle w:val="blue-tooltip"/>
          <w:rFonts w:ascii="Times New Roman" w:hAnsi="Times New Roman" w:cs="Times New Roman"/>
          <w:b/>
          <w:sz w:val="24"/>
          <w:szCs w:val="24"/>
        </w:rPr>
        <w:t xml:space="preserve"> </w:t>
      </w:r>
    </w:p>
    <w:p w:rsidR="000816E0" w:rsidRPr="00154884" w:rsidRDefault="000816E0" w:rsidP="00154884">
      <w:pPr>
        <w:jc w:val="both"/>
        <w:rPr>
          <w:rFonts w:ascii="Times New Roman" w:hAnsi="Times New Roman" w:cs="Times New Roman"/>
          <w:sz w:val="24"/>
          <w:szCs w:val="24"/>
        </w:rPr>
      </w:pPr>
    </w:p>
    <w:p w:rsidR="000816E0" w:rsidRPr="00154884" w:rsidRDefault="000816E0" w:rsidP="00154884">
      <w:pPr>
        <w:spacing w:before="150" w:after="150" w:line="240" w:lineRule="auto"/>
        <w:jc w:val="both"/>
        <w:rPr>
          <w:rFonts w:ascii="Times New Roman" w:hAnsi="Times New Roman" w:cs="Times New Roman"/>
          <w:b/>
          <w:bCs/>
          <w:sz w:val="24"/>
          <w:szCs w:val="24"/>
          <w:shd w:val="clear" w:color="auto" w:fill="FFFFFF"/>
        </w:rPr>
      </w:pPr>
      <w:r w:rsidRPr="00154884">
        <w:rPr>
          <w:rFonts w:ascii="Times New Roman" w:hAnsi="Times New Roman" w:cs="Times New Roman"/>
          <w:b/>
          <w:bCs/>
          <w:sz w:val="24"/>
          <w:szCs w:val="24"/>
          <w:shd w:val="clear" w:color="auto" w:fill="FFFFFF"/>
        </w:rPr>
        <w:t>Conference / Journal Link:</w:t>
      </w:r>
    </w:p>
    <w:bookmarkStart w:id="0" w:name="cj_link"/>
    <w:p w:rsidR="00154884" w:rsidRPr="00154884" w:rsidRDefault="00154884" w:rsidP="00154884">
      <w:pPr>
        <w:spacing w:before="150" w:after="150" w:line="240" w:lineRule="auto"/>
        <w:jc w:val="both"/>
        <w:rPr>
          <w:rFonts w:ascii="Times New Roman" w:hAnsi="Times New Roman" w:cs="Times New Roman"/>
          <w:b/>
          <w:bCs/>
          <w:color w:val="0070C0"/>
          <w:sz w:val="24"/>
          <w:szCs w:val="24"/>
          <w:shd w:val="clear" w:color="auto" w:fill="FFFFFF"/>
        </w:rPr>
      </w:pPr>
      <w:r w:rsidRPr="00154884">
        <w:rPr>
          <w:rFonts w:ascii="Times New Roman" w:hAnsi="Times New Roman" w:cs="Times New Roman"/>
          <w:color w:val="0070C0"/>
          <w:sz w:val="24"/>
          <w:szCs w:val="24"/>
        </w:rPr>
        <w:fldChar w:fldCharType="begin"/>
      </w:r>
      <w:r w:rsidRPr="00154884">
        <w:rPr>
          <w:rFonts w:ascii="Times New Roman" w:hAnsi="Times New Roman" w:cs="Times New Roman"/>
          <w:color w:val="0070C0"/>
          <w:sz w:val="24"/>
          <w:szCs w:val="24"/>
        </w:rPr>
        <w:instrText xml:space="preserve"> HYPERLINK "https://www.sciencedirect.com/science/article/abs/pii/S2352801X23001406" \t "_blank" </w:instrText>
      </w:r>
      <w:r w:rsidRPr="00154884">
        <w:rPr>
          <w:rFonts w:ascii="Times New Roman" w:hAnsi="Times New Roman" w:cs="Times New Roman"/>
          <w:color w:val="0070C0"/>
          <w:sz w:val="24"/>
          <w:szCs w:val="24"/>
        </w:rPr>
        <w:fldChar w:fldCharType="separate"/>
      </w:r>
      <w:r w:rsidRPr="00154884">
        <w:rPr>
          <w:rStyle w:val="Hyperlink"/>
          <w:rFonts w:ascii="Times New Roman" w:hAnsi="Times New Roman" w:cs="Times New Roman"/>
          <w:color w:val="0070C0"/>
          <w:sz w:val="24"/>
          <w:szCs w:val="24"/>
          <w:u w:val="none"/>
        </w:rPr>
        <w:t>https://www.sciencedirect.com/science/article/abs/pii/S2352801X23001406</w:t>
      </w:r>
      <w:r w:rsidRPr="00154884">
        <w:rPr>
          <w:rFonts w:ascii="Times New Roman" w:hAnsi="Times New Roman" w:cs="Times New Roman"/>
          <w:color w:val="0070C0"/>
          <w:sz w:val="24"/>
          <w:szCs w:val="24"/>
        </w:rPr>
        <w:fldChar w:fldCharType="end"/>
      </w:r>
      <w:bookmarkEnd w:id="0"/>
    </w:p>
    <w:p w:rsidR="000816E0" w:rsidRPr="00154884" w:rsidRDefault="000816E0" w:rsidP="00154884">
      <w:pPr>
        <w:spacing w:before="150"/>
        <w:jc w:val="both"/>
        <w:rPr>
          <w:rFonts w:ascii="Times New Roman" w:hAnsi="Times New Roman" w:cs="Times New Roman"/>
          <w:b/>
          <w:sz w:val="24"/>
          <w:szCs w:val="24"/>
        </w:rPr>
      </w:pPr>
      <w:r w:rsidRPr="00154884">
        <w:rPr>
          <w:rFonts w:ascii="Times New Roman" w:hAnsi="Times New Roman" w:cs="Times New Roman"/>
          <w:b/>
          <w:sz w:val="24"/>
          <w:szCs w:val="24"/>
        </w:rPr>
        <w:t>DOI:</w:t>
      </w:r>
    </w:p>
    <w:p w:rsidR="00154884" w:rsidRPr="00154884" w:rsidRDefault="00154884" w:rsidP="00154884">
      <w:pPr>
        <w:spacing w:before="150"/>
        <w:jc w:val="both"/>
        <w:rPr>
          <w:rFonts w:ascii="Times New Roman" w:hAnsi="Times New Roman" w:cs="Times New Roman"/>
          <w:b/>
          <w:color w:val="0070C0"/>
          <w:sz w:val="24"/>
          <w:szCs w:val="24"/>
        </w:rPr>
      </w:pPr>
      <w:hyperlink r:id="rId6" w:tgtFrame="_blank" w:tooltip="Persistent link using digital object identifier" w:history="1">
        <w:r w:rsidRPr="00154884">
          <w:rPr>
            <w:rStyle w:val="anchor-text"/>
            <w:rFonts w:ascii="Times New Roman" w:hAnsi="Times New Roman" w:cs="Times New Roman"/>
            <w:color w:val="0070C0"/>
            <w:sz w:val="24"/>
            <w:szCs w:val="24"/>
          </w:rPr>
          <w:t>https://doi.org/10.1016/j.gsd.2023.101039</w:t>
        </w:r>
      </w:hyperlink>
    </w:p>
    <w:p w:rsidR="000816E0" w:rsidRPr="0000149F" w:rsidRDefault="000816E0">
      <w:bookmarkStart w:id="1" w:name="_GoBack"/>
      <w:bookmarkEnd w:id="1"/>
    </w:p>
    <w:sectPr w:rsidR="000816E0" w:rsidRPr="000014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31A02"/>
    <w:rsid w:val="00056A8C"/>
    <w:rsid w:val="00065260"/>
    <w:rsid w:val="0007532E"/>
    <w:rsid w:val="00081177"/>
    <w:rsid w:val="000816E0"/>
    <w:rsid w:val="000C0475"/>
    <w:rsid w:val="000F23C8"/>
    <w:rsid w:val="00103261"/>
    <w:rsid w:val="00127B96"/>
    <w:rsid w:val="001457A5"/>
    <w:rsid w:val="00154884"/>
    <w:rsid w:val="001808C5"/>
    <w:rsid w:val="00197F72"/>
    <w:rsid w:val="001B444F"/>
    <w:rsid w:val="001B7224"/>
    <w:rsid w:val="001C53C8"/>
    <w:rsid w:val="001D380C"/>
    <w:rsid w:val="002061D4"/>
    <w:rsid w:val="00212608"/>
    <w:rsid w:val="00282502"/>
    <w:rsid w:val="00286666"/>
    <w:rsid w:val="002C78EC"/>
    <w:rsid w:val="002E08A6"/>
    <w:rsid w:val="002E30B8"/>
    <w:rsid w:val="003323A5"/>
    <w:rsid w:val="00337AFE"/>
    <w:rsid w:val="003468BB"/>
    <w:rsid w:val="00383B0C"/>
    <w:rsid w:val="00397E1D"/>
    <w:rsid w:val="003C5AD5"/>
    <w:rsid w:val="003D493B"/>
    <w:rsid w:val="003F23DC"/>
    <w:rsid w:val="004B77E2"/>
    <w:rsid w:val="004F276A"/>
    <w:rsid w:val="005241A4"/>
    <w:rsid w:val="00542D8F"/>
    <w:rsid w:val="00563D55"/>
    <w:rsid w:val="00597AC0"/>
    <w:rsid w:val="005A50A4"/>
    <w:rsid w:val="005A6D15"/>
    <w:rsid w:val="00620AFF"/>
    <w:rsid w:val="00680022"/>
    <w:rsid w:val="00680802"/>
    <w:rsid w:val="00680E6F"/>
    <w:rsid w:val="006920D4"/>
    <w:rsid w:val="006A4A8B"/>
    <w:rsid w:val="006B3AD4"/>
    <w:rsid w:val="006D3612"/>
    <w:rsid w:val="006F61D2"/>
    <w:rsid w:val="00740C0D"/>
    <w:rsid w:val="00776A4B"/>
    <w:rsid w:val="0078199A"/>
    <w:rsid w:val="007A2B06"/>
    <w:rsid w:val="007C267B"/>
    <w:rsid w:val="00812C96"/>
    <w:rsid w:val="008543AA"/>
    <w:rsid w:val="008659B7"/>
    <w:rsid w:val="0086732B"/>
    <w:rsid w:val="00874CFB"/>
    <w:rsid w:val="00876378"/>
    <w:rsid w:val="00891D34"/>
    <w:rsid w:val="008B4C75"/>
    <w:rsid w:val="008B660E"/>
    <w:rsid w:val="008E59F8"/>
    <w:rsid w:val="008F4B6C"/>
    <w:rsid w:val="008F7BAB"/>
    <w:rsid w:val="0090116F"/>
    <w:rsid w:val="00903341"/>
    <w:rsid w:val="00910B29"/>
    <w:rsid w:val="009261CD"/>
    <w:rsid w:val="009437E0"/>
    <w:rsid w:val="0096681B"/>
    <w:rsid w:val="009A5C55"/>
    <w:rsid w:val="00A6337C"/>
    <w:rsid w:val="00A675F1"/>
    <w:rsid w:val="00A70799"/>
    <w:rsid w:val="00A94B34"/>
    <w:rsid w:val="00AB508E"/>
    <w:rsid w:val="00AC4B91"/>
    <w:rsid w:val="00AC5C4F"/>
    <w:rsid w:val="00B12BAA"/>
    <w:rsid w:val="00B2123C"/>
    <w:rsid w:val="00B24DF1"/>
    <w:rsid w:val="00B409D9"/>
    <w:rsid w:val="00BB2349"/>
    <w:rsid w:val="00BC2981"/>
    <w:rsid w:val="00C433C0"/>
    <w:rsid w:val="00C665A2"/>
    <w:rsid w:val="00C916C7"/>
    <w:rsid w:val="00CA5BD2"/>
    <w:rsid w:val="00CC6082"/>
    <w:rsid w:val="00CD6A55"/>
    <w:rsid w:val="00CF2D6D"/>
    <w:rsid w:val="00CF31D0"/>
    <w:rsid w:val="00D11FFB"/>
    <w:rsid w:val="00D26612"/>
    <w:rsid w:val="00DA36C1"/>
    <w:rsid w:val="00DF18D8"/>
    <w:rsid w:val="00DF3561"/>
    <w:rsid w:val="00E5274D"/>
    <w:rsid w:val="00E608D3"/>
    <w:rsid w:val="00E65008"/>
    <w:rsid w:val="00E676C5"/>
    <w:rsid w:val="00EA69E8"/>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given-name">
    <w:name w:val="given-name"/>
    <w:basedOn w:val="DefaultParagraphFont"/>
    <w:rsid w:val="00154884"/>
  </w:style>
  <w:style w:type="character" w:customStyle="1" w:styleId="text">
    <w:name w:val="text"/>
    <w:basedOn w:val="DefaultParagraphFont"/>
    <w:rsid w:val="00154884"/>
  </w:style>
  <w:style w:type="character" w:customStyle="1" w:styleId="anchor-text">
    <w:name w:val="anchor-text"/>
    <w:basedOn w:val="DefaultParagraphFont"/>
    <w:rsid w:val="001548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592854">
      <w:bodyDiv w:val="1"/>
      <w:marLeft w:val="0"/>
      <w:marRight w:val="0"/>
      <w:marTop w:val="0"/>
      <w:marBottom w:val="0"/>
      <w:divBdr>
        <w:top w:val="none" w:sz="0" w:space="0" w:color="auto"/>
        <w:left w:val="none" w:sz="0" w:space="0" w:color="auto"/>
        <w:bottom w:val="none" w:sz="0" w:space="0" w:color="auto"/>
        <w:right w:val="none" w:sz="0" w:space="0" w:color="auto"/>
      </w:divBdr>
      <w:divsChild>
        <w:div w:id="250546898">
          <w:marLeft w:val="0"/>
          <w:marRight w:val="0"/>
          <w:marTop w:val="0"/>
          <w:marBottom w:val="0"/>
          <w:divBdr>
            <w:top w:val="none" w:sz="0" w:space="0" w:color="auto"/>
            <w:left w:val="none" w:sz="0" w:space="0" w:color="auto"/>
            <w:bottom w:val="none" w:sz="0" w:space="0" w:color="auto"/>
            <w:right w:val="none" w:sz="0" w:space="0" w:color="auto"/>
          </w:divBdr>
        </w:div>
      </w:divsChild>
    </w:div>
    <w:div w:id="582178897">
      <w:bodyDiv w:val="1"/>
      <w:marLeft w:val="0"/>
      <w:marRight w:val="0"/>
      <w:marTop w:val="0"/>
      <w:marBottom w:val="0"/>
      <w:divBdr>
        <w:top w:val="none" w:sz="0" w:space="0" w:color="auto"/>
        <w:left w:val="none" w:sz="0" w:space="0" w:color="auto"/>
        <w:bottom w:val="none" w:sz="0" w:space="0" w:color="auto"/>
        <w:right w:val="none" w:sz="0" w:space="0" w:color="auto"/>
      </w:divBdr>
      <w:divsChild>
        <w:div w:id="846333987">
          <w:marLeft w:val="0"/>
          <w:marRight w:val="0"/>
          <w:marTop w:val="0"/>
          <w:marBottom w:val="0"/>
          <w:divBdr>
            <w:top w:val="none" w:sz="0" w:space="0" w:color="auto"/>
            <w:left w:val="none" w:sz="0" w:space="0" w:color="auto"/>
            <w:bottom w:val="none" w:sz="0" w:space="0" w:color="auto"/>
            <w:right w:val="none" w:sz="0" w:space="0" w:color="auto"/>
          </w:divBdr>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44578974">
      <w:bodyDiv w:val="1"/>
      <w:marLeft w:val="0"/>
      <w:marRight w:val="0"/>
      <w:marTop w:val="0"/>
      <w:marBottom w:val="0"/>
      <w:divBdr>
        <w:top w:val="none" w:sz="0" w:space="0" w:color="auto"/>
        <w:left w:val="none" w:sz="0" w:space="0" w:color="auto"/>
        <w:bottom w:val="none" w:sz="0" w:space="0" w:color="auto"/>
        <w:right w:val="none" w:sz="0" w:space="0" w:color="auto"/>
      </w:divBdr>
      <w:divsChild>
        <w:div w:id="1737896318">
          <w:marLeft w:val="0"/>
          <w:marRight w:val="0"/>
          <w:marTop w:val="0"/>
          <w:marBottom w:val="0"/>
          <w:divBdr>
            <w:top w:val="none" w:sz="0" w:space="0" w:color="auto"/>
            <w:left w:val="none" w:sz="0" w:space="0" w:color="auto"/>
            <w:bottom w:val="none" w:sz="0" w:space="0" w:color="auto"/>
            <w:right w:val="none" w:sz="0" w:space="0" w:color="auto"/>
          </w:divBdr>
        </w:div>
      </w:divsChild>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161652407">
      <w:bodyDiv w:val="1"/>
      <w:marLeft w:val="0"/>
      <w:marRight w:val="0"/>
      <w:marTop w:val="0"/>
      <w:marBottom w:val="0"/>
      <w:divBdr>
        <w:top w:val="none" w:sz="0" w:space="0" w:color="auto"/>
        <w:left w:val="none" w:sz="0" w:space="0" w:color="auto"/>
        <w:bottom w:val="none" w:sz="0" w:space="0" w:color="auto"/>
        <w:right w:val="none" w:sz="0" w:space="0" w:color="auto"/>
      </w:divBdr>
      <w:divsChild>
        <w:div w:id="454757762">
          <w:marLeft w:val="0"/>
          <w:marRight w:val="0"/>
          <w:marTop w:val="0"/>
          <w:marBottom w:val="0"/>
          <w:divBdr>
            <w:top w:val="none" w:sz="0" w:space="0" w:color="auto"/>
            <w:left w:val="none" w:sz="0" w:space="0" w:color="auto"/>
            <w:bottom w:val="none" w:sz="0" w:space="0" w:color="auto"/>
            <w:right w:val="none" w:sz="0" w:space="0" w:color="auto"/>
          </w:divBdr>
        </w:div>
      </w:divsChild>
    </w:div>
    <w:div w:id="1236548460">
      <w:bodyDiv w:val="1"/>
      <w:marLeft w:val="0"/>
      <w:marRight w:val="0"/>
      <w:marTop w:val="0"/>
      <w:marBottom w:val="0"/>
      <w:divBdr>
        <w:top w:val="none" w:sz="0" w:space="0" w:color="auto"/>
        <w:left w:val="none" w:sz="0" w:space="0" w:color="auto"/>
        <w:bottom w:val="none" w:sz="0" w:space="0" w:color="auto"/>
        <w:right w:val="none" w:sz="0" w:space="0" w:color="auto"/>
      </w:divBdr>
      <w:divsChild>
        <w:div w:id="380984845">
          <w:marLeft w:val="0"/>
          <w:marRight w:val="0"/>
          <w:marTop w:val="0"/>
          <w:marBottom w:val="0"/>
          <w:divBdr>
            <w:top w:val="none" w:sz="0" w:space="0" w:color="auto"/>
            <w:left w:val="none" w:sz="0" w:space="0" w:color="auto"/>
            <w:bottom w:val="none" w:sz="0" w:space="0" w:color="auto"/>
            <w:right w:val="none" w:sz="0" w:space="0" w:color="auto"/>
          </w:divBdr>
        </w:div>
      </w:divsChild>
    </w:div>
    <w:div w:id="1327827631">
      <w:bodyDiv w:val="1"/>
      <w:marLeft w:val="0"/>
      <w:marRight w:val="0"/>
      <w:marTop w:val="0"/>
      <w:marBottom w:val="0"/>
      <w:divBdr>
        <w:top w:val="none" w:sz="0" w:space="0" w:color="auto"/>
        <w:left w:val="none" w:sz="0" w:space="0" w:color="auto"/>
        <w:bottom w:val="none" w:sz="0" w:space="0" w:color="auto"/>
        <w:right w:val="none" w:sz="0" w:space="0" w:color="auto"/>
      </w:divBdr>
      <w:divsChild>
        <w:div w:id="753821882">
          <w:marLeft w:val="0"/>
          <w:marRight w:val="0"/>
          <w:marTop w:val="0"/>
          <w:marBottom w:val="0"/>
          <w:divBdr>
            <w:top w:val="none" w:sz="0" w:space="0" w:color="auto"/>
            <w:left w:val="none" w:sz="0" w:space="0" w:color="auto"/>
            <w:bottom w:val="none" w:sz="0" w:space="0" w:color="auto"/>
            <w:right w:val="none" w:sz="0" w:space="0" w:color="auto"/>
          </w:divBdr>
        </w:div>
      </w:divsChild>
    </w:div>
    <w:div w:id="1567688516">
      <w:bodyDiv w:val="1"/>
      <w:marLeft w:val="0"/>
      <w:marRight w:val="0"/>
      <w:marTop w:val="0"/>
      <w:marBottom w:val="0"/>
      <w:divBdr>
        <w:top w:val="none" w:sz="0" w:space="0" w:color="auto"/>
        <w:left w:val="none" w:sz="0" w:space="0" w:color="auto"/>
        <w:bottom w:val="none" w:sz="0" w:space="0" w:color="auto"/>
        <w:right w:val="none" w:sz="0" w:space="0" w:color="auto"/>
      </w:divBdr>
      <w:divsChild>
        <w:div w:id="2090687213">
          <w:marLeft w:val="0"/>
          <w:marRight w:val="0"/>
          <w:marTop w:val="0"/>
          <w:marBottom w:val="0"/>
          <w:divBdr>
            <w:top w:val="none" w:sz="0" w:space="0" w:color="auto"/>
            <w:left w:val="none" w:sz="0" w:space="0" w:color="auto"/>
            <w:bottom w:val="none" w:sz="0" w:space="0" w:color="auto"/>
            <w:right w:val="none" w:sz="0" w:space="0" w:color="auto"/>
          </w:divBdr>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089099">
      <w:bodyDiv w:val="1"/>
      <w:marLeft w:val="0"/>
      <w:marRight w:val="0"/>
      <w:marTop w:val="0"/>
      <w:marBottom w:val="0"/>
      <w:divBdr>
        <w:top w:val="none" w:sz="0" w:space="0" w:color="auto"/>
        <w:left w:val="none" w:sz="0" w:space="0" w:color="auto"/>
        <w:bottom w:val="none" w:sz="0" w:space="0" w:color="auto"/>
        <w:right w:val="none" w:sz="0" w:space="0" w:color="auto"/>
      </w:divBdr>
      <w:divsChild>
        <w:div w:id="5215536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16/j.gsd.2023.101039" TargetMode="External"/><Relationship Id="rId5" Type="http://schemas.openxmlformats.org/officeDocument/2006/relationships/hyperlink" Target="https://www.sciencedirect.com/topics/earth-and-planetary-sciences/potable-water" TargetMode="External"/><Relationship Id="rId4" Type="http://schemas.openxmlformats.org/officeDocument/2006/relationships/hyperlink" Target="https://www.sciencedirect.com/topics/earth-and-planetary-sciences/potable-wa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405</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2024-05-26T03:43:00Z</dcterms:created>
  <dcterms:modified xsi:type="dcterms:W3CDTF">2024-05-26T05:26:00Z</dcterms:modified>
</cp:coreProperties>
</file>