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D49" w:rsidRPr="00E61D49" w:rsidRDefault="00E61D49" w:rsidP="00E61D4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40"/>
          <w:szCs w:val="40"/>
        </w:rPr>
      </w:pPr>
      <w:r w:rsidRPr="00E61D49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Excited-State Intramolecular Proton Transfer in 10-Hydroxybenzoquinoline, 1-Hydroxyanthraquinone, Methyl Salicylate and 4-Methyl-2</w:t>
      </w:r>
      <w:proofErr w:type="gramStart"/>
      <w:r w:rsidRPr="00E61D49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,6</w:t>
      </w:r>
      <w:proofErr w:type="gramEnd"/>
      <w:r w:rsidRPr="00E61D49">
        <w:rPr>
          <w:rFonts w:ascii="Times New Roman" w:eastAsia="Times New Roman" w:hAnsi="Times New Roman" w:cs="Times New Roman"/>
          <w:bCs/>
          <w:kern w:val="36"/>
          <w:sz w:val="40"/>
          <w:szCs w:val="40"/>
        </w:rPr>
        <w:t>-Diformyl Phenol: A QM/MM–MD Study</w:t>
      </w:r>
    </w:p>
    <w:p w:rsidR="00A161EE" w:rsidRDefault="00A161EE" w:rsidP="00A161EE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bookmarkStart w:id="0" w:name="_GoBack"/>
      <w:bookmarkEnd w:id="0"/>
    </w:p>
    <w:p w:rsidR="00286666" w:rsidRPr="00A161EE" w:rsidRDefault="00056A8C" w:rsidP="00A161EE">
      <w:pPr>
        <w:jc w:val="both"/>
        <w:rPr>
          <w:rStyle w:val="blue-tooltip"/>
          <w:rFonts w:ascii="Times New Roman" w:hAnsi="Times New Roman" w:cs="Times New Roman"/>
          <w:color w:val="0070C0"/>
          <w:sz w:val="24"/>
          <w:szCs w:val="24"/>
        </w:rPr>
      </w:pPr>
      <w:r w:rsidRPr="00A161EE">
        <w:rPr>
          <w:rStyle w:val="blue-tooltip"/>
          <w:rFonts w:ascii="Times New Roman" w:hAnsi="Times New Roman" w:cs="Times New Roman"/>
          <w:b/>
          <w:bCs/>
          <w:sz w:val="24"/>
          <w:szCs w:val="24"/>
        </w:rPr>
        <w:t xml:space="preserve">Author: </w:t>
      </w:r>
      <w:hyperlink r:id="rId4" w:anchor="auth-Md_Al_Mamunur-Rashid-Aff1" w:history="1">
        <w:proofErr w:type="spellStart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Md</w:t>
        </w:r>
        <w:proofErr w:type="spellEnd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Al </w:t>
        </w:r>
        <w:proofErr w:type="spellStart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Mamunur</w:t>
        </w:r>
        <w:proofErr w:type="spellEnd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Rashid</w:t>
        </w:r>
      </w:hyperlink>
      <w:r w:rsidR="00A161EE" w:rsidRPr="00A161E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5" w:anchor="auth-Thamina-Acter-Aff2" w:history="1">
        <w:proofErr w:type="spellStart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Thamina</w:t>
        </w:r>
        <w:proofErr w:type="spellEnd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</w:t>
        </w:r>
        <w:proofErr w:type="spellStart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Acter</w:t>
        </w:r>
        <w:proofErr w:type="spellEnd"/>
      </w:hyperlink>
      <w:r w:rsidR="00A161EE" w:rsidRPr="00A161EE">
        <w:rPr>
          <w:rFonts w:ascii="Times New Roman" w:hAnsi="Times New Roman" w:cs="Times New Roman"/>
          <w:color w:val="0070C0"/>
          <w:sz w:val="24"/>
          <w:szCs w:val="24"/>
        </w:rPr>
        <w:t xml:space="preserve">, </w:t>
      </w:r>
      <w:hyperlink r:id="rId6" w:anchor="auth-Nizam-Uddin-Aff3" w:history="1">
        <w:proofErr w:type="spellStart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>Nizam</w:t>
        </w:r>
        <w:proofErr w:type="spellEnd"/>
        <w:r w:rsidR="00A161EE" w:rsidRPr="00A161EE">
          <w:rPr>
            <w:rStyle w:val="Hyperlink"/>
            <w:rFonts w:ascii="Times New Roman" w:hAnsi="Times New Roman" w:cs="Times New Roman"/>
            <w:color w:val="0070C0"/>
            <w:sz w:val="24"/>
            <w:szCs w:val="24"/>
            <w:u w:val="none"/>
          </w:rPr>
          <w:t xml:space="preserve"> Uddin</w:t>
        </w:r>
      </w:hyperlink>
    </w:p>
    <w:p w:rsidR="00056A8C" w:rsidRPr="00A161EE" w:rsidRDefault="00056A8C" w:rsidP="00A161EE">
      <w:pPr>
        <w:jc w:val="both"/>
        <w:rPr>
          <w:rStyle w:val="blue-tooltip"/>
          <w:rFonts w:ascii="Times New Roman" w:hAnsi="Times New Roman" w:cs="Times New Roman"/>
          <w:b/>
          <w:sz w:val="24"/>
          <w:szCs w:val="24"/>
        </w:rPr>
      </w:pPr>
    </w:p>
    <w:p w:rsidR="00A161EE" w:rsidRPr="00A161EE" w:rsidRDefault="00A161EE" w:rsidP="00A161EE">
      <w:pPr>
        <w:pStyle w:val="NormalWeb"/>
        <w:jc w:val="both"/>
        <w:rPr>
          <w:rStyle w:val="blue-tooltip"/>
          <w:b/>
        </w:rPr>
      </w:pPr>
      <w:r w:rsidRPr="00A161EE">
        <w:rPr>
          <w:rStyle w:val="blue-tooltip"/>
          <w:b/>
        </w:rPr>
        <w:t>Abstract:</w:t>
      </w:r>
    </w:p>
    <w:p w:rsidR="00A161EE" w:rsidRPr="00A161EE" w:rsidRDefault="00A161EE" w:rsidP="00A161EE">
      <w:pPr>
        <w:pStyle w:val="NormalWeb"/>
        <w:jc w:val="both"/>
        <w:rPr>
          <w:lang w:bidi="ar-SA"/>
        </w:rPr>
      </w:pPr>
      <w:r w:rsidRPr="00A161EE">
        <w:rPr>
          <w:lang w:bidi="ar-SA"/>
        </w:rPr>
        <w:t xml:space="preserve">The reaction dynamics of excited-state intramolecular proton transfer (ESIPT) </w:t>
      </w:r>
      <w:proofErr w:type="spellStart"/>
      <w:r w:rsidRPr="00A161EE">
        <w:rPr>
          <w:lang w:bidi="ar-SA"/>
        </w:rPr>
        <w:t>tautomerism</w:t>
      </w:r>
      <w:proofErr w:type="spellEnd"/>
      <w:r w:rsidRPr="00A161EE">
        <w:rPr>
          <w:lang w:bidi="ar-SA"/>
        </w:rPr>
        <w:t xml:space="preserve"> in 10-hydroxybenzoquinoline (HBQ), 1-hydroxyanthraquinone (HAQ), methyl salicylate (MS) and 4-methyl-2</w:t>
      </w:r>
      <w:proofErr w:type="gramStart"/>
      <w:r w:rsidRPr="00A161EE">
        <w:rPr>
          <w:lang w:bidi="ar-SA"/>
        </w:rPr>
        <w:t>,6</w:t>
      </w:r>
      <w:proofErr w:type="gramEnd"/>
      <w:r w:rsidRPr="00A161EE">
        <w:rPr>
          <w:lang w:bidi="ar-SA"/>
        </w:rPr>
        <w:t>-diformyl phenol (MFOH) has been investigated by quantum mechanics/molecular mechanics–molecular dynamics (QM/MM–MD) simulation with four different solvents 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O, CH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OH, CH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Cl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 xml:space="preserve"> and CHCl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. The ESIPT of HBQ proceeds 20 ± 8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water and methanol solvents; whereas, for other two solvents, CH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Cl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 xml:space="preserve"> and CHCl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, proton transfer (PT) occurs within 62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and 76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>, respectively. Similarly, the ESIPT of HAQ proceeds 21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O, 33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OH, 51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Cl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 xml:space="preserve"> and 61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CHCl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. The ESIPT of MS proceeds in 23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O, 38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OH, 60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Cl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 xml:space="preserve"> and 73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CHCl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. The ESIPT of MFOH proceeds 20 ± 6, 22 ± 6, 35 ± 6 and 58 ± 6 </w:t>
      </w:r>
      <w:proofErr w:type="spellStart"/>
      <w:r w:rsidRPr="00A161EE">
        <w:rPr>
          <w:lang w:bidi="ar-SA"/>
        </w:rPr>
        <w:t>fs</w:t>
      </w:r>
      <w:proofErr w:type="spellEnd"/>
      <w:r w:rsidRPr="00A161EE">
        <w:rPr>
          <w:lang w:bidi="ar-SA"/>
        </w:rPr>
        <w:t xml:space="preserve"> in 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O, CH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>OH, CH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>Cl</w:t>
      </w:r>
      <w:r w:rsidRPr="00A161EE">
        <w:rPr>
          <w:vertAlign w:val="subscript"/>
          <w:lang w:bidi="ar-SA"/>
        </w:rPr>
        <w:t>2</w:t>
      </w:r>
      <w:r w:rsidRPr="00A161EE">
        <w:rPr>
          <w:lang w:bidi="ar-SA"/>
        </w:rPr>
        <w:t xml:space="preserve"> and CHCl</w:t>
      </w:r>
      <w:r w:rsidRPr="00A161EE">
        <w:rPr>
          <w:vertAlign w:val="subscript"/>
          <w:lang w:bidi="ar-SA"/>
        </w:rPr>
        <w:t>3</w:t>
      </w:r>
      <w:r w:rsidRPr="00A161EE">
        <w:rPr>
          <w:lang w:bidi="ar-SA"/>
        </w:rPr>
        <w:t xml:space="preserve"> solvent, respectively. Our QM/MM–MD simulations show that the rate of PT is inversely proportional to the polarity of the solvents. In addition, intramolecular hydrogen bonding capacity between the hydroxyl oxygen (proton donor) and the </w:t>
      </w:r>
      <w:proofErr w:type="spellStart"/>
      <w:r w:rsidRPr="00A161EE">
        <w:rPr>
          <w:lang w:bidi="ar-SA"/>
        </w:rPr>
        <w:t>benzoquinolinic</w:t>
      </w:r>
      <w:proofErr w:type="spellEnd"/>
      <w:r w:rsidRPr="00A161EE">
        <w:rPr>
          <w:lang w:bidi="ar-SA"/>
        </w:rPr>
        <w:t xml:space="preserve"> nitrogen (proton acceptor) plays an important role for the ESIPT reaction.</w:t>
      </w:r>
    </w:p>
    <w:p w:rsidR="00A161EE" w:rsidRPr="00A161EE" w:rsidRDefault="00A161EE" w:rsidP="00A161E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0816E0" w:rsidRPr="00A161EE" w:rsidRDefault="000816E0" w:rsidP="00A161E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A161EE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Conference / Journal Link:</w:t>
      </w:r>
    </w:p>
    <w:bookmarkStart w:id="1" w:name="cj_link"/>
    <w:p w:rsidR="00A161EE" w:rsidRPr="00A161EE" w:rsidRDefault="00A161EE" w:rsidP="00A161EE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</w:pPr>
      <w:r w:rsidRPr="00A161EE">
        <w:rPr>
          <w:rFonts w:ascii="Times New Roman" w:hAnsi="Times New Roman" w:cs="Times New Roman"/>
          <w:color w:val="0070C0"/>
          <w:sz w:val="24"/>
          <w:szCs w:val="24"/>
        </w:rPr>
        <w:fldChar w:fldCharType="begin"/>
      </w:r>
      <w:r w:rsidRPr="00A161EE">
        <w:rPr>
          <w:rFonts w:ascii="Times New Roman" w:hAnsi="Times New Roman" w:cs="Times New Roman"/>
          <w:color w:val="0070C0"/>
          <w:sz w:val="24"/>
          <w:szCs w:val="24"/>
        </w:rPr>
        <w:instrText xml:space="preserve"> HYPERLINK "https://link.springer.com/article/10.1007/s00214-023-03045-1" \t "_blank" </w:instrText>
      </w:r>
      <w:r w:rsidRPr="00A161EE">
        <w:rPr>
          <w:rFonts w:ascii="Times New Roman" w:hAnsi="Times New Roman" w:cs="Times New Roman"/>
          <w:color w:val="0070C0"/>
          <w:sz w:val="24"/>
          <w:szCs w:val="24"/>
        </w:rPr>
        <w:fldChar w:fldCharType="separate"/>
      </w:r>
      <w:r w:rsidRPr="00A161EE">
        <w:rPr>
          <w:rStyle w:val="Hyperlink"/>
          <w:rFonts w:ascii="Times New Roman" w:hAnsi="Times New Roman" w:cs="Times New Roman"/>
          <w:color w:val="0070C0"/>
          <w:sz w:val="24"/>
          <w:szCs w:val="24"/>
          <w:u w:val="none"/>
        </w:rPr>
        <w:t>https://link.springer.com/article/10.1007/s00214-023-03045-1</w:t>
      </w:r>
      <w:r w:rsidRPr="00A161EE">
        <w:rPr>
          <w:rFonts w:ascii="Times New Roman" w:hAnsi="Times New Roman" w:cs="Times New Roman"/>
          <w:color w:val="0070C0"/>
          <w:sz w:val="24"/>
          <w:szCs w:val="24"/>
        </w:rPr>
        <w:fldChar w:fldCharType="end"/>
      </w:r>
      <w:bookmarkEnd w:id="1"/>
    </w:p>
    <w:p w:rsidR="000816E0" w:rsidRPr="00A161EE" w:rsidRDefault="000816E0" w:rsidP="00A161EE">
      <w:pPr>
        <w:spacing w:before="15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61EE">
        <w:rPr>
          <w:rFonts w:ascii="Times New Roman" w:hAnsi="Times New Roman" w:cs="Times New Roman"/>
          <w:b/>
          <w:sz w:val="24"/>
          <w:szCs w:val="24"/>
        </w:rPr>
        <w:t>DOI:</w:t>
      </w:r>
    </w:p>
    <w:p w:rsidR="00A161EE" w:rsidRPr="00A161EE" w:rsidRDefault="00A161EE" w:rsidP="00A161EE">
      <w:pPr>
        <w:spacing w:before="150"/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A161EE">
        <w:rPr>
          <w:rStyle w:val="c-bibliographic-informationvalue"/>
          <w:rFonts w:ascii="Times New Roman" w:hAnsi="Times New Roman" w:cs="Times New Roman"/>
          <w:color w:val="0070C0"/>
          <w:sz w:val="24"/>
          <w:szCs w:val="24"/>
        </w:rPr>
        <w:t>https://doi.org/10.1007/s00214-023-03045-1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C53C8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3F23DC"/>
    <w:rsid w:val="004B77E2"/>
    <w:rsid w:val="004F276A"/>
    <w:rsid w:val="005241A4"/>
    <w:rsid w:val="00542D8F"/>
    <w:rsid w:val="00563D55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D3612"/>
    <w:rsid w:val="006F61D2"/>
    <w:rsid w:val="00740C0D"/>
    <w:rsid w:val="0078199A"/>
    <w:rsid w:val="007A2B06"/>
    <w:rsid w:val="007C267B"/>
    <w:rsid w:val="007D4D8D"/>
    <w:rsid w:val="00812C96"/>
    <w:rsid w:val="008543AA"/>
    <w:rsid w:val="008659B7"/>
    <w:rsid w:val="0086732B"/>
    <w:rsid w:val="00874CFB"/>
    <w:rsid w:val="00876378"/>
    <w:rsid w:val="00891D34"/>
    <w:rsid w:val="00896A6D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161EE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CF2D6D"/>
    <w:rsid w:val="00D11FFB"/>
    <w:rsid w:val="00D26612"/>
    <w:rsid w:val="00DA36C1"/>
    <w:rsid w:val="00DF18D8"/>
    <w:rsid w:val="00DF3561"/>
    <w:rsid w:val="00E15A80"/>
    <w:rsid w:val="00E5274D"/>
    <w:rsid w:val="00E608D3"/>
    <w:rsid w:val="00E61D49"/>
    <w:rsid w:val="00E65008"/>
    <w:rsid w:val="00E676C5"/>
    <w:rsid w:val="00EE054B"/>
    <w:rsid w:val="00EE3075"/>
    <w:rsid w:val="00EE3F3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1D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c-bibliographic-informationvalue">
    <w:name w:val="c-bibliographic-information__value"/>
    <w:basedOn w:val="DefaultParagraphFont"/>
    <w:rsid w:val="00A161EE"/>
  </w:style>
  <w:style w:type="character" w:customStyle="1" w:styleId="Heading1Char">
    <w:name w:val="Heading 1 Char"/>
    <w:basedOn w:val="DefaultParagraphFont"/>
    <w:link w:val="Heading1"/>
    <w:uiPriority w:val="9"/>
    <w:rsid w:val="00E61D49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84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.springer.com/article/10.1007/s00214-023-03045-1" TargetMode="External"/><Relationship Id="rId5" Type="http://schemas.openxmlformats.org/officeDocument/2006/relationships/hyperlink" Target="https://link.springer.com/article/10.1007/s00214-023-03045-1" TargetMode="External"/><Relationship Id="rId4" Type="http://schemas.openxmlformats.org/officeDocument/2006/relationships/hyperlink" Target="https://link.springer.com/article/10.1007/s00214-023-03045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23</cp:revision>
  <dcterms:created xsi:type="dcterms:W3CDTF">2024-05-26T03:32:00Z</dcterms:created>
  <dcterms:modified xsi:type="dcterms:W3CDTF">2024-05-27T04:18:00Z</dcterms:modified>
</cp:coreProperties>
</file>