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F48" w:rsidRPr="00FB65D0" w:rsidRDefault="005660A0" w:rsidP="00FB65D0">
      <w:pPr>
        <w:jc w:val="both"/>
        <w:rPr>
          <w:rFonts w:ascii="Times New Roman" w:hAnsi="Times New Roman" w:cs="Times New Roman"/>
          <w:b/>
          <w:color w:val="4C4C4C"/>
          <w:sz w:val="28"/>
          <w:szCs w:val="28"/>
          <w:shd w:val="clear" w:color="auto" w:fill="FFFFFF"/>
        </w:rPr>
      </w:pPr>
      <w:r w:rsidRPr="00FB65D0">
        <w:rPr>
          <w:rFonts w:ascii="Times New Roman" w:hAnsi="Times New Roman" w:cs="Times New Roman"/>
          <w:b/>
          <w:color w:val="4C4C4C"/>
          <w:sz w:val="28"/>
          <w:szCs w:val="28"/>
          <w:shd w:val="clear" w:color="auto" w:fill="FFFFFF"/>
        </w:rPr>
        <w:t>Unraveling the impact of dissolved organic matter on arsenic mobilization in alluvial aquifer of the lower Yellow River basin, Northern China</w:t>
      </w:r>
    </w:p>
    <w:p w:rsidR="005660A0" w:rsidRPr="00FB65D0" w:rsidRDefault="005660A0" w:rsidP="00FB65D0">
      <w:pPr>
        <w:jc w:val="both"/>
        <w:rPr>
          <w:rFonts w:ascii="Times New Roman" w:hAnsi="Times New Roman" w:cs="Times New Roman"/>
          <w:sz w:val="24"/>
          <w:szCs w:val="24"/>
        </w:rPr>
      </w:pPr>
      <w:r w:rsidRPr="00FB65D0">
        <w:rPr>
          <w:rFonts w:ascii="Times New Roman" w:hAnsi="Times New Roman" w:cs="Times New Roman"/>
          <w:sz w:val="24"/>
          <w:szCs w:val="24"/>
        </w:rPr>
        <w:t>Jiaqi Jiang, Xianguo Wang, Chunli Su, Mengzhu Wang, Feifei Ren</w:t>
      </w:r>
      <w:r w:rsidR="00AB6F58" w:rsidRPr="00FB65D0">
        <w:rPr>
          <w:rFonts w:ascii="Times New Roman" w:hAnsi="Times New Roman" w:cs="Times New Roman"/>
          <w:sz w:val="24"/>
          <w:szCs w:val="24"/>
        </w:rPr>
        <w:t>, Md. Enamul Huq</w:t>
      </w:r>
    </w:p>
    <w:p w:rsidR="00AB6F58" w:rsidRPr="00FB65D0" w:rsidRDefault="00AB6F58" w:rsidP="00FB65D0">
      <w:pPr>
        <w:jc w:val="both"/>
        <w:rPr>
          <w:rFonts w:ascii="Times New Roman" w:hAnsi="Times New Roman" w:cs="Times New Roman"/>
          <w:b/>
          <w:bCs/>
          <w:color w:val="4C4C4C"/>
          <w:sz w:val="24"/>
          <w:szCs w:val="24"/>
          <w:shd w:val="clear" w:color="auto" w:fill="FFFFFF"/>
        </w:rPr>
      </w:pPr>
      <w:r w:rsidRPr="00FB65D0">
        <w:rPr>
          <w:rFonts w:ascii="Times New Roman" w:hAnsi="Times New Roman" w:cs="Times New Roman"/>
          <w:b/>
          <w:bCs/>
          <w:color w:val="4C4C4C"/>
          <w:sz w:val="24"/>
          <w:szCs w:val="24"/>
          <w:shd w:val="clear" w:color="auto" w:fill="FFFFFF"/>
        </w:rPr>
        <w:t>Keywords</w:t>
      </w:r>
    </w:p>
    <w:p w:rsidR="00AB6F58" w:rsidRPr="00FB65D0" w:rsidRDefault="00AB6F58" w:rsidP="00FB65D0">
      <w:pPr>
        <w:jc w:val="both"/>
        <w:rPr>
          <w:rFonts w:ascii="Times New Roman" w:hAnsi="Times New Roman" w:cs="Times New Roman"/>
          <w:color w:val="1F1F1F"/>
          <w:sz w:val="24"/>
          <w:szCs w:val="24"/>
        </w:rPr>
      </w:pPr>
      <w:r w:rsidRPr="00FB65D0">
        <w:rPr>
          <w:rFonts w:ascii="Times New Roman" w:hAnsi="Times New Roman" w:cs="Times New Roman"/>
          <w:color w:val="1F1F1F"/>
          <w:sz w:val="24"/>
          <w:szCs w:val="24"/>
        </w:rPr>
        <w:t>C</w:t>
      </w:r>
      <w:r w:rsidRPr="00FB65D0">
        <w:rPr>
          <w:rFonts w:ascii="Times New Roman" w:hAnsi="Times New Roman" w:cs="Times New Roman"/>
          <w:color w:val="1F1F1F"/>
          <w:sz w:val="24"/>
          <w:szCs w:val="24"/>
        </w:rPr>
        <w:t>arcinogenic</w:t>
      </w:r>
      <w:r w:rsidRPr="00FB65D0">
        <w:rPr>
          <w:rFonts w:ascii="Times New Roman" w:hAnsi="Times New Roman" w:cs="Times New Roman"/>
          <w:color w:val="1F1F1F"/>
          <w:sz w:val="24"/>
          <w:szCs w:val="24"/>
        </w:rPr>
        <w:t xml:space="preserve">, </w:t>
      </w:r>
      <w:r w:rsidRPr="00FB65D0">
        <w:rPr>
          <w:rFonts w:ascii="Times New Roman" w:hAnsi="Times New Roman" w:cs="Times New Roman"/>
          <w:color w:val="1F1F1F"/>
          <w:sz w:val="24"/>
          <w:szCs w:val="24"/>
        </w:rPr>
        <w:t>anthropogenic</w:t>
      </w:r>
      <w:r w:rsidRPr="00FB65D0">
        <w:rPr>
          <w:rFonts w:ascii="Times New Roman" w:hAnsi="Times New Roman" w:cs="Times New Roman"/>
          <w:color w:val="1F1F1F"/>
          <w:sz w:val="24"/>
          <w:szCs w:val="24"/>
        </w:rPr>
        <w:t xml:space="preserve">, </w:t>
      </w:r>
      <w:r w:rsidRPr="00FB65D0">
        <w:rPr>
          <w:rFonts w:ascii="Times New Roman" w:hAnsi="Times New Roman" w:cs="Times New Roman"/>
          <w:color w:val="1F1F1F"/>
          <w:sz w:val="24"/>
          <w:szCs w:val="24"/>
        </w:rPr>
        <w:t>oxidative dissolution</w:t>
      </w:r>
      <w:r w:rsidRPr="00FB65D0">
        <w:rPr>
          <w:rFonts w:ascii="Times New Roman" w:hAnsi="Times New Roman" w:cs="Times New Roman"/>
          <w:color w:val="1F1F1F"/>
          <w:sz w:val="24"/>
          <w:szCs w:val="24"/>
        </w:rPr>
        <w:t xml:space="preserve">, </w:t>
      </w:r>
      <w:r w:rsidRPr="00FB65D0">
        <w:rPr>
          <w:rFonts w:ascii="Times New Roman" w:hAnsi="Times New Roman" w:cs="Times New Roman"/>
          <w:color w:val="1F1F1F"/>
          <w:sz w:val="24"/>
          <w:szCs w:val="24"/>
        </w:rPr>
        <w:t>oxides/hydroxides</w:t>
      </w:r>
    </w:p>
    <w:p w:rsidR="00AB6F58" w:rsidRPr="00FB65D0" w:rsidRDefault="00AB6F58" w:rsidP="00FB65D0">
      <w:pPr>
        <w:jc w:val="both"/>
        <w:rPr>
          <w:rFonts w:ascii="Times New Roman" w:hAnsi="Times New Roman" w:cs="Times New Roman"/>
          <w:b/>
          <w:bCs/>
          <w:color w:val="4C4C4C"/>
          <w:sz w:val="24"/>
          <w:szCs w:val="24"/>
          <w:shd w:val="clear" w:color="auto" w:fill="FFFFFF"/>
        </w:rPr>
      </w:pPr>
      <w:r w:rsidRPr="00FB65D0">
        <w:rPr>
          <w:rFonts w:ascii="Times New Roman" w:hAnsi="Times New Roman" w:cs="Times New Roman"/>
          <w:b/>
          <w:bCs/>
          <w:color w:val="4C4C4C"/>
          <w:sz w:val="24"/>
          <w:szCs w:val="24"/>
          <w:shd w:val="clear" w:color="auto" w:fill="FFFFFF"/>
        </w:rPr>
        <w:t>Abstract</w:t>
      </w:r>
    </w:p>
    <w:p w:rsidR="00AB6F58" w:rsidRPr="00FB65D0" w:rsidRDefault="00AB6F58" w:rsidP="00FB65D0">
      <w:pPr>
        <w:jc w:val="both"/>
        <w:rPr>
          <w:rFonts w:ascii="Times New Roman" w:hAnsi="Times New Roman" w:cs="Times New Roman"/>
          <w:color w:val="1F1F1F"/>
          <w:sz w:val="24"/>
          <w:szCs w:val="24"/>
          <w:shd w:val="clear" w:color="auto" w:fill="FFFFFF"/>
        </w:rPr>
      </w:pPr>
      <w:r w:rsidRPr="00FB65D0">
        <w:rPr>
          <w:rFonts w:ascii="Times New Roman" w:hAnsi="Times New Roman" w:cs="Times New Roman"/>
          <w:color w:val="1F1F1F"/>
          <w:sz w:val="24"/>
          <w:szCs w:val="24"/>
          <w:shd w:val="clear" w:color="auto" w:fill="FFFFFF"/>
        </w:rPr>
        <w:t>Increased exposure to arsenic (As) has been reported in many arid and semi-arid areas, where </w:t>
      </w:r>
      <w:hyperlink r:id="rId4" w:tooltip="Learn more about drinking water from ScienceDirect's AI-generated Topic Pages" w:history="1">
        <w:r w:rsidRPr="00FB65D0">
          <w:rPr>
            <w:rStyle w:val="Hyperlink"/>
            <w:rFonts w:ascii="Times New Roman" w:hAnsi="Times New Roman" w:cs="Times New Roman"/>
            <w:color w:val="1F1F1F"/>
            <w:sz w:val="24"/>
            <w:szCs w:val="24"/>
            <w:u w:val="none"/>
          </w:rPr>
          <w:t>drinking water</w:t>
        </w:r>
      </w:hyperlink>
      <w:r w:rsidRPr="00FB65D0">
        <w:rPr>
          <w:rFonts w:ascii="Times New Roman" w:hAnsi="Times New Roman" w:cs="Times New Roman"/>
          <w:color w:val="1F1F1F"/>
          <w:sz w:val="24"/>
          <w:szCs w:val="24"/>
          <w:shd w:val="clear" w:color="auto" w:fill="FFFFFF"/>
        </w:rPr>
        <w:t> and agricultural irrigation strongly rely on groundwater. High-As groundwater occurred widely in the Northern Henan Plain, which belongs to the lower Yellow River </w:t>
      </w:r>
      <w:hyperlink r:id="rId5" w:tooltip="Learn more about alluvial plain from ScienceDirect's AI-generated Topic Pages" w:history="1">
        <w:r w:rsidRPr="00FB65D0">
          <w:rPr>
            <w:rStyle w:val="Hyperlink"/>
            <w:rFonts w:ascii="Times New Roman" w:hAnsi="Times New Roman" w:cs="Times New Roman"/>
            <w:color w:val="1F1F1F"/>
            <w:sz w:val="24"/>
            <w:szCs w:val="24"/>
            <w:u w:val="none"/>
          </w:rPr>
          <w:t>alluvial plain</w:t>
        </w:r>
      </w:hyperlink>
      <w:r w:rsidRPr="00FB65D0">
        <w:rPr>
          <w:rFonts w:ascii="Times New Roman" w:hAnsi="Times New Roman" w:cs="Times New Roman"/>
          <w:color w:val="1F1F1F"/>
          <w:sz w:val="24"/>
          <w:szCs w:val="24"/>
          <w:shd w:val="clear" w:color="auto" w:fill="FFFFFF"/>
        </w:rPr>
        <w:t> area, posing a new threat to the health of local residents. Based on 77 groundwater samples collected from different hydrogeological units, the sources and optical characteristics of </w:t>
      </w:r>
      <w:hyperlink r:id="rId6" w:tooltip="Learn more about dissolved organic matter from ScienceDirect's AI-generated Topic Pages" w:history="1">
        <w:r w:rsidRPr="00FB65D0">
          <w:rPr>
            <w:rStyle w:val="Hyperlink"/>
            <w:rFonts w:ascii="Times New Roman" w:hAnsi="Times New Roman" w:cs="Times New Roman"/>
            <w:color w:val="1F1F1F"/>
            <w:sz w:val="24"/>
            <w:szCs w:val="24"/>
            <w:u w:val="none"/>
          </w:rPr>
          <w:t>dissolved organic matter</w:t>
        </w:r>
      </w:hyperlink>
      <w:r w:rsidRPr="00FB65D0">
        <w:rPr>
          <w:rFonts w:ascii="Times New Roman" w:hAnsi="Times New Roman" w:cs="Times New Roman"/>
          <w:color w:val="1F1F1F"/>
          <w:sz w:val="24"/>
          <w:szCs w:val="24"/>
          <w:shd w:val="clear" w:color="auto" w:fill="FFFFFF"/>
        </w:rPr>
        <w:t> (DOM) components in groundwater were analyzed using a three-dimensional </w:t>
      </w:r>
      <w:hyperlink r:id="rId7" w:tooltip="Learn more about fluorescence spectroscopy from ScienceDirect's AI-generated Topic Pages" w:history="1">
        <w:r w:rsidRPr="00FB65D0">
          <w:rPr>
            <w:rStyle w:val="Hyperlink"/>
            <w:rFonts w:ascii="Times New Roman" w:hAnsi="Times New Roman" w:cs="Times New Roman"/>
            <w:color w:val="1F1F1F"/>
            <w:sz w:val="24"/>
            <w:szCs w:val="24"/>
            <w:u w:val="none"/>
          </w:rPr>
          <w:t>fluorescence spectroscopy</w:t>
        </w:r>
      </w:hyperlink>
      <w:r w:rsidRPr="00FB65D0">
        <w:rPr>
          <w:rFonts w:ascii="Times New Roman" w:hAnsi="Times New Roman" w:cs="Times New Roman"/>
          <w:color w:val="1F1F1F"/>
          <w:sz w:val="24"/>
          <w:szCs w:val="24"/>
          <w:shd w:val="clear" w:color="auto" w:fill="FFFFFF"/>
        </w:rPr>
        <w:t> excitation-emission matrix (3D-EEM) and parallel factor analysis (PARAFAC), to reveal the influence of organic matter on As mobilization and enrichment in Quaternary alluvial aquifers. The results showed that high-As groundwater was concentrated in the areas of the piedmont alluvial depressions and the Yellow River crevasse splay, which was closely related to the richness of organic matter in the buried sediments of the Yellow River </w:t>
      </w:r>
      <w:proofErr w:type="spellStart"/>
      <w:r w:rsidRPr="00FB65D0">
        <w:rPr>
          <w:rFonts w:ascii="Times New Roman" w:hAnsi="Times New Roman" w:cs="Times New Roman"/>
          <w:color w:val="1F1F1F"/>
          <w:sz w:val="24"/>
          <w:szCs w:val="24"/>
          <w:shd w:val="clear" w:color="auto" w:fill="FFFFFF"/>
        </w:rPr>
        <w:fldChar w:fldCharType="begin"/>
      </w:r>
      <w:r w:rsidRPr="00FB65D0">
        <w:rPr>
          <w:rFonts w:ascii="Times New Roman" w:hAnsi="Times New Roman" w:cs="Times New Roman"/>
          <w:color w:val="1F1F1F"/>
          <w:sz w:val="24"/>
          <w:szCs w:val="24"/>
          <w:shd w:val="clear" w:color="auto" w:fill="FFFFFF"/>
        </w:rPr>
        <w:instrText xml:space="preserve"> HYPERLINK "https://www.sciencedirect.com/topics/earth-and-planetary-sciences/paleochannel" \o "Learn more about paleochannels from ScienceDirect's AI-generated Topic Pages" </w:instrText>
      </w:r>
      <w:r w:rsidRPr="00FB65D0">
        <w:rPr>
          <w:rFonts w:ascii="Times New Roman" w:hAnsi="Times New Roman" w:cs="Times New Roman"/>
          <w:color w:val="1F1F1F"/>
          <w:sz w:val="24"/>
          <w:szCs w:val="24"/>
          <w:shd w:val="clear" w:color="auto" w:fill="FFFFFF"/>
        </w:rPr>
        <w:fldChar w:fldCharType="separate"/>
      </w:r>
      <w:r w:rsidRPr="00FB65D0">
        <w:rPr>
          <w:rStyle w:val="Hyperlink"/>
          <w:rFonts w:ascii="Times New Roman" w:hAnsi="Times New Roman" w:cs="Times New Roman"/>
          <w:color w:val="1F1F1F"/>
          <w:sz w:val="24"/>
          <w:szCs w:val="24"/>
          <w:u w:val="none"/>
        </w:rPr>
        <w:t>paleochannels</w:t>
      </w:r>
      <w:proofErr w:type="spellEnd"/>
      <w:r w:rsidRPr="00FB65D0">
        <w:rPr>
          <w:rFonts w:ascii="Times New Roman" w:hAnsi="Times New Roman" w:cs="Times New Roman"/>
          <w:color w:val="1F1F1F"/>
          <w:sz w:val="24"/>
          <w:szCs w:val="24"/>
          <w:shd w:val="clear" w:color="auto" w:fill="FFFFFF"/>
        </w:rPr>
        <w:fldChar w:fldCharType="end"/>
      </w:r>
      <w:r w:rsidRPr="00FB65D0">
        <w:rPr>
          <w:rFonts w:ascii="Times New Roman" w:hAnsi="Times New Roman" w:cs="Times New Roman"/>
          <w:color w:val="1F1F1F"/>
          <w:sz w:val="24"/>
          <w:szCs w:val="24"/>
          <w:shd w:val="clear" w:color="auto" w:fill="FFFFFF"/>
        </w:rPr>
        <w:t xml:space="preserve">. Vertically, the variability of groundwater </w:t>
      </w:r>
      <w:proofErr w:type="gramStart"/>
      <w:r w:rsidRPr="00FB65D0">
        <w:rPr>
          <w:rFonts w:ascii="Times New Roman" w:hAnsi="Times New Roman" w:cs="Times New Roman"/>
          <w:color w:val="1F1F1F"/>
          <w:sz w:val="24"/>
          <w:szCs w:val="24"/>
          <w:shd w:val="clear" w:color="auto" w:fill="FFFFFF"/>
        </w:rPr>
        <w:t>As</w:t>
      </w:r>
      <w:proofErr w:type="gramEnd"/>
      <w:r w:rsidRPr="00FB65D0">
        <w:rPr>
          <w:rFonts w:ascii="Times New Roman" w:hAnsi="Times New Roman" w:cs="Times New Roman"/>
          <w:color w:val="1F1F1F"/>
          <w:sz w:val="24"/>
          <w:szCs w:val="24"/>
          <w:shd w:val="clear" w:color="auto" w:fill="FFFFFF"/>
        </w:rPr>
        <w:t xml:space="preserve"> was governed by the </w:t>
      </w:r>
      <w:hyperlink r:id="rId8" w:tooltip="Learn more about redox conditions from ScienceDirect's AI-generated Topic Pages" w:history="1">
        <w:r w:rsidRPr="00FB65D0">
          <w:rPr>
            <w:rStyle w:val="Hyperlink"/>
            <w:rFonts w:ascii="Times New Roman" w:hAnsi="Times New Roman" w:cs="Times New Roman"/>
            <w:color w:val="1F1F1F"/>
            <w:sz w:val="24"/>
            <w:szCs w:val="24"/>
            <w:u w:val="none"/>
          </w:rPr>
          <w:t>redox conditions</w:t>
        </w:r>
      </w:hyperlink>
      <w:r w:rsidRPr="00FB65D0">
        <w:rPr>
          <w:rFonts w:ascii="Times New Roman" w:hAnsi="Times New Roman" w:cs="Times New Roman"/>
          <w:color w:val="1F1F1F"/>
          <w:sz w:val="24"/>
          <w:szCs w:val="24"/>
          <w:shd w:val="clear" w:color="auto" w:fill="FFFFFF"/>
        </w:rPr>
        <w:t xml:space="preserve"> and anthropogenic activities, leading to elevated As levels in deep aquifers. High-As groundwater was characterized by high content of </w:t>
      </w:r>
      <w:proofErr w:type="spellStart"/>
      <w:r w:rsidRPr="00FB65D0">
        <w:rPr>
          <w:rFonts w:ascii="Times New Roman" w:hAnsi="Times New Roman" w:cs="Times New Roman"/>
          <w:color w:val="1F1F1F"/>
          <w:sz w:val="24"/>
          <w:szCs w:val="24"/>
          <w:shd w:val="clear" w:color="auto" w:fill="FFFFFF"/>
        </w:rPr>
        <w:t>humic</w:t>
      </w:r>
      <w:proofErr w:type="spellEnd"/>
      <w:r w:rsidRPr="00FB65D0">
        <w:rPr>
          <w:rFonts w:ascii="Times New Roman" w:hAnsi="Times New Roman" w:cs="Times New Roman"/>
          <w:color w:val="1F1F1F"/>
          <w:sz w:val="24"/>
          <w:szCs w:val="24"/>
          <w:shd w:val="clear" w:color="auto" w:fill="FFFFFF"/>
        </w:rPr>
        <w:t>-like components (C2+C3), strong </w:t>
      </w:r>
      <w:proofErr w:type="spellStart"/>
      <w:r w:rsidRPr="00FB65D0">
        <w:rPr>
          <w:rFonts w:ascii="Times New Roman" w:hAnsi="Times New Roman" w:cs="Times New Roman"/>
          <w:color w:val="1F1F1F"/>
          <w:sz w:val="24"/>
          <w:szCs w:val="24"/>
          <w:shd w:val="clear" w:color="auto" w:fill="FFFFFF"/>
        </w:rPr>
        <w:fldChar w:fldCharType="begin"/>
      </w:r>
      <w:r w:rsidRPr="00FB65D0">
        <w:rPr>
          <w:rFonts w:ascii="Times New Roman" w:hAnsi="Times New Roman" w:cs="Times New Roman"/>
          <w:color w:val="1F1F1F"/>
          <w:sz w:val="24"/>
          <w:szCs w:val="24"/>
          <w:shd w:val="clear" w:color="auto" w:fill="FFFFFF"/>
        </w:rPr>
        <w:instrText xml:space="preserve"> HYPERLINK "https://www.sciencedirect.com/topics/earth-and-planetary-sciences/humification" \o "Learn more about humification from ScienceDirect's AI-generated Topic Pages" </w:instrText>
      </w:r>
      <w:r w:rsidRPr="00FB65D0">
        <w:rPr>
          <w:rFonts w:ascii="Times New Roman" w:hAnsi="Times New Roman" w:cs="Times New Roman"/>
          <w:color w:val="1F1F1F"/>
          <w:sz w:val="24"/>
          <w:szCs w:val="24"/>
          <w:shd w:val="clear" w:color="auto" w:fill="FFFFFF"/>
        </w:rPr>
        <w:fldChar w:fldCharType="separate"/>
      </w:r>
      <w:r w:rsidRPr="00FB65D0">
        <w:rPr>
          <w:rStyle w:val="Hyperlink"/>
          <w:rFonts w:ascii="Times New Roman" w:hAnsi="Times New Roman" w:cs="Times New Roman"/>
          <w:color w:val="1F1F1F"/>
          <w:sz w:val="24"/>
          <w:szCs w:val="24"/>
          <w:u w:val="none"/>
        </w:rPr>
        <w:t>humification</w:t>
      </w:r>
      <w:proofErr w:type="spellEnd"/>
      <w:r w:rsidRPr="00FB65D0">
        <w:rPr>
          <w:rFonts w:ascii="Times New Roman" w:hAnsi="Times New Roman" w:cs="Times New Roman"/>
          <w:color w:val="1F1F1F"/>
          <w:sz w:val="24"/>
          <w:szCs w:val="24"/>
          <w:shd w:val="clear" w:color="auto" w:fill="FFFFFF"/>
        </w:rPr>
        <w:fldChar w:fldCharType="end"/>
      </w:r>
      <w:r w:rsidRPr="00FB65D0">
        <w:rPr>
          <w:rFonts w:ascii="Times New Roman" w:hAnsi="Times New Roman" w:cs="Times New Roman"/>
          <w:color w:val="1F1F1F"/>
          <w:sz w:val="24"/>
          <w:szCs w:val="24"/>
          <w:shd w:val="clear" w:color="auto" w:fill="FFFFFF"/>
        </w:rPr>
        <w:t xml:space="preserve">, and weak </w:t>
      </w:r>
      <w:proofErr w:type="spellStart"/>
      <w:r w:rsidRPr="00FB65D0">
        <w:rPr>
          <w:rFonts w:ascii="Times New Roman" w:hAnsi="Times New Roman" w:cs="Times New Roman"/>
          <w:color w:val="1F1F1F"/>
          <w:sz w:val="24"/>
          <w:szCs w:val="24"/>
          <w:shd w:val="clear" w:color="auto" w:fill="FFFFFF"/>
        </w:rPr>
        <w:t>authigenic</w:t>
      </w:r>
      <w:proofErr w:type="spellEnd"/>
      <w:r w:rsidRPr="00FB65D0">
        <w:rPr>
          <w:rFonts w:ascii="Times New Roman" w:hAnsi="Times New Roman" w:cs="Times New Roman"/>
          <w:color w:val="1F1F1F"/>
          <w:sz w:val="24"/>
          <w:szCs w:val="24"/>
          <w:shd w:val="clear" w:color="auto" w:fill="FFFFFF"/>
        </w:rPr>
        <w:t xml:space="preserve"> sources, which can be attributed to the effects of frequent diversion of the Yellow River and the introduction of more terrestrial </w:t>
      </w:r>
      <w:proofErr w:type="spellStart"/>
      <w:r w:rsidRPr="00FB65D0">
        <w:rPr>
          <w:rFonts w:ascii="Times New Roman" w:hAnsi="Times New Roman" w:cs="Times New Roman"/>
          <w:color w:val="1F1F1F"/>
          <w:sz w:val="24"/>
          <w:szCs w:val="24"/>
          <w:shd w:val="clear" w:color="auto" w:fill="FFFFFF"/>
        </w:rPr>
        <w:t>humic</w:t>
      </w:r>
      <w:proofErr w:type="spellEnd"/>
      <w:r w:rsidRPr="00FB65D0">
        <w:rPr>
          <w:rFonts w:ascii="Times New Roman" w:hAnsi="Times New Roman" w:cs="Times New Roman"/>
          <w:color w:val="1F1F1F"/>
          <w:sz w:val="24"/>
          <w:szCs w:val="24"/>
          <w:shd w:val="clear" w:color="auto" w:fill="FFFFFF"/>
        </w:rPr>
        <w:t xml:space="preserve">-like components by intensive agricultural activities (e.g., irrigation). The significant correlations between Fe2+ and </w:t>
      </w:r>
      <w:proofErr w:type="gramStart"/>
      <w:r w:rsidRPr="00FB65D0">
        <w:rPr>
          <w:rFonts w:ascii="Times New Roman" w:hAnsi="Times New Roman" w:cs="Times New Roman"/>
          <w:color w:val="1F1F1F"/>
          <w:sz w:val="24"/>
          <w:szCs w:val="24"/>
          <w:shd w:val="clear" w:color="auto" w:fill="FFFFFF"/>
        </w:rPr>
        <w:t>As</w:t>
      </w:r>
      <w:proofErr w:type="gramEnd"/>
      <w:r w:rsidRPr="00FB65D0">
        <w:rPr>
          <w:rFonts w:ascii="Times New Roman" w:hAnsi="Times New Roman" w:cs="Times New Roman"/>
          <w:color w:val="1F1F1F"/>
          <w:sz w:val="24"/>
          <w:szCs w:val="24"/>
          <w:shd w:val="clear" w:color="auto" w:fill="FFFFFF"/>
        </w:rPr>
        <w:t xml:space="preserve"> and NH4+ (r = 0.65, 0.48, p &lt; 0.05) as well as the maximum fluorescence intensity of C2 and C3 with As (r = 0.59, 0.74, p &lt; 0.05) reflected the dominant impact of DOM on As migration. The terrestrial-derived high </w:t>
      </w:r>
      <w:hyperlink r:id="rId9" w:tooltip="Learn more about molecular weight from ScienceDirect's AI-generated Topic Pages" w:history="1">
        <w:r w:rsidRPr="00FB65D0">
          <w:rPr>
            <w:rStyle w:val="Hyperlink"/>
            <w:rFonts w:ascii="Times New Roman" w:hAnsi="Times New Roman" w:cs="Times New Roman"/>
            <w:color w:val="1F1F1F"/>
            <w:sz w:val="24"/>
            <w:szCs w:val="24"/>
            <w:u w:val="none"/>
          </w:rPr>
          <w:t>molecular weight</w:t>
        </w:r>
      </w:hyperlink>
      <w:r w:rsidRPr="00FB65D0">
        <w:rPr>
          <w:rFonts w:ascii="Times New Roman" w:hAnsi="Times New Roman" w:cs="Times New Roman"/>
          <w:color w:val="1F1F1F"/>
          <w:sz w:val="24"/>
          <w:szCs w:val="24"/>
          <w:shd w:val="clear" w:color="auto" w:fill="FFFFFF"/>
        </w:rPr>
        <w:t xml:space="preserve"> organic matter C2 facilitated As mobilization through </w:t>
      </w:r>
      <w:proofErr w:type="spellStart"/>
      <w:r w:rsidRPr="00FB65D0">
        <w:rPr>
          <w:rFonts w:ascii="Times New Roman" w:hAnsi="Times New Roman" w:cs="Times New Roman"/>
          <w:color w:val="1F1F1F"/>
          <w:sz w:val="24"/>
          <w:szCs w:val="24"/>
          <w:shd w:val="clear" w:color="auto" w:fill="FFFFFF"/>
        </w:rPr>
        <w:t>complexation</w:t>
      </w:r>
      <w:proofErr w:type="spellEnd"/>
      <w:r w:rsidRPr="00FB65D0">
        <w:rPr>
          <w:rFonts w:ascii="Times New Roman" w:hAnsi="Times New Roman" w:cs="Times New Roman"/>
          <w:color w:val="1F1F1F"/>
          <w:sz w:val="24"/>
          <w:szCs w:val="24"/>
          <w:shd w:val="clear" w:color="auto" w:fill="FFFFFF"/>
        </w:rPr>
        <w:t xml:space="preserve"> reactions, while the labile </w:t>
      </w:r>
      <w:proofErr w:type="spellStart"/>
      <w:r w:rsidRPr="00FB65D0">
        <w:rPr>
          <w:rFonts w:ascii="Times New Roman" w:hAnsi="Times New Roman" w:cs="Times New Roman"/>
          <w:color w:val="1F1F1F"/>
          <w:sz w:val="24"/>
          <w:szCs w:val="24"/>
          <w:shd w:val="clear" w:color="auto" w:fill="FFFFFF"/>
        </w:rPr>
        <w:t>humic</w:t>
      </w:r>
      <w:proofErr w:type="spellEnd"/>
      <w:r w:rsidRPr="00FB65D0">
        <w:rPr>
          <w:rFonts w:ascii="Times New Roman" w:hAnsi="Times New Roman" w:cs="Times New Roman"/>
          <w:color w:val="1F1F1F"/>
          <w:sz w:val="24"/>
          <w:szCs w:val="24"/>
          <w:shd w:val="clear" w:color="auto" w:fill="FFFFFF"/>
        </w:rPr>
        <w:t>-like component C3 triggered the reductive dissolution of iron oxides/hydroxides through microbial metabolic processes, which together contributed to the enrichment of As in groundwater from the Northern Henan Plain.</w:t>
      </w:r>
    </w:p>
    <w:p w:rsidR="00AB6F58" w:rsidRPr="00FB65D0" w:rsidRDefault="00AB6F58" w:rsidP="00FB65D0">
      <w:pPr>
        <w:jc w:val="both"/>
        <w:rPr>
          <w:rFonts w:ascii="Times New Roman" w:hAnsi="Times New Roman" w:cs="Times New Roman"/>
          <w:b/>
          <w:bCs/>
          <w:color w:val="4C4C4C"/>
          <w:sz w:val="24"/>
          <w:szCs w:val="24"/>
          <w:shd w:val="clear" w:color="auto" w:fill="FFFFFF"/>
        </w:rPr>
      </w:pPr>
      <w:r w:rsidRPr="00FB65D0">
        <w:rPr>
          <w:rFonts w:ascii="Times New Roman" w:hAnsi="Times New Roman" w:cs="Times New Roman"/>
          <w:b/>
          <w:bCs/>
          <w:color w:val="4C4C4C"/>
          <w:sz w:val="24"/>
          <w:szCs w:val="24"/>
          <w:shd w:val="clear" w:color="auto" w:fill="FFFFFF"/>
        </w:rPr>
        <w:t>Conference / Journal Link</w:t>
      </w:r>
      <w:bookmarkStart w:id="0" w:name="_GoBack"/>
      <w:bookmarkEnd w:id="0"/>
    </w:p>
    <w:bookmarkStart w:id="1" w:name="cj_link"/>
    <w:p w:rsidR="00AB6F58" w:rsidRPr="00FB65D0" w:rsidRDefault="00AB6F58" w:rsidP="00FB65D0">
      <w:pPr>
        <w:jc w:val="both"/>
        <w:rPr>
          <w:rFonts w:ascii="Times New Roman" w:hAnsi="Times New Roman" w:cs="Times New Roman"/>
          <w:b/>
          <w:bCs/>
          <w:color w:val="4C4C4C"/>
          <w:sz w:val="24"/>
          <w:szCs w:val="24"/>
          <w:shd w:val="clear" w:color="auto" w:fill="FFFFFF"/>
        </w:rPr>
      </w:pPr>
      <w:r w:rsidRPr="00FB65D0">
        <w:rPr>
          <w:rFonts w:ascii="Times New Roman" w:hAnsi="Times New Roman" w:cs="Times New Roman"/>
          <w:sz w:val="24"/>
          <w:szCs w:val="24"/>
        </w:rPr>
        <w:fldChar w:fldCharType="begin"/>
      </w:r>
      <w:r w:rsidRPr="00FB65D0">
        <w:rPr>
          <w:rFonts w:ascii="Times New Roman" w:hAnsi="Times New Roman" w:cs="Times New Roman"/>
          <w:sz w:val="24"/>
          <w:szCs w:val="24"/>
        </w:rPr>
        <w:instrText xml:space="preserve"> HYPERLINK "https://www.sciencedirect.com/science/article/abs/pii/S0883292723002263?dgcid=rss_sd_all" \t "_blank" </w:instrText>
      </w:r>
      <w:r w:rsidRPr="00FB65D0">
        <w:rPr>
          <w:rFonts w:ascii="Times New Roman" w:hAnsi="Times New Roman" w:cs="Times New Roman"/>
          <w:sz w:val="24"/>
          <w:szCs w:val="24"/>
        </w:rPr>
        <w:fldChar w:fldCharType="separate"/>
      </w:r>
      <w:r w:rsidRPr="00FB65D0">
        <w:rPr>
          <w:rStyle w:val="Hyperlink"/>
          <w:rFonts w:ascii="Times New Roman" w:hAnsi="Times New Roman" w:cs="Times New Roman"/>
          <w:color w:val="424242"/>
          <w:sz w:val="24"/>
          <w:szCs w:val="24"/>
          <w:u w:val="none"/>
          <w:shd w:val="clear" w:color="auto" w:fill="FFFFFF"/>
        </w:rPr>
        <w:t>https://www.sciencedirect.com/science/article/abs/pii/S0883292723002263?dgcid=rss_sd_all</w:t>
      </w:r>
      <w:r w:rsidRPr="00FB65D0">
        <w:rPr>
          <w:rFonts w:ascii="Times New Roman" w:hAnsi="Times New Roman" w:cs="Times New Roman"/>
          <w:sz w:val="24"/>
          <w:szCs w:val="24"/>
        </w:rPr>
        <w:fldChar w:fldCharType="end"/>
      </w:r>
      <w:bookmarkEnd w:id="1"/>
    </w:p>
    <w:p w:rsidR="00AB6F58" w:rsidRDefault="00AB6F58"/>
    <w:sectPr w:rsidR="00AB6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F48"/>
    <w:rsid w:val="002D76C8"/>
    <w:rsid w:val="005660A0"/>
    <w:rsid w:val="0065204A"/>
    <w:rsid w:val="00A82F48"/>
    <w:rsid w:val="00AB6F58"/>
    <w:rsid w:val="00FB6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BACC0-D89D-4AAE-859F-3613B561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B6F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redox-condition"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fluorescence-spectroscop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dissolved-organic-matter" TargetMode="External"/><Relationship Id="rId11" Type="http://schemas.openxmlformats.org/officeDocument/2006/relationships/theme" Target="theme/theme1.xml"/><Relationship Id="rId5" Type="http://schemas.openxmlformats.org/officeDocument/2006/relationships/hyperlink" Target="https://www.sciencedirect.com/topics/earth-and-planetary-sciences/alluvial-plain" TargetMode="External"/><Relationship Id="rId10" Type="http://schemas.openxmlformats.org/officeDocument/2006/relationships/fontTable" Target="fontTable.xml"/><Relationship Id="rId4" Type="http://schemas.openxmlformats.org/officeDocument/2006/relationships/hyperlink" Target="https://www.sciencedirect.com/topics/earth-and-planetary-sciences/potable-water" TargetMode="External"/><Relationship Id="rId9" Type="http://schemas.openxmlformats.org/officeDocument/2006/relationships/hyperlink" Target="https://www.sciencedirect.com/topics/earth-and-planetary-sciences/molecular-we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2024-05-29T04:36:00Z</dcterms:created>
  <dcterms:modified xsi:type="dcterms:W3CDTF">2024-05-29T06:30:00Z</dcterms:modified>
</cp:coreProperties>
</file>