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4D2EAE" w:rsidRDefault="004D2EAE">
      <w:pPr>
        <w:rPr>
          <w:rStyle w:val="blue-tooltip"/>
          <w:rFonts w:ascii="Times New Roman" w:hAnsi="Times New Roman" w:cs="Times New Roman"/>
          <w:bCs/>
          <w:sz w:val="40"/>
          <w:szCs w:val="40"/>
        </w:rPr>
      </w:pPr>
      <w:r w:rsidRPr="004D2EAE">
        <w:rPr>
          <w:rStyle w:val="blue-tooltip"/>
          <w:rFonts w:ascii="Times New Roman" w:hAnsi="Times New Roman" w:cs="Times New Roman"/>
          <w:bCs/>
          <w:sz w:val="40"/>
          <w:szCs w:val="40"/>
        </w:rPr>
        <w:t>Harnessing Digital Solutions for Sustainable Development: A Quantile</w:t>
      </w:r>
      <w:bookmarkStart w:id="0" w:name="_GoBack"/>
      <w:bookmarkEnd w:id="0"/>
      <w:r w:rsidRPr="004D2EAE">
        <w:rPr>
          <w:rStyle w:val="blue-tooltip"/>
          <w:rFonts w:ascii="Times New Roman" w:hAnsi="Times New Roman" w:cs="Times New Roman"/>
          <w:bCs/>
          <w:sz w:val="40"/>
          <w:szCs w:val="40"/>
        </w:rPr>
        <w:t>-Based Framework for Designing an SDG Framework for Green Transition</w:t>
      </w:r>
    </w:p>
    <w:p w:rsidR="004D2EAE" w:rsidRPr="00BB2C7E" w:rsidRDefault="00056A8C" w:rsidP="001D37F9">
      <w:pPr>
        <w:spacing w:before="100" w:beforeAutospacing="1" w:after="100" w:afterAutospacing="1" w:line="240" w:lineRule="auto"/>
        <w:jc w:val="both"/>
        <w:rPr>
          <w:rFonts w:ascii="Times New Roman" w:hAnsi="Times New Roman" w:cs="Times New Roman"/>
          <w:color w:val="0070C0"/>
          <w:sz w:val="24"/>
          <w:szCs w:val="24"/>
        </w:rPr>
      </w:pPr>
      <w:r w:rsidRPr="00BB2C7E">
        <w:rPr>
          <w:rStyle w:val="blue-tooltip"/>
          <w:rFonts w:ascii="Times New Roman" w:hAnsi="Times New Roman" w:cs="Times New Roman"/>
          <w:b/>
          <w:bCs/>
          <w:sz w:val="24"/>
          <w:szCs w:val="24"/>
        </w:rPr>
        <w:t xml:space="preserve">Author: </w:t>
      </w:r>
      <w:r w:rsidR="009437E0" w:rsidRPr="00BB2C7E">
        <w:rPr>
          <w:rStyle w:val="blue-tooltip"/>
          <w:rFonts w:ascii="Times New Roman" w:hAnsi="Times New Roman" w:cs="Times New Roman"/>
          <w:sz w:val="24"/>
          <w:szCs w:val="24"/>
        </w:rPr>
        <w:t xml:space="preserve"> </w:t>
      </w:r>
      <w:hyperlink r:id="rId5" w:anchor="auth-Najia-Saqib-Aff1" w:history="1">
        <w:proofErr w:type="spellStart"/>
        <w:r w:rsidR="004D2EAE" w:rsidRPr="00BB2C7E">
          <w:rPr>
            <w:rStyle w:val="Hyperlink"/>
            <w:rFonts w:ascii="Times New Roman" w:hAnsi="Times New Roman" w:cs="Times New Roman"/>
            <w:color w:val="0070C0"/>
            <w:sz w:val="24"/>
            <w:szCs w:val="24"/>
            <w:u w:val="none"/>
          </w:rPr>
          <w:t>Najia</w:t>
        </w:r>
        <w:proofErr w:type="spellEnd"/>
        <w:r w:rsidR="004D2EAE" w:rsidRPr="00BB2C7E">
          <w:rPr>
            <w:rStyle w:val="Hyperlink"/>
            <w:rFonts w:ascii="Times New Roman" w:hAnsi="Times New Roman" w:cs="Times New Roman"/>
            <w:color w:val="0070C0"/>
            <w:sz w:val="24"/>
            <w:szCs w:val="24"/>
            <w:u w:val="none"/>
          </w:rPr>
          <w:t xml:space="preserve"> </w:t>
        </w:r>
        <w:proofErr w:type="spellStart"/>
        <w:r w:rsidR="004D2EAE" w:rsidRPr="00BB2C7E">
          <w:rPr>
            <w:rStyle w:val="Hyperlink"/>
            <w:rFonts w:ascii="Times New Roman" w:hAnsi="Times New Roman" w:cs="Times New Roman"/>
            <w:color w:val="0070C0"/>
            <w:sz w:val="24"/>
            <w:szCs w:val="24"/>
            <w:u w:val="none"/>
          </w:rPr>
          <w:t>Saqib</w:t>
        </w:r>
        <w:proofErr w:type="spellEnd"/>
      </w:hyperlink>
      <w:r w:rsidR="004D2EAE" w:rsidRPr="00BB2C7E">
        <w:rPr>
          <w:rFonts w:ascii="Times New Roman" w:hAnsi="Times New Roman" w:cs="Times New Roman"/>
          <w:color w:val="0070C0"/>
          <w:sz w:val="24"/>
          <w:szCs w:val="24"/>
        </w:rPr>
        <w:t xml:space="preserve">, </w:t>
      </w:r>
      <w:hyperlink r:id="rId6" w:anchor="auth-Haider-Mahmood-Aff2" w:history="1">
        <w:proofErr w:type="spellStart"/>
        <w:r w:rsidR="004D2EAE" w:rsidRPr="00BB2C7E">
          <w:rPr>
            <w:rStyle w:val="Hyperlink"/>
            <w:rFonts w:ascii="Times New Roman" w:hAnsi="Times New Roman" w:cs="Times New Roman"/>
            <w:color w:val="0070C0"/>
            <w:sz w:val="24"/>
            <w:szCs w:val="24"/>
            <w:u w:val="none"/>
          </w:rPr>
          <w:t>Haider</w:t>
        </w:r>
        <w:proofErr w:type="spellEnd"/>
        <w:r w:rsidR="004D2EAE" w:rsidRPr="00BB2C7E">
          <w:rPr>
            <w:rStyle w:val="Hyperlink"/>
            <w:rFonts w:ascii="Times New Roman" w:hAnsi="Times New Roman" w:cs="Times New Roman"/>
            <w:color w:val="0070C0"/>
            <w:sz w:val="24"/>
            <w:szCs w:val="24"/>
            <w:u w:val="none"/>
          </w:rPr>
          <w:t xml:space="preserve"> </w:t>
        </w:r>
        <w:proofErr w:type="spellStart"/>
        <w:r w:rsidR="004D2EAE" w:rsidRPr="00BB2C7E">
          <w:rPr>
            <w:rStyle w:val="Hyperlink"/>
            <w:rFonts w:ascii="Times New Roman" w:hAnsi="Times New Roman" w:cs="Times New Roman"/>
            <w:color w:val="0070C0"/>
            <w:sz w:val="24"/>
            <w:szCs w:val="24"/>
            <w:u w:val="none"/>
          </w:rPr>
          <w:t>Mahmood</w:t>
        </w:r>
        <w:proofErr w:type="spellEnd"/>
      </w:hyperlink>
      <w:r w:rsidR="004D2EAE" w:rsidRPr="00BB2C7E">
        <w:rPr>
          <w:rFonts w:ascii="Times New Roman" w:hAnsi="Times New Roman" w:cs="Times New Roman"/>
          <w:color w:val="0070C0"/>
          <w:sz w:val="24"/>
          <w:szCs w:val="24"/>
        </w:rPr>
        <w:t xml:space="preserve">, </w:t>
      </w:r>
      <w:hyperlink r:id="rId7" w:anchor="auth-Muntasir-Murshed-Aff3-Aff4" w:history="1">
        <w:proofErr w:type="spellStart"/>
        <w:r w:rsidR="004D2EAE" w:rsidRPr="00BB2C7E">
          <w:rPr>
            <w:rStyle w:val="Hyperlink"/>
            <w:rFonts w:ascii="Times New Roman" w:hAnsi="Times New Roman" w:cs="Times New Roman"/>
            <w:color w:val="0070C0"/>
            <w:sz w:val="24"/>
            <w:szCs w:val="24"/>
            <w:u w:val="none"/>
          </w:rPr>
          <w:t>Muntasir</w:t>
        </w:r>
        <w:proofErr w:type="spellEnd"/>
        <w:r w:rsidR="004D2EAE" w:rsidRPr="00BB2C7E">
          <w:rPr>
            <w:rStyle w:val="Hyperlink"/>
            <w:rFonts w:ascii="Times New Roman" w:hAnsi="Times New Roman" w:cs="Times New Roman"/>
            <w:color w:val="0070C0"/>
            <w:sz w:val="24"/>
            <w:szCs w:val="24"/>
            <w:u w:val="none"/>
          </w:rPr>
          <w:t xml:space="preserve"> </w:t>
        </w:r>
        <w:proofErr w:type="spellStart"/>
        <w:r w:rsidR="004D2EAE" w:rsidRPr="00BB2C7E">
          <w:rPr>
            <w:rStyle w:val="Hyperlink"/>
            <w:rFonts w:ascii="Times New Roman" w:hAnsi="Times New Roman" w:cs="Times New Roman"/>
            <w:color w:val="0070C0"/>
            <w:sz w:val="24"/>
            <w:szCs w:val="24"/>
            <w:u w:val="none"/>
          </w:rPr>
          <w:t>Murshed</w:t>
        </w:r>
        <w:proofErr w:type="spellEnd"/>
      </w:hyperlink>
      <w:r w:rsidR="004D2EAE" w:rsidRPr="00BB2C7E">
        <w:rPr>
          <w:rFonts w:ascii="Times New Roman" w:hAnsi="Times New Roman" w:cs="Times New Roman"/>
          <w:color w:val="0070C0"/>
          <w:sz w:val="24"/>
          <w:szCs w:val="24"/>
        </w:rPr>
        <w:t xml:space="preserve">, </w:t>
      </w:r>
      <w:hyperlink r:id="rId8" w:anchor="auth-Ivan_A_-Duran-Aff1" w:history="1">
        <w:r w:rsidR="004D2EAE" w:rsidRPr="00BB2C7E">
          <w:rPr>
            <w:rStyle w:val="Hyperlink"/>
            <w:rFonts w:ascii="Times New Roman" w:hAnsi="Times New Roman" w:cs="Times New Roman"/>
            <w:color w:val="0070C0"/>
            <w:sz w:val="24"/>
            <w:szCs w:val="24"/>
            <w:u w:val="none"/>
          </w:rPr>
          <w:t>Ivan A. Duran</w:t>
        </w:r>
      </w:hyperlink>
      <w:r w:rsidR="004D2EAE" w:rsidRPr="00BB2C7E">
        <w:rPr>
          <w:rFonts w:ascii="Times New Roman" w:hAnsi="Times New Roman" w:cs="Times New Roman"/>
          <w:color w:val="0070C0"/>
          <w:sz w:val="24"/>
          <w:szCs w:val="24"/>
        </w:rPr>
        <w:t xml:space="preserve">, </w:t>
      </w:r>
      <w:hyperlink r:id="rId9" w:anchor="auth-Ismail_Ben-Douissa-Aff5" w:history="1">
        <w:r w:rsidR="004D2EAE" w:rsidRPr="00BB2C7E">
          <w:rPr>
            <w:rStyle w:val="Hyperlink"/>
            <w:rFonts w:ascii="Times New Roman" w:hAnsi="Times New Roman" w:cs="Times New Roman"/>
            <w:color w:val="0070C0"/>
            <w:sz w:val="24"/>
            <w:szCs w:val="24"/>
            <w:u w:val="none"/>
          </w:rPr>
          <w:t xml:space="preserve">Ismail Ben </w:t>
        </w:r>
        <w:proofErr w:type="spellStart"/>
        <w:r w:rsidR="004D2EAE" w:rsidRPr="00BB2C7E">
          <w:rPr>
            <w:rStyle w:val="Hyperlink"/>
            <w:rFonts w:ascii="Times New Roman" w:hAnsi="Times New Roman" w:cs="Times New Roman"/>
            <w:color w:val="0070C0"/>
            <w:sz w:val="24"/>
            <w:szCs w:val="24"/>
            <w:u w:val="none"/>
          </w:rPr>
          <w:t>Douissa</w:t>
        </w:r>
        <w:proofErr w:type="spellEnd"/>
      </w:hyperlink>
      <w:r w:rsidR="004D2EAE" w:rsidRPr="00BB2C7E">
        <w:rPr>
          <w:rFonts w:ascii="Times New Roman" w:hAnsi="Times New Roman" w:cs="Times New Roman"/>
          <w:color w:val="0070C0"/>
          <w:sz w:val="24"/>
          <w:szCs w:val="24"/>
        </w:rPr>
        <w:t> </w:t>
      </w:r>
    </w:p>
    <w:p w:rsidR="00286666" w:rsidRPr="00BB2C7E" w:rsidRDefault="00286666" w:rsidP="001D37F9">
      <w:pPr>
        <w:jc w:val="both"/>
        <w:rPr>
          <w:rStyle w:val="blue-tooltip"/>
          <w:rFonts w:ascii="Times New Roman" w:hAnsi="Times New Roman" w:cs="Times New Roman"/>
          <w:b/>
          <w:sz w:val="24"/>
          <w:szCs w:val="24"/>
        </w:rPr>
      </w:pPr>
      <w:r w:rsidRPr="00BB2C7E">
        <w:rPr>
          <w:rStyle w:val="blue-tooltip"/>
          <w:rFonts w:ascii="Times New Roman" w:hAnsi="Times New Roman" w:cs="Times New Roman"/>
          <w:b/>
          <w:sz w:val="24"/>
          <w:szCs w:val="24"/>
        </w:rPr>
        <w:t xml:space="preserve">Abstract: </w:t>
      </w:r>
    </w:p>
    <w:p w:rsidR="004D2EAE" w:rsidRPr="00BB2C7E" w:rsidRDefault="004D2EAE" w:rsidP="001D37F9">
      <w:pPr>
        <w:jc w:val="both"/>
        <w:rPr>
          <w:rStyle w:val="blue-tooltip"/>
          <w:rFonts w:ascii="Times New Roman" w:hAnsi="Times New Roman" w:cs="Times New Roman"/>
          <w:b/>
          <w:sz w:val="24"/>
          <w:szCs w:val="24"/>
        </w:rPr>
      </w:pPr>
      <w:r w:rsidRPr="00BB2C7E">
        <w:rPr>
          <w:rFonts w:ascii="Times New Roman" w:hAnsi="Times New Roman" w:cs="Times New Roman"/>
          <w:color w:val="222222"/>
          <w:sz w:val="24"/>
          <w:szCs w:val="24"/>
        </w:rPr>
        <w:t xml:space="preserve">The paper investigates how financial technology might help countries promote renewable energy and reach the Sustainable Development Goals (SDGs). It is generally agreed that </w:t>
      </w:r>
      <w:proofErr w:type="spellStart"/>
      <w:r w:rsidRPr="00BB2C7E">
        <w:rPr>
          <w:rFonts w:ascii="Times New Roman" w:hAnsi="Times New Roman" w:cs="Times New Roman"/>
          <w:color w:val="222222"/>
          <w:sz w:val="24"/>
          <w:szCs w:val="24"/>
        </w:rPr>
        <w:t>FinTech</w:t>
      </w:r>
      <w:proofErr w:type="spellEnd"/>
      <w:r w:rsidRPr="00BB2C7E">
        <w:rPr>
          <w:rFonts w:ascii="Times New Roman" w:hAnsi="Times New Roman" w:cs="Times New Roman"/>
          <w:color w:val="222222"/>
          <w:sz w:val="24"/>
          <w:szCs w:val="24"/>
        </w:rPr>
        <w:t xml:space="preserve"> (financial technology) has the ability to help achieve the SDGs by 2030 and promote a sustainable society through technology-driven solutions. The financial sector has launched greener investment options in order to mobilize substantial financial resources towards climate neutrality in the coming decade. To achieve the Sustainable Development Goals and the goals set forth in the Paris Climate Agreement, however, this procedure must be accelerated. With the use of the innovative “</w:t>
      </w:r>
      <w:proofErr w:type="spellStart"/>
      <w:r w:rsidRPr="00BB2C7E">
        <w:rPr>
          <w:rFonts w:ascii="Times New Roman" w:hAnsi="Times New Roman" w:cs="Times New Roman"/>
          <w:color w:val="222222"/>
          <w:sz w:val="24"/>
          <w:szCs w:val="24"/>
        </w:rPr>
        <w:t>quantile</w:t>
      </w:r>
      <w:proofErr w:type="spellEnd"/>
      <w:r w:rsidRPr="00BB2C7E">
        <w:rPr>
          <w:rFonts w:ascii="Times New Roman" w:hAnsi="Times New Roman" w:cs="Times New Roman"/>
          <w:color w:val="222222"/>
          <w:sz w:val="24"/>
          <w:szCs w:val="24"/>
        </w:rPr>
        <w:t>-on-</w:t>
      </w:r>
      <w:proofErr w:type="spellStart"/>
      <w:r w:rsidRPr="00BB2C7E">
        <w:rPr>
          <w:rFonts w:ascii="Times New Roman" w:hAnsi="Times New Roman" w:cs="Times New Roman"/>
          <w:color w:val="222222"/>
          <w:sz w:val="24"/>
          <w:szCs w:val="24"/>
        </w:rPr>
        <w:t>quantile</w:t>
      </w:r>
      <w:proofErr w:type="spellEnd"/>
      <w:r w:rsidRPr="00BB2C7E">
        <w:rPr>
          <w:rFonts w:ascii="Times New Roman" w:hAnsi="Times New Roman" w:cs="Times New Roman"/>
          <w:color w:val="222222"/>
          <w:sz w:val="24"/>
          <w:szCs w:val="24"/>
        </w:rPr>
        <w:t xml:space="preserve"> (QQ)” technique, this study uses the data of top </w:t>
      </w:r>
      <w:proofErr w:type="spellStart"/>
      <w:r w:rsidRPr="00BB2C7E">
        <w:rPr>
          <w:rFonts w:ascii="Times New Roman" w:hAnsi="Times New Roman" w:cs="Times New Roman"/>
          <w:color w:val="222222"/>
          <w:sz w:val="24"/>
          <w:szCs w:val="24"/>
        </w:rPr>
        <w:t>FinTech</w:t>
      </w:r>
      <w:proofErr w:type="spellEnd"/>
      <w:r w:rsidRPr="00BB2C7E">
        <w:rPr>
          <w:rFonts w:ascii="Times New Roman" w:hAnsi="Times New Roman" w:cs="Times New Roman"/>
          <w:color w:val="222222"/>
          <w:sz w:val="24"/>
          <w:szCs w:val="24"/>
        </w:rPr>
        <w:t xml:space="preserve"> economies for the period 1990–2020 and provides country-specific insights into the relationship between </w:t>
      </w:r>
      <w:proofErr w:type="spellStart"/>
      <w:r w:rsidRPr="00BB2C7E">
        <w:rPr>
          <w:rFonts w:ascii="Times New Roman" w:hAnsi="Times New Roman" w:cs="Times New Roman"/>
          <w:color w:val="222222"/>
          <w:sz w:val="24"/>
          <w:szCs w:val="24"/>
        </w:rPr>
        <w:t>FinTech</w:t>
      </w:r>
      <w:proofErr w:type="spellEnd"/>
      <w:r w:rsidRPr="00BB2C7E">
        <w:rPr>
          <w:rFonts w:ascii="Times New Roman" w:hAnsi="Times New Roman" w:cs="Times New Roman"/>
          <w:color w:val="222222"/>
          <w:sz w:val="24"/>
          <w:szCs w:val="24"/>
        </w:rPr>
        <w:t xml:space="preserve"> and renewable energy. Using </w:t>
      </w:r>
      <w:proofErr w:type="spellStart"/>
      <w:r w:rsidRPr="00BB2C7E">
        <w:rPr>
          <w:rFonts w:ascii="Times New Roman" w:hAnsi="Times New Roman" w:cs="Times New Roman"/>
          <w:color w:val="222222"/>
          <w:sz w:val="24"/>
          <w:szCs w:val="24"/>
        </w:rPr>
        <w:t>quantile</w:t>
      </w:r>
      <w:proofErr w:type="spellEnd"/>
      <w:r w:rsidRPr="00BB2C7E">
        <w:rPr>
          <w:rFonts w:ascii="Times New Roman" w:hAnsi="Times New Roman" w:cs="Times New Roman"/>
          <w:color w:val="222222"/>
          <w:sz w:val="24"/>
          <w:szCs w:val="24"/>
        </w:rPr>
        <w:t xml:space="preserve"> causality analysis, we may identify the direction of causality between these variables at the observed extremes. An extensive long-term relationship between </w:t>
      </w:r>
      <w:proofErr w:type="spellStart"/>
      <w:r w:rsidRPr="00BB2C7E">
        <w:rPr>
          <w:rFonts w:ascii="Times New Roman" w:hAnsi="Times New Roman" w:cs="Times New Roman"/>
          <w:color w:val="222222"/>
          <w:sz w:val="24"/>
          <w:szCs w:val="24"/>
        </w:rPr>
        <w:t>FinTech</w:t>
      </w:r>
      <w:proofErr w:type="spellEnd"/>
      <w:r w:rsidRPr="00BB2C7E">
        <w:rPr>
          <w:rFonts w:ascii="Times New Roman" w:hAnsi="Times New Roman" w:cs="Times New Roman"/>
          <w:color w:val="222222"/>
          <w:sz w:val="24"/>
          <w:szCs w:val="24"/>
        </w:rPr>
        <w:t xml:space="preserve"> and renewable energy was found in all countries. The leading </w:t>
      </w:r>
      <w:proofErr w:type="spellStart"/>
      <w:r w:rsidRPr="00BB2C7E">
        <w:rPr>
          <w:rFonts w:ascii="Times New Roman" w:hAnsi="Times New Roman" w:cs="Times New Roman"/>
          <w:color w:val="222222"/>
          <w:sz w:val="24"/>
          <w:szCs w:val="24"/>
        </w:rPr>
        <w:t>FinTech</w:t>
      </w:r>
      <w:proofErr w:type="spellEnd"/>
      <w:r w:rsidRPr="00BB2C7E">
        <w:rPr>
          <w:rFonts w:ascii="Times New Roman" w:hAnsi="Times New Roman" w:cs="Times New Roman"/>
          <w:color w:val="222222"/>
          <w:sz w:val="24"/>
          <w:szCs w:val="24"/>
        </w:rPr>
        <w:t xml:space="preserve"> economies show a positive association between the two at most </w:t>
      </w:r>
      <w:proofErr w:type="spellStart"/>
      <w:r w:rsidRPr="00BB2C7E">
        <w:rPr>
          <w:rFonts w:ascii="Times New Roman" w:hAnsi="Times New Roman" w:cs="Times New Roman"/>
          <w:color w:val="222222"/>
          <w:sz w:val="24"/>
          <w:szCs w:val="24"/>
        </w:rPr>
        <w:t>quantiles</w:t>
      </w:r>
      <w:proofErr w:type="spellEnd"/>
      <w:r w:rsidRPr="00BB2C7E">
        <w:rPr>
          <w:rFonts w:ascii="Times New Roman" w:hAnsi="Times New Roman" w:cs="Times New Roman"/>
          <w:color w:val="222222"/>
          <w:sz w:val="24"/>
          <w:szCs w:val="24"/>
        </w:rPr>
        <w:t xml:space="preserve">, and a bidirectional causality relationship is seen across significant </w:t>
      </w:r>
      <w:proofErr w:type="spellStart"/>
      <w:r w:rsidRPr="00BB2C7E">
        <w:rPr>
          <w:rFonts w:ascii="Times New Roman" w:hAnsi="Times New Roman" w:cs="Times New Roman"/>
          <w:color w:val="222222"/>
          <w:sz w:val="24"/>
          <w:szCs w:val="24"/>
        </w:rPr>
        <w:t>quantiles</w:t>
      </w:r>
      <w:proofErr w:type="spellEnd"/>
      <w:r w:rsidRPr="00BB2C7E">
        <w:rPr>
          <w:rFonts w:ascii="Times New Roman" w:hAnsi="Times New Roman" w:cs="Times New Roman"/>
          <w:color w:val="222222"/>
          <w:sz w:val="24"/>
          <w:szCs w:val="24"/>
        </w:rPr>
        <w:t xml:space="preserve">. This highlights the considerable yet variable impact </w:t>
      </w:r>
      <w:proofErr w:type="spellStart"/>
      <w:r w:rsidRPr="00BB2C7E">
        <w:rPr>
          <w:rFonts w:ascii="Times New Roman" w:hAnsi="Times New Roman" w:cs="Times New Roman"/>
          <w:color w:val="222222"/>
          <w:sz w:val="24"/>
          <w:szCs w:val="24"/>
        </w:rPr>
        <w:t>FinTech</w:t>
      </w:r>
      <w:proofErr w:type="spellEnd"/>
      <w:r w:rsidRPr="00BB2C7E">
        <w:rPr>
          <w:rFonts w:ascii="Times New Roman" w:hAnsi="Times New Roman" w:cs="Times New Roman"/>
          <w:color w:val="222222"/>
          <w:sz w:val="24"/>
          <w:szCs w:val="24"/>
        </w:rPr>
        <w:t xml:space="preserve"> policies have on renewable energy and vice versa in these innovative economies. These results highlight the connection between growing </w:t>
      </w:r>
      <w:proofErr w:type="spellStart"/>
      <w:r w:rsidRPr="00BB2C7E">
        <w:rPr>
          <w:rFonts w:ascii="Times New Roman" w:hAnsi="Times New Roman" w:cs="Times New Roman"/>
          <w:color w:val="222222"/>
          <w:sz w:val="24"/>
          <w:szCs w:val="24"/>
        </w:rPr>
        <w:t>FinTech</w:t>
      </w:r>
      <w:proofErr w:type="spellEnd"/>
      <w:r w:rsidRPr="00BB2C7E">
        <w:rPr>
          <w:rFonts w:ascii="Times New Roman" w:hAnsi="Times New Roman" w:cs="Times New Roman"/>
          <w:color w:val="222222"/>
          <w:sz w:val="24"/>
          <w:szCs w:val="24"/>
        </w:rPr>
        <w:t xml:space="preserve"> and promoting a green transition to further Sustainable Development Goals and provide useful insight for policy formulation.</w:t>
      </w:r>
    </w:p>
    <w:p w:rsidR="000816E0" w:rsidRPr="00BB2C7E" w:rsidRDefault="000816E0" w:rsidP="001D37F9">
      <w:pPr>
        <w:spacing w:before="150" w:after="150" w:line="240" w:lineRule="auto"/>
        <w:jc w:val="both"/>
        <w:rPr>
          <w:rFonts w:ascii="Times New Roman" w:hAnsi="Times New Roman" w:cs="Times New Roman"/>
          <w:b/>
          <w:bCs/>
          <w:sz w:val="24"/>
          <w:szCs w:val="24"/>
          <w:shd w:val="clear" w:color="auto" w:fill="FFFFFF"/>
        </w:rPr>
      </w:pPr>
      <w:r w:rsidRPr="00BB2C7E">
        <w:rPr>
          <w:rFonts w:ascii="Times New Roman" w:hAnsi="Times New Roman" w:cs="Times New Roman"/>
          <w:b/>
          <w:bCs/>
          <w:sz w:val="24"/>
          <w:szCs w:val="24"/>
          <w:shd w:val="clear" w:color="auto" w:fill="FFFFFF"/>
        </w:rPr>
        <w:t>Conference / Journal Link:</w:t>
      </w:r>
    </w:p>
    <w:bookmarkStart w:id="1" w:name="cj_link"/>
    <w:p w:rsidR="004D2EAE" w:rsidRPr="00BB2C7E" w:rsidRDefault="004D2EAE" w:rsidP="001D37F9">
      <w:pPr>
        <w:spacing w:before="150" w:after="150" w:line="240" w:lineRule="auto"/>
        <w:jc w:val="both"/>
        <w:rPr>
          <w:rFonts w:ascii="Times New Roman" w:hAnsi="Times New Roman" w:cs="Times New Roman"/>
          <w:b/>
          <w:bCs/>
          <w:color w:val="0070C0"/>
          <w:sz w:val="24"/>
          <w:szCs w:val="24"/>
          <w:shd w:val="clear" w:color="auto" w:fill="FFFFFF"/>
        </w:rPr>
      </w:pPr>
      <w:r w:rsidRPr="00BB2C7E">
        <w:rPr>
          <w:rFonts w:ascii="Times New Roman" w:hAnsi="Times New Roman" w:cs="Times New Roman"/>
          <w:color w:val="0070C0"/>
          <w:sz w:val="24"/>
          <w:szCs w:val="24"/>
        </w:rPr>
        <w:fldChar w:fldCharType="begin"/>
      </w:r>
      <w:r w:rsidRPr="00BB2C7E">
        <w:rPr>
          <w:rFonts w:ascii="Times New Roman" w:hAnsi="Times New Roman" w:cs="Times New Roman"/>
          <w:color w:val="0070C0"/>
          <w:sz w:val="24"/>
          <w:szCs w:val="24"/>
        </w:rPr>
        <w:instrText xml:space="preserve"> HYPERLINK "https://link.springer.com/article/10.1007/s11356-023-30066-x" \t "_blank" </w:instrText>
      </w:r>
      <w:r w:rsidRPr="00BB2C7E">
        <w:rPr>
          <w:rFonts w:ascii="Times New Roman" w:hAnsi="Times New Roman" w:cs="Times New Roman"/>
          <w:color w:val="0070C0"/>
          <w:sz w:val="24"/>
          <w:szCs w:val="24"/>
        </w:rPr>
        <w:fldChar w:fldCharType="separate"/>
      </w:r>
      <w:r w:rsidRPr="00BB2C7E">
        <w:rPr>
          <w:rStyle w:val="Hyperlink"/>
          <w:rFonts w:ascii="Times New Roman" w:hAnsi="Times New Roman" w:cs="Times New Roman"/>
          <w:color w:val="0070C0"/>
          <w:sz w:val="24"/>
          <w:szCs w:val="24"/>
          <w:u w:val="none"/>
        </w:rPr>
        <w:t>https://link.springer.com/article/10.1007/s11356-023-30066-x</w:t>
      </w:r>
      <w:r w:rsidRPr="00BB2C7E">
        <w:rPr>
          <w:rFonts w:ascii="Times New Roman" w:hAnsi="Times New Roman" w:cs="Times New Roman"/>
          <w:color w:val="0070C0"/>
          <w:sz w:val="24"/>
          <w:szCs w:val="24"/>
        </w:rPr>
        <w:fldChar w:fldCharType="end"/>
      </w:r>
      <w:bookmarkEnd w:id="1"/>
    </w:p>
    <w:p w:rsidR="004D2EAE" w:rsidRPr="00BB2C7E" w:rsidRDefault="004D2EAE" w:rsidP="001D37F9">
      <w:pPr>
        <w:spacing w:before="150"/>
        <w:jc w:val="both"/>
        <w:rPr>
          <w:rFonts w:ascii="Times New Roman" w:hAnsi="Times New Roman" w:cs="Times New Roman"/>
          <w:b/>
          <w:sz w:val="24"/>
          <w:szCs w:val="24"/>
        </w:rPr>
      </w:pPr>
      <w:r w:rsidRPr="00BB2C7E">
        <w:rPr>
          <w:rFonts w:ascii="Times New Roman" w:hAnsi="Times New Roman" w:cs="Times New Roman"/>
          <w:b/>
          <w:sz w:val="24"/>
          <w:szCs w:val="24"/>
        </w:rPr>
        <w:t>DOI:</w:t>
      </w:r>
    </w:p>
    <w:p w:rsidR="00397E1D" w:rsidRPr="00BB2C7E" w:rsidRDefault="004D2EAE" w:rsidP="001D37F9">
      <w:pPr>
        <w:spacing w:before="150"/>
        <w:jc w:val="both"/>
        <w:rPr>
          <w:sz w:val="24"/>
          <w:szCs w:val="24"/>
        </w:rPr>
      </w:pPr>
      <w:r w:rsidRPr="00BB2C7E">
        <w:rPr>
          <w:rStyle w:val="c-bibliographic-informationvalue"/>
          <w:rFonts w:ascii="Times New Roman" w:hAnsi="Times New Roman" w:cs="Times New Roman"/>
          <w:color w:val="0070C0"/>
          <w:sz w:val="24"/>
          <w:szCs w:val="24"/>
        </w:rPr>
        <w:t>https://doi.org/10.1007/s1135</w:t>
      </w:r>
      <w:r w:rsidRPr="00BB2C7E">
        <w:rPr>
          <w:rStyle w:val="c-bibliographic-informationvalue"/>
          <w:color w:val="0070C0"/>
          <w:sz w:val="24"/>
          <w:szCs w:val="24"/>
        </w:rPr>
        <w:t>6-023-30066-x</w:t>
      </w:r>
    </w:p>
    <w:sectPr w:rsidR="00397E1D" w:rsidRPr="00BB2C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D3E4E"/>
    <w:multiLevelType w:val="multilevel"/>
    <w:tmpl w:val="FCFE4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112FE"/>
    <w:rsid w:val="00127B96"/>
    <w:rsid w:val="001457A5"/>
    <w:rsid w:val="00197F72"/>
    <w:rsid w:val="001B444F"/>
    <w:rsid w:val="001B7224"/>
    <w:rsid w:val="001D37F9"/>
    <w:rsid w:val="001D380C"/>
    <w:rsid w:val="002061D4"/>
    <w:rsid w:val="00212608"/>
    <w:rsid w:val="00282502"/>
    <w:rsid w:val="00286666"/>
    <w:rsid w:val="002C78EC"/>
    <w:rsid w:val="002E08A6"/>
    <w:rsid w:val="002E30B8"/>
    <w:rsid w:val="003323A5"/>
    <w:rsid w:val="00337AFE"/>
    <w:rsid w:val="00383B0C"/>
    <w:rsid w:val="00397E1D"/>
    <w:rsid w:val="003C5AD5"/>
    <w:rsid w:val="003D493B"/>
    <w:rsid w:val="004B1464"/>
    <w:rsid w:val="004B77E2"/>
    <w:rsid w:val="004D2EAE"/>
    <w:rsid w:val="004E1EDE"/>
    <w:rsid w:val="004F276A"/>
    <w:rsid w:val="005241A4"/>
    <w:rsid w:val="00542D8F"/>
    <w:rsid w:val="00597AC0"/>
    <w:rsid w:val="005A50A4"/>
    <w:rsid w:val="005A6D15"/>
    <w:rsid w:val="00620AFF"/>
    <w:rsid w:val="00680022"/>
    <w:rsid w:val="00680E6F"/>
    <w:rsid w:val="006920D4"/>
    <w:rsid w:val="006962B2"/>
    <w:rsid w:val="006A4A8B"/>
    <w:rsid w:val="006B3AD4"/>
    <w:rsid w:val="006D3612"/>
    <w:rsid w:val="006F61D2"/>
    <w:rsid w:val="00740C0D"/>
    <w:rsid w:val="0078199A"/>
    <w:rsid w:val="007A2B06"/>
    <w:rsid w:val="007A340C"/>
    <w:rsid w:val="00812C96"/>
    <w:rsid w:val="008543AA"/>
    <w:rsid w:val="008659B7"/>
    <w:rsid w:val="0086732B"/>
    <w:rsid w:val="00874CFB"/>
    <w:rsid w:val="00876378"/>
    <w:rsid w:val="00891D34"/>
    <w:rsid w:val="008A6A3D"/>
    <w:rsid w:val="008B2DD5"/>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B2C7E"/>
    <w:rsid w:val="00BC2981"/>
    <w:rsid w:val="00C433C0"/>
    <w:rsid w:val="00C665A2"/>
    <w:rsid w:val="00C916C7"/>
    <w:rsid w:val="00CA5BD2"/>
    <w:rsid w:val="00CC6082"/>
    <w:rsid w:val="00CD6A55"/>
    <w:rsid w:val="00CF2D6D"/>
    <w:rsid w:val="00D11FFB"/>
    <w:rsid w:val="00D26612"/>
    <w:rsid w:val="00D44F3C"/>
    <w:rsid w:val="00DA36C1"/>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4D2E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2806">
      <w:bodyDiv w:val="1"/>
      <w:marLeft w:val="0"/>
      <w:marRight w:val="0"/>
      <w:marTop w:val="0"/>
      <w:marBottom w:val="0"/>
      <w:divBdr>
        <w:top w:val="none" w:sz="0" w:space="0" w:color="auto"/>
        <w:left w:val="none" w:sz="0" w:space="0" w:color="auto"/>
        <w:bottom w:val="none" w:sz="0" w:space="0" w:color="auto"/>
        <w:right w:val="none" w:sz="0" w:space="0" w:color="auto"/>
      </w:divBdr>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356-023-30066-x" TargetMode="External"/><Relationship Id="rId3" Type="http://schemas.openxmlformats.org/officeDocument/2006/relationships/settings" Target="settings.xml"/><Relationship Id="rId7" Type="http://schemas.openxmlformats.org/officeDocument/2006/relationships/hyperlink" Target="https://link.springer.com/article/10.1007/s11356-023-30066-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1356-023-30066-x" TargetMode="External"/><Relationship Id="rId11" Type="http://schemas.openxmlformats.org/officeDocument/2006/relationships/theme" Target="theme/theme1.xml"/><Relationship Id="rId5" Type="http://schemas.openxmlformats.org/officeDocument/2006/relationships/hyperlink" Target="https://link.springer.com/article/10.1007/s11356-023-30066-x"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nk.springer.com/article/10.1007/s11356-023-30066-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2024-06-01T09:40:00Z</dcterms:created>
  <dcterms:modified xsi:type="dcterms:W3CDTF">2024-06-02T05:40:00Z</dcterms:modified>
</cp:coreProperties>
</file>