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F02B50" w:rsidRDefault="005B3432" w:rsidP="00F02B50">
      <w:pPr>
        <w:jc w:val="both"/>
        <w:rPr>
          <w:rFonts w:ascii="Times New Roman" w:hAnsi="Times New Roman" w:cs="Times New Roman"/>
          <w:color w:val="4C4C4C"/>
          <w:sz w:val="24"/>
          <w:szCs w:val="24"/>
          <w:shd w:val="clear" w:color="auto" w:fill="FFFFFF"/>
        </w:rPr>
      </w:pPr>
      <w:bookmarkStart w:id="0" w:name="_GoBack"/>
      <w:proofErr w:type="spellStart"/>
      <w:r w:rsidRPr="00F02B50">
        <w:rPr>
          <w:rFonts w:ascii="Times New Roman" w:hAnsi="Times New Roman" w:cs="Times New Roman"/>
          <w:color w:val="4C4C4C"/>
          <w:sz w:val="24"/>
          <w:szCs w:val="24"/>
          <w:shd w:val="clear" w:color="auto" w:fill="FFFFFF"/>
        </w:rPr>
        <w:t>Thermoluminescent</w:t>
      </w:r>
      <w:proofErr w:type="spellEnd"/>
      <w:r w:rsidRPr="00F02B50">
        <w:rPr>
          <w:rFonts w:ascii="Times New Roman" w:hAnsi="Times New Roman" w:cs="Times New Roman"/>
          <w:color w:val="4C4C4C"/>
          <w:sz w:val="24"/>
          <w:szCs w:val="24"/>
          <w:shd w:val="clear" w:color="auto" w:fill="FFFFFF"/>
        </w:rPr>
        <w:t xml:space="preserve"> characterization and defect studies of graphite-rich media under high dose neutron exposure</w:t>
      </w:r>
    </w:p>
    <w:bookmarkEnd w:id="0"/>
    <w:p w:rsidR="005B3432" w:rsidRPr="00F02B50" w:rsidRDefault="005B3432" w:rsidP="00F02B50">
      <w:pPr>
        <w:jc w:val="both"/>
        <w:rPr>
          <w:rFonts w:ascii="Times New Roman" w:hAnsi="Times New Roman" w:cs="Times New Roman"/>
          <w:sz w:val="24"/>
          <w:szCs w:val="24"/>
        </w:rPr>
      </w:pPr>
      <w:proofErr w:type="spellStart"/>
      <w:r w:rsidRPr="00F02B50">
        <w:rPr>
          <w:rFonts w:ascii="Times New Roman" w:hAnsi="Times New Roman" w:cs="Times New Roman"/>
          <w:sz w:val="24"/>
          <w:szCs w:val="24"/>
        </w:rPr>
        <w:t>Mayeen</w:t>
      </w:r>
      <w:proofErr w:type="spellEnd"/>
      <w:r w:rsidRPr="00F02B50">
        <w:rPr>
          <w:rFonts w:ascii="Times New Roman" w:hAnsi="Times New Roman" w:cs="Times New Roman"/>
          <w:sz w:val="24"/>
          <w:szCs w:val="24"/>
        </w:rPr>
        <w:t xml:space="preserve"> Uddin </w:t>
      </w:r>
      <w:proofErr w:type="spellStart"/>
      <w:r w:rsidRPr="00F02B50">
        <w:rPr>
          <w:rFonts w:ascii="Times New Roman" w:hAnsi="Times New Roman" w:cs="Times New Roman"/>
          <w:sz w:val="24"/>
          <w:szCs w:val="24"/>
        </w:rPr>
        <w:t>Khandaker</w:t>
      </w:r>
      <w:proofErr w:type="spellEnd"/>
      <w:r w:rsidRPr="00F02B50">
        <w:rPr>
          <w:rFonts w:ascii="Times New Roman" w:hAnsi="Times New Roman" w:cs="Times New Roman"/>
          <w:sz w:val="24"/>
          <w:szCs w:val="24"/>
        </w:rPr>
        <w:t xml:space="preserve">, S.N. Mat </w:t>
      </w:r>
      <w:proofErr w:type="spellStart"/>
      <w:r w:rsidRPr="00F02B50">
        <w:rPr>
          <w:rFonts w:ascii="Times New Roman" w:hAnsi="Times New Roman" w:cs="Times New Roman"/>
          <w:sz w:val="24"/>
          <w:szCs w:val="24"/>
        </w:rPr>
        <w:t>Nawi</w:t>
      </w:r>
      <w:proofErr w:type="spellEnd"/>
      <w:r w:rsidRPr="00F02B50">
        <w:rPr>
          <w:rFonts w:ascii="Times New Roman" w:hAnsi="Times New Roman" w:cs="Times New Roman"/>
          <w:sz w:val="24"/>
          <w:szCs w:val="24"/>
        </w:rPr>
        <w:t xml:space="preserve">, S.E. Lam, S.F. Abdul </w:t>
      </w:r>
      <w:proofErr w:type="spellStart"/>
      <w:r w:rsidRPr="00F02B50">
        <w:rPr>
          <w:rFonts w:ascii="Times New Roman" w:hAnsi="Times New Roman" w:cs="Times New Roman"/>
          <w:sz w:val="24"/>
          <w:szCs w:val="24"/>
        </w:rPr>
        <w:t>Sani</w:t>
      </w:r>
      <w:proofErr w:type="spellEnd"/>
      <w:r w:rsidRPr="00F02B50">
        <w:rPr>
          <w:rFonts w:ascii="Times New Roman" w:hAnsi="Times New Roman" w:cs="Times New Roman"/>
          <w:sz w:val="24"/>
          <w:szCs w:val="24"/>
        </w:rPr>
        <w:t xml:space="preserve">, Mohammad </w:t>
      </w:r>
      <w:proofErr w:type="spellStart"/>
      <w:r w:rsidRPr="00F02B50">
        <w:rPr>
          <w:rFonts w:ascii="Times New Roman" w:hAnsi="Times New Roman" w:cs="Times New Roman"/>
          <w:sz w:val="24"/>
          <w:szCs w:val="24"/>
        </w:rPr>
        <w:t>Amirul</w:t>
      </w:r>
      <w:proofErr w:type="spellEnd"/>
      <w:r w:rsidRPr="00F02B50">
        <w:rPr>
          <w:rFonts w:ascii="Times New Roman" w:hAnsi="Times New Roman" w:cs="Times New Roman"/>
          <w:sz w:val="24"/>
          <w:szCs w:val="24"/>
        </w:rPr>
        <w:t xml:space="preserve"> Islam, K.A. </w:t>
      </w:r>
      <w:proofErr w:type="spellStart"/>
      <w:r w:rsidRPr="00F02B50">
        <w:rPr>
          <w:rFonts w:ascii="Times New Roman" w:hAnsi="Times New Roman" w:cs="Times New Roman"/>
          <w:sz w:val="24"/>
          <w:szCs w:val="24"/>
        </w:rPr>
        <w:t>Naseer</w:t>
      </w:r>
      <w:proofErr w:type="spellEnd"/>
      <w:r w:rsidRPr="00F02B50">
        <w:rPr>
          <w:rFonts w:ascii="Times New Roman" w:hAnsi="Times New Roman" w:cs="Times New Roman"/>
          <w:sz w:val="24"/>
          <w:szCs w:val="24"/>
        </w:rPr>
        <w:t>, Hamid Osman</w:t>
      </w:r>
    </w:p>
    <w:p w:rsidR="00F02B50" w:rsidRPr="00F02B50" w:rsidRDefault="00F02B50" w:rsidP="00F02B50">
      <w:pPr>
        <w:spacing w:after="0" w:line="240" w:lineRule="auto"/>
        <w:jc w:val="both"/>
        <w:rPr>
          <w:rFonts w:ascii="Times New Roman" w:eastAsia="Times New Roman" w:hAnsi="Times New Roman" w:cs="Times New Roman"/>
          <w:color w:val="4C4C4C"/>
          <w:sz w:val="24"/>
          <w:szCs w:val="24"/>
          <w:lang w:bidi="bn-IN"/>
        </w:rPr>
      </w:pPr>
      <w:r w:rsidRPr="00F02B50">
        <w:rPr>
          <w:rFonts w:ascii="Times New Roman" w:eastAsia="Times New Roman" w:hAnsi="Times New Roman" w:cs="Times New Roman"/>
          <w:color w:val="4C4C4C"/>
          <w:sz w:val="24"/>
          <w:szCs w:val="24"/>
          <w:lang w:bidi="bn-IN"/>
        </w:rPr>
        <w:t>Abstract</w:t>
      </w:r>
    </w:p>
    <w:p w:rsidR="00F02B50" w:rsidRPr="00F02B50" w:rsidRDefault="00F02B50" w:rsidP="00F02B50">
      <w:pPr>
        <w:jc w:val="both"/>
        <w:rPr>
          <w:rFonts w:ascii="Times New Roman" w:hAnsi="Times New Roman" w:cs="Times New Roman"/>
          <w:color w:val="1F1F1F"/>
          <w:sz w:val="24"/>
          <w:szCs w:val="24"/>
        </w:rPr>
      </w:pPr>
      <w:hyperlink r:id="rId4" w:tooltip="Learn more about Thermoluminescence from ScienceDirect's AI-generated Topic Pages" w:history="1">
        <w:proofErr w:type="spellStart"/>
        <w:r w:rsidRPr="00F02B50">
          <w:rPr>
            <w:rStyle w:val="Hyperlink"/>
            <w:rFonts w:ascii="Times New Roman" w:hAnsi="Times New Roman" w:cs="Times New Roman"/>
            <w:color w:val="1F1F1F"/>
            <w:sz w:val="24"/>
            <w:szCs w:val="24"/>
          </w:rPr>
          <w:t>Thermoluminescence</w:t>
        </w:r>
        <w:proofErr w:type="spellEnd"/>
      </w:hyperlink>
      <w:r w:rsidRPr="00F02B50">
        <w:rPr>
          <w:rFonts w:ascii="Times New Roman" w:hAnsi="Times New Roman" w:cs="Times New Roman"/>
          <w:color w:val="1F1F1F"/>
          <w:sz w:val="24"/>
          <w:szCs w:val="24"/>
        </w:rPr>
        <w:t> (TL) materials have a broad variety of uses in various fields, such as clinical research, individual </w:t>
      </w:r>
      <w:proofErr w:type="spellStart"/>
      <w:r w:rsidRPr="00F02B50">
        <w:rPr>
          <w:rFonts w:ascii="Times New Roman" w:hAnsi="Times New Roman" w:cs="Times New Roman"/>
          <w:color w:val="1F1F1F"/>
          <w:sz w:val="24"/>
          <w:szCs w:val="24"/>
        </w:rPr>
        <w:fldChar w:fldCharType="begin"/>
      </w:r>
      <w:r w:rsidRPr="00F02B50">
        <w:rPr>
          <w:rFonts w:ascii="Times New Roman" w:hAnsi="Times New Roman" w:cs="Times New Roman"/>
          <w:color w:val="1F1F1F"/>
          <w:sz w:val="24"/>
          <w:szCs w:val="24"/>
        </w:rPr>
        <w:instrText xml:space="preserve"> HYPERLINK "https://www.sciencedirect.com/topics/physics-and-astronomy/dosimeter" \o "Learn more about dosimetry from ScienceDirect's AI-generated Topic Pages" </w:instrText>
      </w:r>
      <w:r w:rsidRPr="00F02B50">
        <w:rPr>
          <w:rFonts w:ascii="Times New Roman" w:hAnsi="Times New Roman" w:cs="Times New Roman"/>
          <w:color w:val="1F1F1F"/>
          <w:sz w:val="24"/>
          <w:szCs w:val="24"/>
        </w:rPr>
        <w:fldChar w:fldCharType="separate"/>
      </w:r>
      <w:r w:rsidRPr="00F02B50">
        <w:rPr>
          <w:rStyle w:val="Hyperlink"/>
          <w:rFonts w:ascii="Times New Roman" w:hAnsi="Times New Roman" w:cs="Times New Roman"/>
          <w:color w:val="1F1F1F"/>
          <w:sz w:val="24"/>
          <w:szCs w:val="24"/>
        </w:rPr>
        <w:t>dosimetry</w:t>
      </w:r>
      <w:proofErr w:type="spellEnd"/>
      <w:r w:rsidRPr="00F02B50">
        <w:rPr>
          <w:rFonts w:ascii="Times New Roman" w:hAnsi="Times New Roman" w:cs="Times New Roman"/>
          <w:color w:val="1F1F1F"/>
          <w:sz w:val="24"/>
          <w:szCs w:val="24"/>
        </w:rPr>
        <w:fldChar w:fldCharType="end"/>
      </w:r>
      <w:r w:rsidRPr="00F02B50">
        <w:rPr>
          <w:rFonts w:ascii="Times New Roman" w:hAnsi="Times New Roman" w:cs="Times New Roman"/>
          <w:color w:val="1F1F1F"/>
          <w:sz w:val="24"/>
          <w:szCs w:val="24"/>
        </w:rPr>
        <w:t>, and </w:t>
      </w:r>
      <w:hyperlink r:id="rId5" w:tooltip="Learn more about environmental dosimetry from ScienceDirect's AI-generated Topic Pages" w:history="1">
        <w:r w:rsidRPr="00F02B50">
          <w:rPr>
            <w:rStyle w:val="Hyperlink"/>
            <w:rFonts w:ascii="Times New Roman" w:hAnsi="Times New Roman" w:cs="Times New Roman"/>
            <w:color w:val="1F1F1F"/>
            <w:sz w:val="24"/>
            <w:szCs w:val="24"/>
          </w:rPr>
          <w:t xml:space="preserve">environmental </w:t>
        </w:r>
        <w:proofErr w:type="spellStart"/>
        <w:r w:rsidRPr="00F02B50">
          <w:rPr>
            <w:rStyle w:val="Hyperlink"/>
            <w:rFonts w:ascii="Times New Roman" w:hAnsi="Times New Roman" w:cs="Times New Roman"/>
            <w:color w:val="1F1F1F"/>
            <w:sz w:val="24"/>
            <w:szCs w:val="24"/>
          </w:rPr>
          <w:t>dosimetry</w:t>
        </w:r>
        <w:proofErr w:type="spellEnd"/>
      </w:hyperlink>
      <w:r w:rsidRPr="00F02B50">
        <w:rPr>
          <w:rFonts w:ascii="Times New Roman" w:hAnsi="Times New Roman" w:cs="Times New Roman"/>
          <w:color w:val="1F1F1F"/>
          <w:sz w:val="24"/>
          <w:szCs w:val="24"/>
        </w:rPr>
        <w:t>, amongst others. However, the use of individual neutron </w:t>
      </w:r>
      <w:proofErr w:type="spellStart"/>
      <w:r w:rsidRPr="00F02B50">
        <w:rPr>
          <w:rFonts w:ascii="Times New Roman" w:hAnsi="Times New Roman" w:cs="Times New Roman"/>
          <w:color w:val="1F1F1F"/>
          <w:sz w:val="24"/>
          <w:szCs w:val="24"/>
        </w:rPr>
        <w:fldChar w:fldCharType="begin"/>
      </w:r>
      <w:r w:rsidRPr="00F02B50">
        <w:rPr>
          <w:rFonts w:ascii="Times New Roman" w:hAnsi="Times New Roman" w:cs="Times New Roman"/>
          <w:color w:val="1F1F1F"/>
          <w:sz w:val="24"/>
          <w:szCs w:val="24"/>
        </w:rPr>
        <w:instrText xml:space="preserve"> HYPERLINK "https://www.sciencedirect.com/topics/physics-and-astronomy/dosimeter" \o "Learn more about dosimetry from ScienceDirect's AI-generated Topic Pages" </w:instrText>
      </w:r>
      <w:r w:rsidRPr="00F02B50">
        <w:rPr>
          <w:rFonts w:ascii="Times New Roman" w:hAnsi="Times New Roman" w:cs="Times New Roman"/>
          <w:color w:val="1F1F1F"/>
          <w:sz w:val="24"/>
          <w:szCs w:val="24"/>
        </w:rPr>
        <w:fldChar w:fldCharType="separate"/>
      </w:r>
      <w:r w:rsidRPr="00F02B50">
        <w:rPr>
          <w:rStyle w:val="Hyperlink"/>
          <w:rFonts w:ascii="Times New Roman" w:hAnsi="Times New Roman" w:cs="Times New Roman"/>
          <w:color w:val="1F1F1F"/>
          <w:sz w:val="24"/>
          <w:szCs w:val="24"/>
        </w:rPr>
        <w:t>dosimetry</w:t>
      </w:r>
      <w:proofErr w:type="spellEnd"/>
      <w:r w:rsidRPr="00F02B50">
        <w:rPr>
          <w:rFonts w:ascii="Times New Roman" w:hAnsi="Times New Roman" w:cs="Times New Roman"/>
          <w:color w:val="1F1F1F"/>
          <w:sz w:val="24"/>
          <w:szCs w:val="24"/>
        </w:rPr>
        <w:fldChar w:fldCharType="end"/>
      </w:r>
      <w:r w:rsidRPr="00F02B50">
        <w:rPr>
          <w:rFonts w:ascii="Times New Roman" w:hAnsi="Times New Roman" w:cs="Times New Roman"/>
          <w:color w:val="1F1F1F"/>
          <w:sz w:val="24"/>
          <w:szCs w:val="24"/>
        </w:rPr>
        <w:t> has been developing more aggressively lately. In this regard, present study establishes a relationship between the neutron dosage and the optical property changes of graphite-rich materials caused by high doses of neutron radiation. This has been done with the intention of developing a novel, graphite-based radiation dosimeter. Herein, the TL yield of commercially graphite-rich materials (i.e. graphite sheet, 2B and HB grade pencils) irradiated by neutron radiation with doses ranging from 250 </w:t>
      </w:r>
      <w:proofErr w:type="spellStart"/>
      <w:r w:rsidRPr="00F02B50">
        <w:rPr>
          <w:rFonts w:ascii="Times New Roman" w:hAnsi="Times New Roman" w:cs="Times New Roman"/>
          <w:color w:val="1F1F1F"/>
          <w:sz w:val="24"/>
          <w:szCs w:val="24"/>
        </w:rPr>
        <w:t>Gy</w:t>
      </w:r>
      <w:proofErr w:type="spellEnd"/>
      <w:r w:rsidRPr="00F02B50">
        <w:rPr>
          <w:rFonts w:ascii="Times New Roman" w:hAnsi="Times New Roman" w:cs="Times New Roman"/>
          <w:color w:val="1F1F1F"/>
          <w:sz w:val="24"/>
          <w:szCs w:val="24"/>
        </w:rPr>
        <w:t xml:space="preserve"> to 1500 </w:t>
      </w:r>
      <w:proofErr w:type="spellStart"/>
      <w:r w:rsidRPr="00F02B50">
        <w:rPr>
          <w:rFonts w:ascii="Times New Roman" w:hAnsi="Times New Roman" w:cs="Times New Roman"/>
          <w:color w:val="1F1F1F"/>
          <w:sz w:val="24"/>
          <w:szCs w:val="24"/>
        </w:rPr>
        <w:t>Gy</w:t>
      </w:r>
      <w:proofErr w:type="spellEnd"/>
      <w:r w:rsidRPr="00F02B50">
        <w:rPr>
          <w:rFonts w:ascii="Times New Roman" w:hAnsi="Times New Roman" w:cs="Times New Roman"/>
          <w:color w:val="1F1F1F"/>
          <w:sz w:val="24"/>
          <w:szCs w:val="24"/>
        </w:rPr>
        <w:t xml:space="preserve"> has been investigated. The samples were bombarded with </w:t>
      </w:r>
      <w:hyperlink r:id="rId6" w:tooltip="Learn more about thermal neutrons from ScienceDirect's AI-generated Topic Pages" w:history="1">
        <w:r w:rsidRPr="00F02B50">
          <w:rPr>
            <w:rStyle w:val="Hyperlink"/>
            <w:rFonts w:ascii="Times New Roman" w:hAnsi="Times New Roman" w:cs="Times New Roman"/>
            <w:color w:val="1F1F1F"/>
            <w:sz w:val="24"/>
            <w:szCs w:val="24"/>
          </w:rPr>
          <w:t>thermal neutrons</w:t>
        </w:r>
      </w:hyperlink>
      <w:r w:rsidRPr="00F02B50">
        <w:rPr>
          <w:rFonts w:ascii="Times New Roman" w:hAnsi="Times New Roman" w:cs="Times New Roman"/>
          <w:color w:val="1F1F1F"/>
          <w:sz w:val="24"/>
          <w:szCs w:val="24"/>
        </w:rPr>
        <w:t> as well as a negligible amount of </w:t>
      </w:r>
      <w:hyperlink r:id="rId7" w:tooltip="Learn more about gamma rays from ScienceDirect's AI-generated Topic Pages" w:history="1">
        <w:r w:rsidRPr="00F02B50">
          <w:rPr>
            <w:rStyle w:val="Hyperlink"/>
            <w:rFonts w:ascii="Times New Roman" w:hAnsi="Times New Roman" w:cs="Times New Roman"/>
            <w:color w:val="1F1F1F"/>
            <w:sz w:val="24"/>
            <w:szCs w:val="24"/>
          </w:rPr>
          <w:t>gamma rays</w:t>
        </w:r>
      </w:hyperlink>
      <w:r w:rsidRPr="00F02B50">
        <w:rPr>
          <w:rFonts w:ascii="Times New Roman" w:hAnsi="Times New Roman" w:cs="Times New Roman"/>
          <w:color w:val="1F1F1F"/>
          <w:sz w:val="24"/>
          <w:szCs w:val="24"/>
        </w:rPr>
        <w:t xml:space="preserve">, from the nuclear reactor TRIGA-II installed at the Bangladesh Atomic Energy Commission. The shape of the glow curves was observed to be independent of the given dosage, with the predominant TL </w:t>
      </w:r>
      <w:proofErr w:type="spellStart"/>
      <w:r w:rsidRPr="00F02B50">
        <w:rPr>
          <w:rFonts w:ascii="Times New Roman" w:hAnsi="Times New Roman" w:cs="Times New Roman"/>
          <w:color w:val="1F1F1F"/>
          <w:sz w:val="24"/>
          <w:szCs w:val="24"/>
        </w:rPr>
        <w:t>dosimetric</w:t>
      </w:r>
      <w:proofErr w:type="spellEnd"/>
      <w:r w:rsidRPr="00F02B50">
        <w:rPr>
          <w:rFonts w:ascii="Times New Roman" w:hAnsi="Times New Roman" w:cs="Times New Roman"/>
          <w:color w:val="1F1F1F"/>
          <w:sz w:val="24"/>
          <w:szCs w:val="24"/>
        </w:rPr>
        <w:t xml:space="preserve"> peak maintained within the region of 163 °C–168 °C for each sample. By studying the glow curves of the irradiated samples, some of the most well theoretical models and techniques were used to compute the kinetic parameters such as the order of kinetics (b), </w:t>
      </w:r>
      <w:hyperlink r:id="rId8" w:tooltip="Learn more about activation energy from ScienceDirect's AI-generated Topic Pages" w:history="1">
        <w:r w:rsidRPr="00F02B50">
          <w:rPr>
            <w:rStyle w:val="Hyperlink"/>
            <w:rFonts w:ascii="Times New Roman" w:hAnsi="Times New Roman" w:cs="Times New Roman"/>
            <w:color w:val="1F1F1F"/>
            <w:sz w:val="24"/>
            <w:szCs w:val="24"/>
          </w:rPr>
          <w:t>activation energy</w:t>
        </w:r>
      </w:hyperlink>
      <w:r w:rsidRPr="00F02B50">
        <w:rPr>
          <w:rFonts w:ascii="Times New Roman" w:hAnsi="Times New Roman" w:cs="Times New Roman"/>
          <w:color w:val="1F1F1F"/>
          <w:sz w:val="24"/>
          <w:szCs w:val="24"/>
        </w:rPr>
        <w:t xml:space="preserve"> (E) or trap depth, frequency factor (s) or escape probability, and trap lifetime (τ). All of the samples were found to have a good linear response over the whole dosage range, with 2B grade of polymer pencil lead graphite (PPLGs) demonstrating a higher level of sensitivity than both HB grade and graphite sheet (GS) samples. Additionally, the level of sensitivity shown by each of them is highest at the lowest dosage that was given, and it decreases as the dose increases. Importantly, the phenomenon of dose-dependent structural modifications and internal annealing of defects has been observed by assessing the area of </w:t>
      </w:r>
      <w:proofErr w:type="spellStart"/>
      <w:r w:rsidRPr="00F02B50">
        <w:rPr>
          <w:rFonts w:ascii="Times New Roman" w:hAnsi="Times New Roman" w:cs="Times New Roman"/>
          <w:color w:val="1F1F1F"/>
          <w:sz w:val="24"/>
          <w:szCs w:val="24"/>
        </w:rPr>
        <w:t>deconvoluted</w:t>
      </w:r>
      <w:proofErr w:type="spellEnd"/>
      <w:r w:rsidRPr="00F02B50">
        <w:rPr>
          <w:rFonts w:ascii="Times New Roman" w:hAnsi="Times New Roman" w:cs="Times New Roman"/>
          <w:color w:val="1F1F1F"/>
          <w:sz w:val="24"/>
          <w:szCs w:val="24"/>
        </w:rPr>
        <w:t xml:space="preserve"> micro-Raman spectra of graphite-rich materials in high-frequency areas. This trend is consistent with the cyclical pattern reported in the intensity ratio of defect and graphite modes in previously investigated carbon-rich media. Such recurrent occurrences suggest the idea of employing Raman </w:t>
      </w:r>
      <w:proofErr w:type="spellStart"/>
      <w:r w:rsidRPr="00F02B50">
        <w:rPr>
          <w:rFonts w:ascii="Times New Roman" w:hAnsi="Times New Roman" w:cs="Times New Roman"/>
          <w:color w:val="1F1F1F"/>
          <w:sz w:val="24"/>
          <w:szCs w:val="24"/>
        </w:rPr>
        <w:t>microspectroscopy</w:t>
      </w:r>
      <w:proofErr w:type="spellEnd"/>
      <w:r w:rsidRPr="00F02B50">
        <w:rPr>
          <w:rFonts w:ascii="Times New Roman" w:hAnsi="Times New Roman" w:cs="Times New Roman"/>
          <w:color w:val="1F1F1F"/>
          <w:sz w:val="24"/>
          <w:szCs w:val="24"/>
        </w:rPr>
        <w:t xml:space="preserve"> as a radiation damage study tool for </w:t>
      </w:r>
      <w:hyperlink r:id="rId9" w:tooltip="Learn more about carbonaceous materials from ScienceDirect's AI-generated Topic Pages" w:history="1">
        <w:r w:rsidRPr="00F02B50">
          <w:rPr>
            <w:rStyle w:val="Hyperlink"/>
            <w:rFonts w:ascii="Times New Roman" w:hAnsi="Times New Roman" w:cs="Times New Roman"/>
            <w:color w:val="1F1F1F"/>
            <w:sz w:val="24"/>
            <w:szCs w:val="24"/>
          </w:rPr>
          <w:t>carbonaceous materials</w:t>
        </w:r>
      </w:hyperlink>
      <w:r w:rsidRPr="00F02B50">
        <w:rPr>
          <w:rFonts w:ascii="Times New Roman" w:hAnsi="Times New Roman" w:cs="Times New Roman"/>
          <w:color w:val="1F1F1F"/>
          <w:sz w:val="24"/>
          <w:szCs w:val="24"/>
        </w:rPr>
        <w:t>. The excellent responses of the key TL properties of the 2B grade pencil demonstrate its usefulness as a passive radiation dosimeter. As a consequence, the findings suggest that graphite-rich materials have the potential to be useful as a low-cost passive radiation dosimeter, with applications in </w:t>
      </w:r>
      <w:hyperlink r:id="rId10" w:tooltip="Learn more about radiotherapy from ScienceDirect's AI-generated Topic Pages" w:history="1">
        <w:r w:rsidRPr="00F02B50">
          <w:rPr>
            <w:rStyle w:val="Hyperlink"/>
            <w:rFonts w:ascii="Times New Roman" w:hAnsi="Times New Roman" w:cs="Times New Roman"/>
            <w:color w:val="1F1F1F"/>
            <w:sz w:val="24"/>
            <w:szCs w:val="24"/>
          </w:rPr>
          <w:t>radiotherapy</w:t>
        </w:r>
      </w:hyperlink>
      <w:r w:rsidRPr="00F02B50">
        <w:rPr>
          <w:rFonts w:ascii="Times New Roman" w:hAnsi="Times New Roman" w:cs="Times New Roman"/>
          <w:color w:val="1F1F1F"/>
          <w:sz w:val="24"/>
          <w:szCs w:val="24"/>
        </w:rPr>
        <w:t> and manufacturing.</w:t>
      </w:r>
    </w:p>
    <w:p w:rsidR="00F02B50" w:rsidRPr="00F02B50" w:rsidRDefault="00F02B50" w:rsidP="00F02B50">
      <w:pPr>
        <w:jc w:val="both"/>
        <w:rPr>
          <w:rFonts w:ascii="Times New Roman" w:hAnsi="Times New Roman" w:cs="Times New Roman"/>
          <w:b/>
          <w:bCs/>
          <w:color w:val="4C4C4C"/>
          <w:sz w:val="24"/>
          <w:szCs w:val="24"/>
          <w:shd w:val="clear" w:color="auto" w:fill="FFFFFF"/>
        </w:rPr>
      </w:pPr>
      <w:r w:rsidRPr="00F02B50">
        <w:rPr>
          <w:rFonts w:ascii="Times New Roman" w:hAnsi="Times New Roman" w:cs="Times New Roman"/>
          <w:b/>
          <w:bCs/>
          <w:color w:val="4C4C4C"/>
          <w:sz w:val="24"/>
          <w:szCs w:val="24"/>
          <w:shd w:val="clear" w:color="auto" w:fill="FFFFFF"/>
        </w:rPr>
        <w:t>Conference / Journal Link</w:t>
      </w:r>
    </w:p>
    <w:bookmarkStart w:id="1" w:name="cj_link"/>
    <w:p w:rsidR="00F02B50" w:rsidRPr="00F02B50" w:rsidRDefault="00F02B50" w:rsidP="00F02B50">
      <w:pPr>
        <w:jc w:val="both"/>
        <w:rPr>
          <w:rFonts w:ascii="Times New Roman" w:hAnsi="Times New Roman" w:cs="Times New Roman"/>
          <w:sz w:val="24"/>
          <w:szCs w:val="24"/>
        </w:rPr>
      </w:pPr>
      <w:r w:rsidRPr="00F02B50">
        <w:rPr>
          <w:rFonts w:ascii="Times New Roman" w:hAnsi="Times New Roman" w:cs="Times New Roman"/>
          <w:sz w:val="24"/>
          <w:szCs w:val="24"/>
        </w:rPr>
        <w:fldChar w:fldCharType="begin"/>
      </w:r>
      <w:r w:rsidRPr="00F02B50">
        <w:rPr>
          <w:rFonts w:ascii="Times New Roman" w:hAnsi="Times New Roman" w:cs="Times New Roman"/>
          <w:sz w:val="24"/>
          <w:szCs w:val="24"/>
        </w:rPr>
        <w:instrText xml:space="preserve"> HYPERLINK "https://www.sciencedirect.com/science/article/abs/pii/S0969804323001240" \t "_blank" </w:instrText>
      </w:r>
      <w:r w:rsidRPr="00F02B50">
        <w:rPr>
          <w:rFonts w:ascii="Times New Roman" w:hAnsi="Times New Roman" w:cs="Times New Roman"/>
          <w:sz w:val="24"/>
          <w:szCs w:val="24"/>
        </w:rPr>
        <w:fldChar w:fldCharType="separate"/>
      </w:r>
      <w:r w:rsidRPr="00F02B50">
        <w:rPr>
          <w:rStyle w:val="Hyperlink"/>
          <w:rFonts w:ascii="Times New Roman" w:hAnsi="Times New Roman" w:cs="Times New Roman"/>
          <w:color w:val="424242"/>
          <w:sz w:val="24"/>
          <w:szCs w:val="24"/>
          <w:u w:val="none"/>
          <w:shd w:val="clear" w:color="auto" w:fill="FFFFFF"/>
        </w:rPr>
        <w:t>https://www.sciencedirect.com/science/article/abs/pii/S0969804323001240</w:t>
      </w:r>
      <w:r w:rsidRPr="00F02B50">
        <w:rPr>
          <w:rFonts w:ascii="Times New Roman" w:hAnsi="Times New Roman" w:cs="Times New Roman"/>
          <w:sz w:val="24"/>
          <w:szCs w:val="24"/>
        </w:rPr>
        <w:fldChar w:fldCharType="end"/>
      </w:r>
      <w:bookmarkEnd w:id="1"/>
    </w:p>
    <w:sectPr w:rsidR="00F02B50" w:rsidRPr="00F02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432"/>
    <w:rsid w:val="002D76C8"/>
    <w:rsid w:val="005B3432"/>
    <w:rsid w:val="0065204A"/>
    <w:rsid w:val="00F02B5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A2B7D-C72B-42B7-8EEE-C8EF73EF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2B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43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ysics-and-astronomy/activation-energy" TargetMode="External"/><Relationship Id="rId3" Type="http://schemas.openxmlformats.org/officeDocument/2006/relationships/webSettings" Target="webSettings.xml"/><Relationship Id="rId7" Type="http://schemas.openxmlformats.org/officeDocument/2006/relationships/hyperlink" Target="https://www.sciencedirect.com/topics/physics-and-astronomy/gamma-radi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thermal-neutron" TargetMode="External"/><Relationship Id="rId11" Type="http://schemas.openxmlformats.org/officeDocument/2006/relationships/fontTable" Target="fontTable.xml"/><Relationship Id="rId5" Type="http://schemas.openxmlformats.org/officeDocument/2006/relationships/hyperlink" Target="https://www.sciencedirect.com/topics/physics-and-astronomy/environmental-dosimetry" TargetMode="External"/><Relationship Id="rId10" Type="http://schemas.openxmlformats.org/officeDocument/2006/relationships/hyperlink" Target="https://www.sciencedirect.com/topics/physics-and-astronomy/radiation-therapy" TargetMode="External"/><Relationship Id="rId4" Type="http://schemas.openxmlformats.org/officeDocument/2006/relationships/hyperlink" Target="https://www.sciencedirect.com/topics/physics-and-astronomy/thermoluminescence" TargetMode="External"/><Relationship Id="rId9" Type="http://schemas.openxmlformats.org/officeDocument/2006/relationships/hyperlink" Target="https://www.sciencedirect.com/topics/physics-and-astronomy/carbonaceous-mate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2024-06-13T04:56:00Z</dcterms:created>
  <dcterms:modified xsi:type="dcterms:W3CDTF">2024-06-13T05:10:00Z</dcterms:modified>
</cp:coreProperties>
</file>