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D045D0" w:rsidRDefault="00D045D0">
      <w:pPr>
        <w:rPr>
          <w:rStyle w:val="blue-tooltip"/>
          <w:rFonts w:ascii="Times New Roman" w:hAnsi="Times New Roman" w:cs="Times New Roman"/>
          <w:bCs/>
          <w:sz w:val="40"/>
          <w:szCs w:val="40"/>
        </w:rPr>
      </w:pPr>
      <w:r w:rsidRPr="00D045D0">
        <w:rPr>
          <w:rStyle w:val="blue-tooltip"/>
          <w:rFonts w:ascii="Times New Roman" w:hAnsi="Times New Roman" w:cs="Times New Roman"/>
          <w:bCs/>
          <w:sz w:val="40"/>
          <w:szCs w:val="40"/>
        </w:rPr>
        <w:t>Investigation of the Effect of 131I on Blood Parameters for Thyroid Cancer Treatment</w:t>
      </w:r>
    </w:p>
    <w:p w:rsidR="00D045D0" w:rsidRDefault="00D045D0">
      <w:pPr>
        <w:rPr>
          <w:rStyle w:val="blue-tooltip"/>
          <w:rFonts w:asciiTheme="majorHAnsi" w:hAnsiTheme="majorHAnsi" w:cstheme="majorHAnsi"/>
          <w:b/>
          <w:bCs/>
          <w:sz w:val="24"/>
          <w:szCs w:val="24"/>
        </w:rPr>
      </w:pPr>
    </w:p>
    <w:p w:rsidR="00286666" w:rsidRPr="00D045D0" w:rsidRDefault="00056A8C" w:rsidP="00D045D0">
      <w:pPr>
        <w:jc w:val="both"/>
        <w:rPr>
          <w:rStyle w:val="blue-tooltip"/>
          <w:rFonts w:ascii="Times New Roman" w:hAnsi="Times New Roman" w:cs="Times New Roman"/>
          <w:b/>
          <w:bCs/>
          <w:color w:val="0070C0"/>
          <w:sz w:val="24"/>
          <w:szCs w:val="24"/>
        </w:rPr>
      </w:pPr>
      <w:r w:rsidRPr="00A105B7">
        <w:rPr>
          <w:rStyle w:val="blue-tooltip"/>
          <w:rFonts w:ascii="Times New Roman" w:hAnsi="Times New Roman" w:cs="Times New Roman"/>
          <w:b/>
          <w:bCs/>
          <w:sz w:val="24"/>
          <w:szCs w:val="24"/>
        </w:rPr>
        <w:t xml:space="preserve">Author: </w:t>
      </w:r>
      <w:r w:rsidR="009437E0" w:rsidRPr="00A105B7">
        <w:rPr>
          <w:rStyle w:val="blue-tooltip"/>
          <w:rFonts w:ascii="Times New Roman" w:hAnsi="Times New Roman" w:cs="Times New Roman"/>
          <w:sz w:val="24"/>
          <w:szCs w:val="24"/>
        </w:rPr>
        <w:t xml:space="preserve"> </w:t>
      </w:r>
      <w:proofErr w:type="spellStart"/>
      <w:r w:rsidR="00D045D0" w:rsidRPr="00D045D0">
        <w:rPr>
          <w:rStyle w:val="given-name"/>
          <w:rFonts w:ascii="Times New Roman" w:hAnsi="Times New Roman" w:cs="Times New Roman"/>
          <w:color w:val="0070C0"/>
          <w:sz w:val="24"/>
          <w:szCs w:val="24"/>
        </w:rPr>
        <w:t>Mayeen</w:t>
      </w:r>
      <w:proofErr w:type="spellEnd"/>
      <w:r w:rsidR="00D045D0" w:rsidRPr="00D045D0">
        <w:rPr>
          <w:rStyle w:val="given-name"/>
          <w:rFonts w:ascii="Times New Roman" w:hAnsi="Times New Roman" w:cs="Times New Roman"/>
          <w:color w:val="0070C0"/>
          <w:sz w:val="24"/>
          <w:szCs w:val="24"/>
        </w:rPr>
        <w:t xml:space="preserve"> Uddin</w:t>
      </w:r>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Khandaker</w:t>
      </w:r>
      <w:proofErr w:type="spellEnd"/>
      <w:r w:rsidR="00D045D0" w:rsidRPr="00D045D0">
        <w:rPr>
          <w:rFonts w:ascii="Times New Roman" w:hAnsi="Times New Roman" w:cs="Times New Roman"/>
          <w:color w:val="0070C0"/>
          <w:sz w:val="24"/>
          <w:szCs w:val="24"/>
        </w:rPr>
        <w:t xml:space="preserve">, </w:t>
      </w:r>
      <w:r w:rsidR="00D045D0" w:rsidRPr="00D045D0">
        <w:rPr>
          <w:rStyle w:val="given-name"/>
          <w:rFonts w:ascii="Times New Roman" w:hAnsi="Times New Roman" w:cs="Times New Roman"/>
          <w:color w:val="0070C0"/>
          <w:sz w:val="24"/>
          <w:szCs w:val="24"/>
        </w:rPr>
        <w:t>Mehdi</w:t>
      </w:r>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Hassanpour</w:t>
      </w:r>
      <w:proofErr w:type="spellEnd"/>
      <w:r w:rsidR="00D045D0" w:rsidRPr="00D045D0">
        <w:rPr>
          <w:rFonts w:ascii="Times New Roman" w:hAnsi="Times New Roman" w:cs="Times New Roman"/>
          <w:color w:val="0070C0"/>
          <w:sz w:val="24"/>
          <w:szCs w:val="24"/>
        </w:rPr>
        <w:t xml:space="preserve">, </w:t>
      </w:r>
      <w:proofErr w:type="spellStart"/>
      <w:r w:rsidR="00D045D0" w:rsidRPr="00D045D0">
        <w:rPr>
          <w:rStyle w:val="given-name"/>
          <w:rFonts w:ascii="Times New Roman" w:hAnsi="Times New Roman" w:cs="Times New Roman"/>
          <w:color w:val="0070C0"/>
          <w:sz w:val="24"/>
          <w:szCs w:val="24"/>
        </w:rPr>
        <w:t>Saeedeh</w:t>
      </w:r>
      <w:proofErr w:type="spellEnd"/>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Khezripour</w:t>
      </w:r>
      <w:proofErr w:type="spellEnd"/>
      <w:r w:rsidR="00D045D0" w:rsidRPr="00D045D0">
        <w:rPr>
          <w:rFonts w:ascii="Times New Roman" w:hAnsi="Times New Roman" w:cs="Times New Roman"/>
          <w:color w:val="0070C0"/>
          <w:sz w:val="24"/>
          <w:szCs w:val="24"/>
        </w:rPr>
        <w:t xml:space="preserve">, </w:t>
      </w:r>
      <w:r w:rsidR="00D045D0" w:rsidRPr="00D045D0">
        <w:rPr>
          <w:rStyle w:val="given-name"/>
          <w:rFonts w:ascii="Times New Roman" w:hAnsi="Times New Roman" w:cs="Times New Roman"/>
          <w:color w:val="0070C0"/>
          <w:sz w:val="24"/>
          <w:szCs w:val="24"/>
        </w:rPr>
        <w:t>Mohammad Reza</w:t>
      </w:r>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Rezaei</w:t>
      </w:r>
      <w:proofErr w:type="spellEnd"/>
      <w:r w:rsidR="00D045D0" w:rsidRPr="00D045D0">
        <w:rPr>
          <w:rFonts w:ascii="Times New Roman" w:hAnsi="Times New Roman" w:cs="Times New Roman"/>
          <w:color w:val="0070C0"/>
          <w:sz w:val="24"/>
          <w:szCs w:val="24"/>
        </w:rPr>
        <w:t xml:space="preserve">, </w:t>
      </w:r>
      <w:proofErr w:type="spellStart"/>
      <w:r w:rsidR="00D045D0" w:rsidRPr="00D045D0">
        <w:rPr>
          <w:rStyle w:val="given-name"/>
          <w:rFonts w:ascii="Times New Roman" w:hAnsi="Times New Roman" w:cs="Times New Roman"/>
          <w:color w:val="0070C0"/>
          <w:sz w:val="24"/>
          <w:szCs w:val="24"/>
        </w:rPr>
        <w:t>Atefeh</w:t>
      </w:r>
      <w:proofErr w:type="spellEnd"/>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Bazghandi</w:t>
      </w:r>
      <w:proofErr w:type="spellEnd"/>
      <w:r w:rsidR="00D045D0" w:rsidRPr="00D045D0">
        <w:rPr>
          <w:rFonts w:ascii="Times New Roman" w:hAnsi="Times New Roman" w:cs="Times New Roman"/>
          <w:color w:val="0070C0"/>
          <w:sz w:val="24"/>
          <w:szCs w:val="24"/>
        </w:rPr>
        <w:t xml:space="preserve">, </w:t>
      </w:r>
      <w:proofErr w:type="spellStart"/>
      <w:r w:rsidR="00D045D0" w:rsidRPr="00D045D0">
        <w:rPr>
          <w:rStyle w:val="given-name"/>
          <w:rFonts w:ascii="Times New Roman" w:hAnsi="Times New Roman" w:cs="Times New Roman"/>
          <w:color w:val="0070C0"/>
          <w:sz w:val="24"/>
          <w:szCs w:val="24"/>
        </w:rPr>
        <w:t>Marzieh</w:t>
      </w:r>
      <w:proofErr w:type="spellEnd"/>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Hassanpour</w:t>
      </w:r>
      <w:proofErr w:type="spellEnd"/>
      <w:r w:rsidR="00D045D0" w:rsidRPr="00D045D0">
        <w:rPr>
          <w:rFonts w:ascii="Times New Roman" w:hAnsi="Times New Roman" w:cs="Times New Roman"/>
          <w:color w:val="0070C0"/>
          <w:sz w:val="24"/>
          <w:szCs w:val="24"/>
        </w:rPr>
        <w:t xml:space="preserve">, </w:t>
      </w:r>
      <w:r w:rsidR="00D045D0" w:rsidRPr="00D045D0">
        <w:rPr>
          <w:rStyle w:val="given-name"/>
          <w:rFonts w:ascii="Times New Roman" w:hAnsi="Times New Roman" w:cs="Times New Roman"/>
          <w:color w:val="0070C0"/>
          <w:sz w:val="24"/>
          <w:szCs w:val="24"/>
        </w:rPr>
        <w:t xml:space="preserve">Mohammad </w:t>
      </w:r>
      <w:proofErr w:type="spellStart"/>
      <w:r w:rsidR="00D045D0" w:rsidRPr="00D045D0">
        <w:rPr>
          <w:rStyle w:val="given-name"/>
          <w:rFonts w:ascii="Times New Roman" w:hAnsi="Times New Roman" w:cs="Times New Roman"/>
          <w:color w:val="0070C0"/>
          <w:sz w:val="24"/>
          <w:szCs w:val="24"/>
        </w:rPr>
        <w:t>Rashed</w:t>
      </w:r>
      <w:proofErr w:type="spellEnd"/>
      <w:r w:rsidR="00D045D0" w:rsidRPr="00D045D0">
        <w:rPr>
          <w:rStyle w:val="given-name"/>
          <w:rFonts w:ascii="Times New Roman" w:hAnsi="Times New Roman" w:cs="Times New Roman"/>
          <w:color w:val="0070C0"/>
          <w:sz w:val="24"/>
          <w:szCs w:val="24"/>
        </w:rPr>
        <w:t xml:space="preserve"> Iqbal</w:t>
      </w:r>
      <w:r w:rsidR="00D045D0" w:rsidRPr="00D045D0">
        <w:rPr>
          <w:rStyle w:val="react-xocs-alternative-link"/>
          <w:rFonts w:ascii="Times New Roman" w:hAnsi="Times New Roman" w:cs="Times New Roman"/>
          <w:color w:val="0070C0"/>
          <w:sz w:val="24"/>
          <w:szCs w:val="24"/>
        </w:rPr>
        <w:t xml:space="preserve"> </w:t>
      </w:r>
      <w:proofErr w:type="spellStart"/>
      <w:r w:rsidR="00D045D0" w:rsidRPr="00D045D0">
        <w:rPr>
          <w:rStyle w:val="text"/>
          <w:rFonts w:ascii="Times New Roman" w:hAnsi="Times New Roman" w:cs="Times New Roman"/>
          <w:color w:val="0070C0"/>
          <w:sz w:val="24"/>
          <w:szCs w:val="24"/>
        </w:rPr>
        <w:t>Faruque</w:t>
      </w:r>
      <w:proofErr w:type="spellEnd"/>
      <w:r w:rsidR="00D045D0" w:rsidRPr="00D045D0">
        <w:rPr>
          <w:rFonts w:ascii="Times New Roman" w:hAnsi="Times New Roman" w:cs="Times New Roman"/>
          <w:color w:val="0070C0"/>
          <w:sz w:val="24"/>
          <w:szCs w:val="24"/>
        </w:rPr>
        <w:t xml:space="preserve">, </w:t>
      </w:r>
      <w:r w:rsidR="00D045D0" w:rsidRPr="00D045D0">
        <w:rPr>
          <w:rStyle w:val="given-name"/>
          <w:rFonts w:ascii="Times New Roman" w:hAnsi="Times New Roman" w:cs="Times New Roman"/>
          <w:color w:val="0070C0"/>
          <w:sz w:val="24"/>
          <w:szCs w:val="24"/>
        </w:rPr>
        <w:t>D.A.</w:t>
      </w:r>
      <w:r w:rsidR="00D045D0" w:rsidRPr="00D045D0">
        <w:rPr>
          <w:rStyle w:val="react-xocs-alternative-link"/>
          <w:rFonts w:ascii="Times New Roman" w:hAnsi="Times New Roman" w:cs="Times New Roman"/>
          <w:color w:val="0070C0"/>
          <w:sz w:val="24"/>
          <w:szCs w:val="24"/>
        </w:rPr>
        <w:t xml:space="preserve"> </w:t>
      </w:r>
      <w:r w:rsidR="00D045D0" w:rsidRPr="00D045D0">
        <w:rPr>
          <w:rStyle w:val="text"/>
          <w:rFonts w:ascii="Times New Roman" w:hAnsi="Times New Roman" w:cs="Times New Roman"/>
          <w:color w:val="0070C0"/>
          <w:sz w:val="24"/>
          <w:szCs w:val="24"/>
        </w:rPr>
        <w:t>Bradley</w:t>
      </w:r>
    </w:p>
    <w:p w:rsidR="00056A8C" w:rsidRPr="00D045D0" w:rsidRDefault="00056A8C" w:rsidP="00D045D0">
      <w:pPr>
        <w:jc w:val="both"/>
        <w:rPr>
          <w:rStyle w:val="blue-tooltip"/>
          <w:rFonts w:ascii="Times New Roman" w:hAnsi="Times New Roman" w:cs="Times New Roman"/>
          <w:b/>
          <w:color w:val="0070C0"/>
          <w:sz w:val="24"/>
          <w:szCs w:val="24"/>
        </w:rPr>
      </w:pPr>
    </w:p>
    <w:p w:rsidR="00D045D0" w:rsidRPr="00D045D0" w:rsidRDefault="00286666" w:rsidP="00D045D0">
      <w:pPr>
        <w:jc w:val="both"/>
        <w:rPr>
          <w:rStyle w:val="blue-tooltip"/>
          <w:rFonts w:ascii="Times New Roman" w:hAnsi="Times New Roman" w:cs="Times New Roman"/>
          <w:b/>
          <w:sz w:val="24"/>
          <w:szCs w:val="24"/>
        </w:rPr>
      </w:pPr>
      <w:r w:rsidRPr="00D045D0">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D045D0" w:rsidRPr="00D045D0" w:rsidTr="00D045D0">
        <w:trPr>
          <w:tblCellSpacing w:w="15" w:type="dxa"/>
        </w:trPr>
        <w:tc>
          <w:tcPr>
            <w:tcW w:w="0" w:type="auto"/>
            <w:vAlign w:val="center"/>
            <w:hideMark/>
          </w:tcPr>
          <w:p w:rsidR="00D045D0" w:rsidRPr="00D045D0" w:rsidRDefault="00D045D0" w:rsidP="00D045D0">
            <w:pPr>
              <w:jc w:val="both"/>
              <w:rPr>
                <w:rFonts w:ascii="Times New Roman" w:hAnsi="Times New Roman" w:cs="Times New Roman"/>
                <w:sz w:val="24"/>
                <w:szCs w:val="24"/>
              </w:rPr>
            </w:pPr>
          </w:p>
        </w:tc>
        <w:tc>
          <w:tcPr>
            <w:tcW w:w="5000" w:type="pct"/>
            <w:vAlign w:val="center"/>
            <w:hideMark/>
          </w:tcPr>
          <w:p w:rsidR="00D045D0" w:rsidRPr="00D045D0" w:rsidRDefault="00D045D0" w:rsidP="00D045D0">
            <w:pPr>
              <w:pStyle w:val="NormalWeb"/>
              <w:spacing w:before="0" w:after="0"/>
              <w:jc w:val="both"/>
            </w:pPr>
            <w:hyperlink r:id="rId4" w:tooltip="Learn more about Hematopoiesis from ScienceDirect's AI-generated Topic Pages" w:history="1">
              <w:r w:rsidRPr="00D045D0">
                <w:rPr>
                  <w:rStyle w:val="Hyperlink"/>
                  <w:color w:val="2E2E2E"/>
                </w:rPr>
                <w:t>Hematopoiesis</w:t>
              </w:r>
            </w:hyperlink>
            <w:r w:rsidRPr="00D045D0">
              <w:rPr>
                <w:color w:val="2E2E2E"/>
              </w:rPr>
              <w:t xml:space="preserve"> plays a significant role in mammals' life. Hematopoietic damage due to radiations of different arrays, such as ionizing and non-ionizing radiations, could lead to external infections, internal infections, and anemia. Different cancers' treatment using radioactive sources affects the blood parameters (i.e., mature cells, immature cells, and stem cells). In the present paper, the effect of intravascular injection of Iodine-131 (131I) on the blood parameters for thyroid cancer treatment has been investigated utilizing the MCNPX code and </w:t>
            </w:r>
            <w:proofErr w:type="spellStart"/>
            <w:r w:rsidRPr="00D045D0">
              <w:rPr>
                <w:color w:val="2E2E2E"/>
              </w:rPr>
              <w:t>Runge-Kutta</w:t>
            </w:r>
            <w:proofErr w:type="spellEnd"/>
            <w:r w:rsidRPr="00D045D0">
              <w:rPr>
                <w:color w:val="2E2E2E"/>
              </w:rPr>
              <w:t xml:space="preserve"> fourth-order method. The simulation results showed that the accumulated absorbed dose in adult phantom (ORNL whole body phantom) due to normalized intravascular injection of 1 </w:t>
            </w:r>
            <w:proofErr w:type="spellStart"/>
            <w:r w:rsidRPr="00D045D0">
              <w:rPr>
                <w:color w:val="2E2E2E"/>
              </w:rPr>
              <w:t>mCi</w:t>
            </w:r>
            <w:proofErr w:type="spellEnd"/>
            <w:r w:rsidRPr="00D045D0">
              <w:rPr>
                <w:color w:val="2E2E2E"/>
              </w:rPr>
              <w:t xml:space="preserve"> (</w:t>
            </w:r>
            <w:proofErr w:type="spellStart"/>
            <w:r w:rsidRPr="00D045D0">
              <w:rPr>
                <w:color w:val="2E2E2E"/>
              </w:rPr>
              <w:t>mCi</w:t>
            </w:r>
            <w:proofErr w:type="spellEnd"/>
            <w:r w:rsidRPr="00D045D0">
              <w:rPr>
                <w:color w:val="2E2E2E"/>
              </w:rPr>
              <w:t>) of 131I was 1.97 × 10−2 </w:t>
            </w:r>
            <w:proofErr w:type="spellStart"/>
            <w:r w:rsidRPr="00D045D0">
              <w:rPr>
                <w:color w:val="2E2E2E"/>
              </w:rPr>
              <w:t>Sv</w:t>
            </w:r>
            <w:proofErr w:type="spellEnd"/>
            <w:r w:rsidRPr="00D045D0">
              <w:rPr>
                <w:color w:val="2E2E2E"/>
              </w:rPr>
              <w:t>. Based on the accumulated absorbed dose, the blood parameters show a function of injected 131I activity, and their variation in the activity range of 15–300 </w:t>
            </w:r>
            <w:proofErr w:type="spellStart"/>
            <w:r w:rsidRPr="00D045D0">
              <w:rPr>
                <w:color w:val="2E2E2E"/>
              </w:rPr>
              <w:t>mCi</w:t>
            </w:r>
            <w:proofErr w:type="spellEnd"/>
            <w:r w:rsidRPr="00D045D0">
              <w:rPr>
                <w:color w:val="2E2E2E"/>
              </w:rPr>
              <w:t xml:space="preserve"> was calculated using the fourth-order </w:t>
            </w:r>
            <w:proofErr w:type="spellStart"/>
            <w:r w:rsidRPr="00D045D0">
              <w:rPr>
                <w:color w:val="2E2E2E"/>
              </w:rPr>
              <w:t>Runge-Kutta</w:t>
            </w:r>
            <w:proofErr w:type="spellEnd"/>
            <w:r w:rsidRPr="00D045D0">
              <w:rPr>
                <w:color w:val="2E2E2E"/>
              </w:rPr>
              <w:t xml:space="preserve"> method. It shows that injecting 131I with an activity of less than 150 </w:t>
            </w:r>
            <w:proofErr w:type="spellStart"/>
            <w:r w:rsidRPr="00D045D0">
              <w:rPr>
                <w:color w:val="2E2E2E"/>
              </w:rPr>
              <w:t>mCi</w:t>
            </w:r>
            <w:proofErr w:type="spellEnd"/>
            <w:r w:rsidRPr="00D045D0">
              <w:rPr>
                <w:color w:val="2E2E2E"/>
              </w:rPr>
              <w:t xml:space="preserve"> does not have much effect on blood parameters in the period of two to eight days. But, the injection of 131I with an activity greater than 150 </w:t>
            </w:r>
            <w:proofErr w:type="spellStart"/>
            <w:r w:rsidRPr="00D045D0">
              <w:rPr>
                <w:color w:val="2E2E2E"/>
              </w:rPr>
              <w:t>mCi</w:t>
            </w:r>
            <w:proofErr w:type="spellEnd"/>
            <w:r w:rsidRPr="00D045D0">
              <w:rPr>
                <w:color w:val="2E2E2E"/>
              </w:rPr>
              <w:t xml:space="preserve"> and up to a maximum value of 300 </w:t>
            </w:r>
            <w:proofErr w:type="spellStart"/>
            <w:r w:rsidRPr="00D045D0">
              <w:rPr>
                <w:color w:val="2E2E2E"/>
              </w:rPr>
              <w:t>mCi</w:t>
            </w:r>
            <w:proofErr w:type="spellEnd"/>
            <w:r w:rsidRPr="00D045D0">
              <w:rPr>
                <w:color w:val="2E2E2E"/>
              </w:rPr>
              <w:t>, reduces blood parameters by a maximum of 21.21% in a period of two to eight days. Based on the smaller variation (in percent) of blood parameters due to the injection of low activity 131I (&lt;150 </w:t>
            </w:r>
            <w:proofErr w:type="spellStart"/>
            <w:r w:rsidRPr="00D045D0">
              <w:rPr>
                <w:color w:val="2E2E2E"/>
              </w:rPr>
              <w:t>mCi</w:t>
            </w:r>
            <w:proofErr w:type="spellEnd"/>
            <w:r w:rsidRPr="00D045D0">
              <w:rPr>
                <w:color w:val="2E2E2E"/>
              </w:rPr>
              <w:t xml:space="preserve">), it can be mentioned that thyroid cancer treatment has an insignificant effect on the blood parameters. Besides, it is recommended to integrate the MCNPX code and </w:t>
            </w:r>
            <w:proofErr w:type="spellStart"/>
            <w:r w:rsidRPr="00D045D0">
              <w:rPr>
                <w:color w:val="2E2E2E"/>
              </w:rPr>
              <w:t>Runge-Kutta</w:t>
            </w:r>
            <w:proofErr w:type="spellEnd"/>
            <w:r w:rsidRPr="00D045D0">
              <w:rPr>
                <w:color w:val="2E2E2E"/>
              </w:rPr>
              <w:t xml:space="preserve"> fourth-order method to study the effect of radiation exposure on the blood parameters.</w:t>
            </w:r>
          </w:p>
        </w:tc>
      </w:tr>
    </w:tbl>
    <w:p w:rsidR="00286666" w:rsidRPr="00D045D0" w:rsidRDefault="00286666" w:rsidP="00D045D0">
      <w:pPr>
        <w:jc w:val="both"/>
        <w:rPr>
          <w:rStyle w:val="blue-tooltip"/>
          <w:rFonts w:ascii="Times New Roman" w:hAnsi="Times New Roman" w:cs="Times New Roman"/>
          <w:b/>
          <w:sz w:val="24"/>
          <w:szCs w:val="24"/>
        </w:rPr>
      </w:pPr>
      <w:r w:rsidRPr="00D045D0">
        <w:rPr>
          <w:rStyle w:val="blue-tooltip"/>
          <w:rFonts w:ascii="Times New Roman" w:hAnsi="Times New Roman" w:cs="Times New Roman"/>
          <w:b/>
          <w:sz w:val="24"/>
          <w:szCs w:val="24"/>
        </w:rPr>
        <w:t xml:space="preserve"> </w:t>
      </w:r>
      <w:r w:rsidR="00C433C0" w:rsidRPr="00D045D0">
        <w:rPr>
          <w:rStyle w:val="blue-tooltip"/>
          <w:rFonts w:ascii="Times New Roman" w:hAnsi="Times New Roman" w:cs="Times New Roman"/>
          <w:b/>
          <w:sz w:val="24"/>
          <w:szCs w:val="24"/>
        </w:rPr>
        <w:t xml:space="preserve"> </w:t>
      </w:r>
      <w:r w:rsidR="004F276A" w:rsidRPr="00D045D0">
        <w:rPr>
          <w:rStyle w:val="blue-tooltip"/>
          <w:rFonts w:ascii="Times New Roman" w:hAnsi="Times New Roman" w:cs="Times New Roman"/>
          <w:b/>
          <w:sz w:val="24"/>
          <w:szCs w:val="24"/>
        </w:rPr>
        <w:t xml:space="preserve"> </w:t>
      </w:r>
    </w:p>
    <w:p w:rsidR="000816E0" w:rsidRPr="00D045D0" w:rsidRDefault="000816E0" w:rsidP="00D045D0">
      <w:pPr>
        <w:spacing w:before="150" w:after="150" w:line="240" w:lineRule="auto"/>
        <w:jc w:val="both"/>
        <w:rPr>
          <w:rFonts w:ascii="Times New Roman" w:hAnsi="Times New Roman" w:cs="Times New Roman"/>
          <w:b/>
          <w:bCs/>
          <w:sz w:val="24"/>
          <w:szCs w:val="24"/>
          <w:shd w:val="clear" w:color="auto" w:fill="FFFFFF"/>
        </w:rPr>
      </w:pPr>
      <w:r w:rsidRPr="00D045D0">
        <w:rPr>
          <w:rFonts w:ascii="Times New Roman" w:hAnsi="Times New Roman" w:cs="Times New Roman"/>
          <w:b/>
          <w:bCs/>
          <w:sz w:val="24"/>
          <w:szCs w:val="24"/>
          <w:shd w:val="clear" w:color="auto" w:fill="FFFFFF"/>
        </w:rPr>
        <w:t>Conference / Journal Link:</w:t>
      </w:r>
    </w:p>
    <w:bookmarkStart w:id="0" w:name="cj_link"/>
    <w:p w:rsidR="00D045D0" w:rsidRPr="00D045D0" w:rsidRDefault="00D045D0" w:rsidP="00D045D0">
      <w:pPr>
        <w:spacing w:before="150" w:after="150" w:line="240" w:lineRule="auto"/>
        <w:jc w:val="both"/>
        <w:rPr>
          <w:rFonts w:ascii="Times New Roman" w:hAnsi="Times New Roman" w:cs="Times New Roman"/>
          <w:b/>
          <w:bCs/>
          <w:color w:val="0070C0"/>
          <w:sz w:val="24"/>
          <w:szCs w:val="24"/>
          <w:shd w:val="clear" w:color="auto" w:fill="FFFFFF"/>
        </w:rPr>
      </w:pPr>
      <w:r w:rsidRPr="00D045D0">
        <w:rPr>
          <w:rFonts w:ascii="Times New Roman" w:hAnsi="Times New Roman" w:cs="Times New Roman"/>
          <w:color w:val="0070C0"/>
          <w:sz w:val="24"/>
          <w:szCs w:val="24"/>
        </w:rPr>
        <w:fldChar w:fldCharType="begin"/>
      </w:r>
      <w:r w:rsidRPr="00D045D0">
        <w:rPr>
          <w:rFonts w:ascii="Times New Roman" w:hAnsi="Times New Roman" w:cs="Times New Roman"/>
          <w:color w:val="0070C0"/>
          <w:sz w:val="24"/>
          <w:szCs w:val="24"/>
        </w:rPr>
        <w:instrText xml:space="preserve"> HYPERLINK "https://www.sciencedirect.com/science/article/abs/pii/S0969806X23001421" \l ":~:text=Based%20on%20the%20smaller%20variation,effect%20on%20the%20blood%20parameters." \t "_blank" </w:instrText>
      </w:r>
      <w:r w:rsidRPr="00D045D0">
        <w:rPr>
          <w:rFonts w:ascii="Times New Roman" w:hAnsi="Times New Roman" w:cs="Times New Roman"/>
          <w:color w:val="0070C0"/>
          <w:sz w:val="24"/>
          <w:szCs w:val="24"/>
        </w:rPr>
        <w:fldChar w:fldCharType="separate"/>
      </w:r>
      <w:r w:rsidRPr="00D045D0">
        <w:rPr>
          <w:rStyle w:val="Hyperlink"/>
          <w:rFonts w:ascii="Times New Roman" w:hAnsi="Times New Roman" w:cs="Times New Roman"/>
          <w:color w:val="0070C0"/>
          <w:sz w:val="24"/>
          <w:szCs w:val="24"/>
          <w:u w:val="none"/>
        </w:rPr>
        <w:t>https://www.sciencedirect.com/science/article/abs/pii/S0969806X23001421#:</w:t>
      </w:r>
      <w:r w:rsidRPr="00D045D0">
        <w:rPr>
          <w:rFonts w:ascii="Times New Roman" w:hAnsi="Times New Roman" w:cs="Times New Roman"/>
          <w:color w:val="0070C0"/>
          <w:sz w:val="24"/>
          <w:szCs w:val="24"/>
        </w:rPr>
        <w:fldChar w:fldCharType="end"/>
      </w:r>
      <w:bookmarkEnd w:id="0"/>
    </w:p>
    <w:p w:rsidR="000816E0" w:rsidRPr="00D045D0" w:rsidRDefault="000816E0" w:rsidP="00D045D0">
      <w:pPr>
        <w:spacing w:before="150"/>
        <w:jc w:val="both"/>
        <w:rPr>
          <w:rFonts w:ascii="Times New Roman" w:hAnsi="Times New Roman" w:cs="Times New Roman"/>
          <w:b/>
          <w:sz w:val="24"/>
          <w:szCs w:val="24"/>
        </w:rPr>
      </w:pPr>
      <w:r w:rsidRPr="00D045D0">
        <w:rPr>
          <w:rFonts w:ascii="Times New Roman" w:hAnsi="Times New Roman" w:cs="Times New Roman"/>
          <w:b/>
          <w:sz w:val="24"/>
          <w:szCs w:val="24"/>
        </w:rPr>
        <w:t>DOI:</w:t>
      </w:r>
    </w:p>
    <w:p w:rsidR="00D045D0" w:rsidRPr="00D045D0" w:rsidRDefault="00D045D0" w:rsidP="00D045D0">
      <w:pPr>
        <w:spacing w:before="150"/>
        <w:jc w:val="both"/>
        <w:rPr>
          <w:rFonts w:ascii="Times New Roman" w:hAnsi="Times New Roman" w:cs="Times New Roman"/>
          <w:b/>
          <w:color w:val="0070C0"/>
          <w:sz w:val="24"/>
          <w:szCs w:val="24"/>
        </w:rPr>
      </w:pPr>
      <w:hyperlink r:id="rId5" w:tgtFrame="_blank" w:tooltip="Persistent link using digital object identifier" w:history="1">
        <w:r w:rsidRPr="00D045D0">
          <w:rPr>
            <w:rStyle w:val="anchor-text"/>
            <w:rFonts w:ascii="Times New Roman" w:hAnsi="Times New Roman" w:cs="Times New Roman"/>
            <w:color w:val="0070C0"/>
            <w:sz w:val="24"/>
            <w:szCs w:val="24"/>
          </w:rPr>
          <w:t>https://doi.org/10.1016/j.radphyschem.2023.110897</w:t>
        </w:r>
      </w:hyperlink>
    </w:p>
    <w:p w:rsidR="000816E0" w:rsidRPr="00D045D0" w:rsidRDefault="000816E0" w:rsidP="00D045D0">
      <w:pPr>
        <w:jc w:val="both"/>
        <w:rPr>
          <w:rFonts w:ascii="Times New Roman" w:hAnsi="Times New Roman" w:cs="Times New Roman"/>
          <w:sz w:val="24"/>
          <w:szCs w:val="24"/>
        </w:rPr>
      </w:pPr>
    </w:p>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5DC1"/>
    <w:rsid w:val="00197F72"/>
    <w:rsid w:val="001B444F"/>
    <w:rsid w:val="001B7224"/>
    <w:rsid w:val="001D380C"/>
    <w:rsid w:val="002061D4"/>
    <w:rsid w:val="00212608"/>
    <w:rsid w:val="0024753E"/>
    <w:rsid w:val="00250729"/>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2FAD"/>
    <w:rsid w:val="005241A4"/>
    <w:rsid w:val="00542D8F"/>
    <w:rsid w:val="00563D55"/>
    <w:rsid w:val="00564331"/>
    <w:rsid w:val="00597AC0"/>
    <w:rsid w:val="005A50A4"/>
    <w:rsid w:val="005A6D15"/>
    <w:rsid w:val="006046B1"/>
    <w:rsid w:val="00620AFF"/>
    <w:rsid w:val="00680022"/>
    <w:rsid w:val="00680E6F"/>
    <w:rsid w:val="006920D4"/>
    <w:rsid w:val="006A2382"/>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105B7"/>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D6A55"/>
    <w:rsid w:val="00CF2D6D"/>
    <w:rsid w:val="00D045D0"/>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269B5"/>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D045D0"/>
  </w:style>
  <w:style w:type="character" w:customStyle="1" w:styleId="react-xocs-alternative-link">
    <w:name w:val="react-xocs-alternative-link"/>
    <w:basedOn w:val="DefaultParagraphFont"/>
    <w:rsid w:val="00D045D0"/>
  </w:style>
  <w:style w:type="character" w:customStyle="1" w:styleId="given-name">
    <w:name w:val="given-name"/>
    <w:basedOn w:val="DefaultParagraphFont"/>
    <w:rsid w:val="00D045D0"/>
  </w:style>
  <w:style w:type="character" w:customStyle="1" w:styleId="text">
    <w:name w:val="text"/>
    <w:basedOn w:val="DefaultParagraphFont"/>
    <w:rsid w:val="00D045D0"/>
  </w:style>
  <w:style w:type="character" w:customStyle="1" w:styleId="author-ref">
    <w:name w:val="author-ref"/>
    <w:basedOn w:val="DefaultParagraphFont"/>
    <w:rsid w:val="00D045D0"/>
  </w:style>
  <w:style w:type="character" w:customStyle="1" w:styleId="anchor-text">
    <w:name w:val="anchor-text"/>
    <w:basedOn w:val="DefaultParagraphFont"/>
    <w:rsid w:val="00D04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58225111">
      <w:bodyDiv w:val="1"/>
      <w:marLeft w:val="0"/>
      <w:marRight w:val="0"/>
      <w:marTop w:val="0"/>
      <w:marBottom w:val="0"/>
      <w:divBdr>
        <w:top w:val="none" w:sz="0" w:space="0" w:color="auto"/>
        <w:left w:val="none" w:sz="0" w:space="0" w:color="auto"/>
        <w:bottom w:val="none" w:sz="0" w:space="0" w:color="auto"/>
        <w:right w:val="none" w:sz="0" w:space="0" w:color="auto"/>
      </w:divBdr>
      <w:divsChild>
        <w:div w:id="411238870">
          <w:marLeft w:val="0"/>
          <w:marRight w:val="0"/>
          <w:marTop w:val="0"/>
          <w:marBottom w:val="0"/>
          <w:divBdr>
            <w:top w:val="none" w:sz="0" w:space="0" w:color="auto"/>
            <w:left w:val="none" w:sz="0" w:space="0" w:color="auto"/>
            <w:bottom w:val="none" w:sz="0" w:space="0" w:color="auto"/>
            <w:right w:val="none" w:sz="0" w:space="0" w:color="auto"/>
          </w:divBdr>
          <w:divsChild>
            <w:div w:id="14164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radphyschem.2023.110897" TargetMode="External"/><Relationship Id="rId4" Type="http://schemas.openxmlformats.org/officeDocument/2006/relationships/hyperlink" Target="https://www.sciencedirect.com/topics/physics-and-astronomy/hematopoie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2024-06-06T04:05:00Z</dcterms:created>
  <dcterms:modified xsi:type="dcterms:W3CDTF">2024-06-13T05:54:00Z</dcterms:modified>
</cp:coreProperties>
</file>