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514AEC">
      <w:pPr>
        <w:rPr>
          <w:rStyle w:val="blue-tooltip"/>
          <w:rFonts w:ascii="Times New Roman" w:hAnsi="Times New Roman" w:cs="Times New Roman"/>
          <w:bCs/>
          <w:sz w:val="40"/>
          <w:szCs w:val="40"/>
        </w:rPr>
      </w:pPr>
      <w:r w:rsidRPr="00514AEC">
        <w:rPr>
          <w:rStyle w:val="blue-tooltip"/>
          <w:rFonts w:ascii="Times New Roman" w:hAnsi="Times New Roman" w:cs="Times New Roman"/>
          <w:bCs/>
          <w:sz w:val="40"/>
          <w:szCs w:val="40"/>
        </w:rPr>
        <w:t>Norm in Cultivated Honey in Malaysia and Concomitant Effective Dose to Consumers</w:t>
      </w:r>
    </w:p>
    <w:p w:rsidR="00514AEC" w:rsidRPr="00514AEC" w:rsidRDefault="00514AEC">
      <w:pPr>
        <w:rPr>
          <w:rStyle w:val="blue-tooltip"/>
          <w:rFonts w:ascii="Times New Roman" w:hAnsi="Times New Roman" w:cs="Times New Roman"/>
          <w:bCs/>
          <w:sz w:val="40"/>
          <w:szCs w:val="40"/>
        </w:rPr>
      </w:pPr>
    </w:p>
    <w:p w:rsidR="00286666" w:rsidRPr="00514AEC" w:rsidRDefault="00056A8C" w:rsidP="00514AEC">
      <w:pPr>
        <w:jc w:val="both"/>
        <w:rPr>
          <w:rStyle w:val="blue-tooltip"/>
          <w:rFonts w:ascii="Times New Roman" w:hAnsi="Times New Roman" w:cs="Times New Roman"/>
          <w:b/>
          <w:bCs/>
          <w:color w:val="0070C0"/>
          <w:sz w:val="24"/>
          <w:szCs w:val="24"/>
        </w:rPr>
      </w:pPr>
      <w:r w:rsidRPr="00514AEC">
        <w:rPr>
          <w:rStyle w:val="blue-tooltip"/>
          <w:rFonts w:ascii="Times New Roman" w:hAnsi="Times New Roman" w:cs="Times New Roman"/>
          <w:b/>
          <w:bCs/>
          <w:sz w:val="24"/>
          <w:szCs w:val="24"/>
        </w:rPr>
        <w:t xml:space="preserve">Author: </w:t>
      </w:r>
      <w:r w:rsidR="009437E0" w:rsidRPr="00514AEC">
        <w:rPr>
          <w:rStyle w:val="blue-tooltip"/>
          <w:rFonts w:ascii="Times New Roman" w:hAnsi="Times New Roman" w:cs="Times New Roman"/>
          <w:sz w:val="24"/>
          <w:szCs w:val="24"/>
        </w:rPr>
        <w:t xml:space="preserve"> </w:t>
      </w:r>
      <w:bookmarkStart w:id="0" w:name="_GoBack"/>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Mayeen</w:t>
      </w:r>
      <w:proofErr w:type="spellEnd"/>
      <w:r w:rsidR="00514AEC" w:rsidRPr="00514AEC">
        <w:rPr>
          <w:rStyle w:val="al-author-name-more"/>
          <w:rFonts w:ascii="Times New Roman" w:hAnsi="Times New Roman" w:cs="Times New Roman"/>
          <w:color w:val="0070C0"/>
          <w:sz w:val="24"/>
          <w:szCs w:val="24"/>
          <w:bdr w:val="none" w:sz="0" w:space="0" w:color="auto" w:frame="1"/>
          <w:shd w:val="clear" w:color="auto" w:fill="FFFFFF"/>
        </w:rPr>
        <w:t xml:space="preserve"> U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Khandaker</w:t>
      </w:r>
      <w:proofErr w:type="spellEnd"/>
      <w:r w:rsidR="00514AEC" w:rsidRPr="00514AEC">
        <w:rPr>
          <w:rStyle w:val="delimiter"/>
          <w:rFonts w:ascii="Times New Roman" w:hAnsi="Times New Roman" w:cs="Times New Roman"/>
          <w:color w:val="0070C0"/>
          <w:sz w:val="24"/>
          <w:szCs w:val="24"/>
          <w:bdr w:val="none" w:sz="0" w:space="0" w:color="auto" w:frame="1"/>
          <w:shd w:val="clear" w:color="auto" w:fill="FFFFFF"/>
        </w:rPr>
        <w:t>,</w:t>
      </w:r>
      <w:r w:rsidR="00514AEC" w:rsidRPr="00514AEC">
        <w:rPr>
          <w:rFonts w:ascii="Times New Roman" w:hAnsi="Times New Roman" w:cs="Times New Roman"/>
          <w:color w:val="0070C0"/>
          <w:sz w:val="24"/>
          <w:szCs w:val="24"/>
          <w:shd w:val="clear" w:color="auto" w:fill="FFFFFF"/>
        </w:rPr>
        <w:t>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Nurul</w:t>
      </w:r>
      <w:proofErr w:type="spellEnd"/>
      <w:r w:rsidR="00514AEC" w:rsidRPr="00514AEC">
        <w:rPr>
          <w:rStyle w:val="al-author-name-more"/>
          <w:rFonts w:ascii="Times New Roman" w:hAnsi="Times New Roman" w:cs="Times New Roman"/>
          <w:color w:val="0070C0"/>
          <w:sz w:val="24"/>
          <w:szCs w:val="24"/>
          <w:bdr w:val="none" w:sz="0" w:space="0" w:color="auto" w:frame="1"/>
          <w:shd w:val="clear" w:color="auto" w:fill="FFFFFF"/>
        </w:rPr>
        <w:t xml:space="preserve"> S B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Zayadi</w:t>
      </w:r>
      <w:proofErr w:type="spellEnd"/>
      <w:r w:rsidR="00514AEC" w:rsidRPr="00514AEC">
        <w:rPr>
          <w:rStyle w:val="delimiter"/>
          <w:rFonts w:ascii="Times New Roman" w:hAnsi="Times New Roman" w:cs="Times New Roman"/>
          <w:color w:val="0070C0"/>
          <w:sz w:val="24"/>
          <w:szCs w:val="24"/>
          <w:bdr w:val="none" w:sz="0" w:space="0" w:color="auto" w:frame="1"/>
          <w:shd w:val="clear" w:color="auto" w:fill="FFFFFF"/>
        </w:rPr>
        <w:t>,</w:t>
      </w:r>
      <w:r w:rsidR="00514AEC" w:rsidRPr="00514AEC">
        <w:rPr>
          <w:rFonts w:ascii="Times New Roman" w:hAnsi="Times New Roman" w:cs="Times New Roman"/>
          <w:color w:val="0070C0"/>
          <w:sz w:val="24"/>
          <w:szCs w:val="24"/>
          <w:shd w:val="clear" w:color="auto" w:fill="FFFFFF"/>
        </w:rPr>
        <w:t>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Siti</w:t>
      </w:r>
      <w:proofErr w:type="spellEnd"/>
      <w:r w:rsidR="00514AEC" w:rsidRPr="00514AEC">
        <w:rPr>
          <w:rStyle w:val="al-author-name-more"/>
          <w:rFonts w:ascii="Times New Roman" w:hAnsi="Times New Roman" w:cs="Times New Roman"/>
          <w:color w:val="0070C0"/>
          <w:sz w:val="24"/>
          <w:szCs w:val="24"/>
          <w:bdr w:val="none" w:sz="0" w:space="0" w:color="auto" w:frame="1"/>
          <w:shd w:val="clear" w:color="auto" w:fill="FFFFFF"/>
        </w:rPr>
        <w:t xml:space="preserve">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Fairus</w:t>
      </w:r>
      <w:proofErr w:type="spellEnd"/>
      <w:r w:rsidR="00514AEC" w:rsidRPr="00514AEC">
        <w:rPr>
          <w:rStyle w:val="al-author-name-more"/>
          <w:rFonts w:ascii="Times New Roman" w:hAnsi="Times New Roman" w:cs="Times New Roman"/>
          <w:color w:val="0070C0"/>
          <w:sz w:val="24"/>
          <w:szCs w:val="24"/>
          <w:bdr w:val="none" w:sz="0" w:space="0" w:color="auto" w:frame="1"/>
          <w:shd w:val="clear" w:color="auto" w:fill="FFFFFF"/>
        </w:rPr>
        <w:t xml:space="preserve"> A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Sani</w:t>
      </w:r>
      <w:proofErr w:type="spellEnd"/>
      <w:r w:rsidR="00514AEC" w:rsidRPr="00514AEC">
        <w:rPr>
          <w:rStyle w:val="delimiter"/>
          <w:rFonts w:ascii="Times New Roman" w:hAnsi="Times New Roman" w:cs="Times New Roman"/>
          <w:color w:val="0070C0"/>
          <w:sz w:val="24"/>
          <w:szCs w:val="24"/>
          <w:bdr w:val="none" w:sz="0" w:space="0" w:color="auto" w:frame="1"/>
          <w:shd w:val="clear" w:color="auto" w:fill="FFFFFF"/>
        </w:rPr>
        <w:t>,</w:t>
      </w:r>
      <w:r w:rsidR="00514AEC" w:rsidRPr="00514AEC">
        <w:rPr>
          <w:rFonts w:ascii="Times New Roman" w:hAnsi="Times New Roman" w:cs="Times New Roman"/>
          <w:color w:val="0070C0"/>
          <w:sz w:val="24"/>
          <w:szCs w:val="24"/>
          <w:shd w:val="clear" w:color="auto" w:fill="FFFFFF"/>
        </w:rPr>
        <w:t> </w:t>
      </w:r>
      <w:r w:rsidR="00514AEC" w:rsidRPr="00514AEC">
        <w:rPr>
          <w:rStyle w:val="al-author-name-more"/>
          <w:rFonts w:ascii="Times New Roman" w:hAnsi="Times New Roman" w:cs="Times New Roman"/>
          <w:color w:val="0070C0"/>
          <w:sz w:val="24"/>
          <w:szCs w:val="24"/>
          <w:bdr w:val="none" w:sz="0" w:space="0" w:color="auto" w:frame="1"/>
          <w:shd w:val="clear" w:color="auto" w:fill="FFFFFF"/>
        </w:rPr>
        <w:t>David A Bradley</w:t>
      </w:r>
      <w:r w:rsidR="00514AEC" w:rsidRPr="00514AEC">
        <w:rPr>
          <w:rStyle w:val="delimiter"/>
          <w:rFonts w:ascii="Times New Roman" w:hAnsi="Times New Roman" w:cs="Times New Roman"/>
          <w:color w:val="0070C0"/>
          <w:sz w:val="24"/>
          <w:szCs w:val="24"/>
          <w:bdr w:val="none" w:sz="0" w:space="0" w:color="auto" w:frame="1"/>
          <w:shd w:val="clear" w:color="auto" w:fill="FFFFFF"/>
        </w:rPr>
        <w:t>,</w:t>
      </w:r>
      <w:r w:rsidR="00514AEC" w:rsidRPr="00514AEC">
        <w:rPr>
          <w:rFonts w:ascii="Times New Roman" w:hAnsi="Times New Roman" w:cs="Times New Roman"/>
          <w:color w:val="0070C0"/>
          <w:sz w:val="24"/>
          <w:szCs w:val="24"/>
          <w:shd w:val="clear" w:color="auto" w:fill="FFFFFF"/>
        </w:rPr>
        <w:t> </w:t>
      </w:r>
      <w:r w:rsidR="00514AEC" w:rsidRPr="00514AEC">
        <w:rPr>
          <w:rStyle w:val="al-author-name-more"/>
          <w:rFonts w:ascii="Times New Roman" w:hAnsi="Times New Roman" w:cs="Times New Roman"/>
          <w:color w:val="0070C0"/>
          <w:sz w:val="24"/>
          <w:szCs w:val="24"/>
          <w:bdr w:val="none" w:sz="0" w:space="0" w:color="auto" w:frame="1"/>
          <w:shd w:val="clear" w:color="auto" w:fill="FFFFFF"/>
        </w:rPr>
        <w:t>Hamid Osman</w:t>
      </w:r>
      <w:r w:rsidR="00514AEC" w:rsidRPr="00514AEC">
        <w:rPr>
          <w:rStyle w:val="delimiter"/>
          <w:rFonts w:ascii="Times New Roman" w:hAnsi="Times New Roman" w:cs="Times New Roman"/>
          <w:color w:val="0070C0"/>
          <w:sz w:val="24"/>
          <w:szCs w:val="24"/>
          <w:bdr w:val="none" w:sz="0" w:space="0" w:color="auto" w:frame="1"/>
          <w:shd w:val="clear" w:color="auto" w:fill="FFFFFF"/>
        </w:rPr>
        <w:t>,</w:t>
      </w:r>
      <w:r w:rsidR="00514AEC" w:rsidRPr="00514AEC">
        <w:rPr>
          <w:rFonts w:ascii="Times New Roman" w:hAnsi="Times New Roman" w:cs="Times New Roman"/>
          <w:color w:val="0070C0"/>
          <w:sz w:val="24"/>
          <w:szCs w:val="24"/>
          <w:shd w:val="clear" w:color="auto" w:fill="FFFFFF"/>
        </w:rPr>
        <w:t> </w:t>
      </w:r>
      <w:r w:rsidR="00514AEC" w:rsidRPr="00514AEC">
        <w:rPr>
          <w:rStyle w:val="al-author-name-more"/>
          <w:rFonts w:ascii="Times New Roman" w:hAnsi="Times New Roman" w:cs="Times New Roman"/>
          <w:color w:val="0070C0"/>
          <w:sz w:val="24"/>
          <w:szCs w:val="24"/>
          <w:bdr w:val="none" w:sz="0" w:space="0" w:color="auto" w:frame="1"/>
          <w:shd w:val="clear" w:color="auto" w:fill="FFFFFF"/>
        </w:rPr>
        <w:t xml:space="preserve">Yasser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Alzamil</w:t>
      </w:r>
      <w:proofErr w:type="spellEnd"/>
      <w:r w:rsidR="00514AEC" w:rsidRPr="00514AEC">
        <w:rPr>
          <w:rStyle w:val="delimiter"/>
          <w:rFonts w:ascii="Times New Roman" w:hAnsi="Times New Roman" w:cs="Times New Roman"/>
          <w:color w:val="0070C0"/>
          <w:sz w:val="24"/>
          <w:szCs w:val="24"/>
          <w:bdr w:val="none" w:sz="0" w:space="0" w:color="auto" w:frame="1"/>
          <w:shd w:val="clear" w:color="auto" w:fill="FFFFFF"/>
        </w:rPr>
        <w:t>,</w:t>
      </w:r>
      <w:r w:rsidR="00514AEC" w:rsidRPr="00514AEC">
        <w:rPr>
          <w:rFonts w:ascii="Times New Roman" w:hAnsi="Times New Roman" w:cs="Times New Roman"/>
          <w:color w:val="0070C0"/>
          <w:sz w:val="24"/>
          <w:szCs w:val="24"/>
          <w:shd w:val="clear" w:color="auto" w:fill="FFFFFF"/>
        </w:rPr>
        <w:t>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Meshari</w:t>
      </w:r>
      <w:proofErr w:type="spellEnd"/>
      <w:r w:rsidR="00514AEC" w:rsidRPr="00514AEC">
        <w:rPr>
          <w:rStyle w:val="al-author-name-more"/>
          <w:rFonts w:ascii="Times New Roman" w:hAnsi="Times New Roman" w:cs="Times New Roman"/>
          <w:color w:val="0070C0"/>
          <w:sz w:val="24"/>
          <w:szCs w:val="24"/>
          <w:bdr w:val="none" w:sz="0" w:space="0" w:color="auto" w:frame="1"/>
          <w:shd w:val="clear" w:color="auto" w:fill="FFFFFF"/>
        </w:rPr>
        <w:t xml:space="preserve">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Almeshari</w:t>
      </w:r>
      <w:proofErr w:type="spellEnd"/>
      <w:r w:rsidR="00514AEC" w:rsidRPr="00514AEC">
        <w:rPr>
          <w:rStyle w:val="delimiter"/>
          <w:rFonts w:ascii="Times New Roman" w:hAnsi="Times New Roman" w:cs="Times New Roman"/>
          <w:color w:val="0070C0"/>
          <w:sz w:val="24"/>
          <w:szCs w:val="24"/>
          <w:bdr w:val="none" w:sz="0" w:space="0" w:color="auto" w:frame="1"/>
          <w:shd w:val="clear" w:color="auto" w:fill="FFFFFF"/>
        </w:rPr>
        <w:t>,</w:t>
      </w:r>
      <w:r w:rsidR="00514AEC" w:rsidRPr="00514AEC">
        <w:rPr>
          <w:rFonts w:ascii="Times New Roman" w:hAnsi="Times New Roman" w:cs="Times New Roman"/>
          <w:color w:val="0070C0"/>
          <w:sz w:val="24"/>
          <w:szCs w:val="24"/>
          <w:shd w:val="clear" w:color="auto" w:fill="FFFFFF"/>
        </w:rPr>
        <w:t> </w:t>
      </w:r>
      <w:r w:rsidR="00514AEC" w:rsidRPr="00514AEC">
        <w:rPr>
          <w:rStyle w:val="al-author-name-more"/>
          <w:rFonts w:ascii="Times New Roman" w:hAnsi="Times New Roman" w:cs="Times New Roman"/>
          <w:color w:val="0070C0"/>
          <w:sz w:val="24"/>
          <w:szCs w:val="24"/>
          <w:bdr w:val="none" w:sz="0" w:space="0" w:color="auto" w:frame="1"/>
          <w:shd w:val="clear" w:color="auto" w:fill="FFFFFF"/>
        </w:rPr>
        <w:t xml:space="preserve">M I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Sayyed</w:t>
      </w:r>
      <w:proofErr w:type="spellEnd"/>
      <w:r w:rsidR="00514AEC" w:rsidRPr="00514AEC">
        <w:rPr>
          <w:rStyle w:val="delimiter"/>
          <w:rFonts w:ascii="Times New Roman" w:hAnsi="Times New Roman" w:cs="Times New Roman"/>
          <w:color w:val="0070C0"/>
          <w:sz w:val="24"/>
          <w:szCs w:val="24"/>
          <w:bdr w:val="none" w:sz="0" w:space="0" w:color="auto" w:frame="1"/>
          <w:shd w:val="clear" w:color="auto" w:fill="FFFFFF"/>
        </w:rPr>
        <w:t>,</w:t>
      </w:r>
      <w:r w:rsidR="00514AEC" w:rsidRPr="00514AEC">
        <w:rPr>
          <w:rFonts w:ascii="Times New Roman" w:hAnsi="Times New Roman" w:cs="Times New Roman"/>
          <w:color w:val="0070C0"/>
          <w:sz w:val="24"/>
          <w:szCs w:val="24"/>
          <w:shd w:val="clear" w:color="auto" w:fill="FFFFFF"/>
        </w:rPr>
        <w:t>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Abdelmoneim</w:t>
      </w:r>
      <w:proofErr w:type="spellEnd"/>
      <w:r w:rsidR="00514AEC" w:rsidRPr="00514AEC">
        <w:rPr>
          <w:rStyle w:val="al-author-name-more"/>
          <w:rFonts w:ascii="Times New Roman" w:hAnsi="Times New Roman" w:cs="Times New Roman"/>
          <w:color w:val="0070C0"/>
          <w:sz w:val="24"/>
          <w:szCs w:val="24"/>
          <w:bdr w:val="none" w:sz="0" w:space="0" w:color="auto" w:frame="1"/>
          <w:shd w:val="clear" w:color="auto" w:fill="FFFFFF"/>
        </w:rPr>
        <w:t xml:space="preserve"> </w:t>
      </w:r>
      <w:proofErr w:type="spellStart"/>
      <w:r w:rsidR="00514AEC" w:rsidRPr="00514AEC">
        <w:rPr>
          <w:rStyle w:val="al-author-name-more"/>
          <w:rFonts w:ascii="Times New Roman" w:hAnsi="Times New Roman" w:cs="Times New Roman"/>
          <w:color w:val="0070C0"/>
          <w:sz w:val="24"/>
          <w:szCs w:val="24"/>
          <w:bdr w:val="none" w:sz="0" w:space="0" w:color="auto" w:frame="1"/>
          <w:shd w:val="clear" w:color="auto" w:fill="FFFFFF"/>
        </w:rPr>
        <w:t>Sulieman</w:t>
      </w:r>
      <w:proofErr w:type="spellEnd"/>
    </w:p>
    <w:bookmarkEnd w:id="0"/>
    <w:p w:rsidR="00056A8C" w:rsidRPr="00514AEC" w:rsidRDefault="00056A8C" w:rsidP="00514AEC">
      <w:pPr>
        <w:jc w:val="both"/>
        <w:rPr>
          <w:rStyle w:val="blue-tooltip"/>
          <w:rFonts w:ascii="Times New Roman" w:hAnsi="Times New Roman" w:cs="Times New Roman"/>
          <w:b/>
          <w:sz w:val="24"/>
          <w:szCs w:val="24"/>
        </w:rPr>
      </w:pPr>
    </w:p>
    <w:p w:rsidR="00514AEC" w:rsidRPr="00514AEC" w:rsidRDefault="00286666" w:rsidP="00514AEC">
      <w:pPr>
        <w:jc w:val="both"/>
        <w:rPr>
          <w:rStyle w:val="blue-tooltip"/>
          <w:rFonts w:ascii="Times New Roman" w:hAnsi="Times New Roman" w:cs="Times New Roman"/>
          <w:b/>
          <w:sz w:val="24"/>
          <w:szCs w:val="24"/>
        </w:rPr>
      </w:pPr>
      <w:r w:rsidRPr="00514AEC">
        <w:rPr>
          <w:rStyle w:val="blue-tooltip"/>
          <w:rFonts w:ascii="Times New Roman" w:hAnsi="Times New Roman" w:cs="Times New Roman"/>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514AEC" w:rsidRPr="00514AEC" w:rsidTr="00514AEC">
        <w:trPr>
          <w:tblCellSpacing w:w="15" w:type="dxa"/>
        </w:trPr>
        <w:tc>
          <w:tcPr>
            <w:tcW w:w="0" w:type="auto"/>
            <w:vAlign w:val="center"/>
            <w:hideMark/>
          </w:tcPr>
          <w:p w:rsidR="00514AEC" w:rsidRPr="00514AEC" w:rsidRDefault="00514AEC" w:rsidP="00514AEC">
            <w:pPr>
              <w:spacing w:after="0" w:line="240" w:lineRule="auto"/>
              <w:jc w:val="both"/>
              <w:rPr>
                <w:rFonts w:ascii="Times New Roman" w:eastAsia="Times New Roman" w:hAnsi="Times New Roman" w:cs="Times New Roman"/>
                <w:sz w:val="24"/>
                <w:szCs w:val="24"/>
              </w:rPr>
            </w:pPr>
          </w:p>
        </w:tc>
        <w:tc>
          <w:tcPr>
            <w:tcW w:w="5000" w:type="pct"/>
            <w:vAlign w:val="center"/>
            <w:hideMark/>
          </w:tcPr>
          <w:p w:rsidR="00514AEC" w:rsidRPr="00514AEC" w:rsidRDefault="00514AEC" w:rsidP="00514AEC">
            <w:pPr>
              <w:spacing w:beforeAutospacing="1" w:after="0" w:afterAutospacing="1" w:line="240" w:lineRule="auto"/>
              <w:jc w:val="both"/>
              <w:rPr>
                <w:rFonts w:ascii="Times New Roman" w:eastAsia="Times New Roman" w:hAnsi="Times New Roman" w:cs="Times New Roman"/>
                <w:sz w:val="24"/>
                <w:szCs w:val="24"/>
              </w:rPr>
            </w:pPr>
            <w:r w:rsidRPr="00514AEC">
              <w:rPr>
                <w:rFonts w:ascii="Times New Roman" w:eastAsia="Times New Roman" w:hAnsi="Times New Roman" w:cs="Times New Roman"/>
                <w:color w:val="2A2A2A"/>
                <w:sz w:val="24"/>
                <w:szCs w:val="24"/>
                <w:shd w:val="clear" w:color="auto" w:fill="EFF2F7"/>
              </w:rPr>
              <w:t xml:space="preserve">Present study concerns the radiological character of Malaysian honey. A total of 18 samples (representative of the various most common types) were obtained from various honey bee farms throughout the country. Using a high-purity germanium γ-ray spectroscopic system, the samples were </w:t>
            </w:r>
            <w:proofErr w:type="spellStart"/>
            <w:r w:rsidRPr="00514AEC">
              <w:rPr>
                <w:rFonts w:ascii="Times New Roman" w:eastAsia="Times New Roman" w:hAnsi="Times New Roman" w:cs="Times New Roman"/>
                <w:color w:val="2A2A2A"/>
                <w:sz w:val="24"/>
                <w:szCs w:val="24"/>
                <w:shd w:val="clear" w:color="auto" w:fill="EFF2F7"/>
              </w:rPr>
              <w:t>analysed</w:t>
            </w:r>
            <w:proofErr w:type="spellEnd"/>
            <w:r w:rsidRPr="00514AEC">
              <w:rPr>
                <w:rFonts w:ascii="Times New Roman" w:eastAsia="Times New Roman" w:hAnsi="Times New Roman" w:cs="Times New Roman"/>
                <w:color w:val="2A2A2A"/>
                <w:sz w:val="24"/>
                <w:szCs w:val="24"/>
                <w:shd w:val="clear" w:color="auto" w:fill="EFF2F7"/>
              </w:rPr>
              <w:t xml:space="preserve"> for the naturally occurring radionuclides </w:t>
            </w:r>
            <w:r w:rsidRPr="00514AEC">
              <w:rPr>
                <w:rFonts w:ascii="Times New Roman" w:eastAsia="Times New Roman" w:hAnsi="Times New Roman" w:cs="Times New Roman"/>
                <w:color w:val="2A2A2A"/>
                <w:sz w:val="24"/>
                <w:szCs w:val="24"/>
                <w:bdr w:val="none" w:sz="0" w:space="0" w:color="auto" w:frame="1"/>
                <w:shd w:val="clear" w:color="auto" w:fill="EFF2F7"/>
              </w:rPr>
              <w:t>226</w:t>
            </w:r>
            <w:r w:rsidRPr="00514AEC">
              <w:rPr>
                <w:rFonts w:ascii="Times New Roman" w:eastAsia="Times New Roman" w:hAnsi="Times New Roman" w:cs="Times New Roman"/>
                <w:color w:val="2A2A2A"/>
                <w:sz w:val="24"/>
                <w:szCs w:val="24"/>
                <w:shd w:val="clear" w:color="auto" w:fill="EFF2F7"/>
              </w:rPr>
              <w:t>Ra, </w:t>
            </w:r>
            <w:r w:rsidRPr="00514AEC">
              <w:rPr>
                <w:rFonts w:ascii="Times New Roman" w:eastAsia="Times New Roman" w:hAnsi="Times New Roman" w:cs="Times New Roman"/>
                <w:color w:val="2A2A2A"/>
                <w:sz w:val="24"/>
                <w:szCs w:val="24"/>
                <w:bdr w:val="none" w:sz="0" w:space="0" w:color="auto" w:frame="1"/>
                <w:shd w:val="clear" w:color="auto" w:fill="EFF2F7"/>
              </w:rPr>
              <w:t>228</w:t>
            </w:r>
            <w:r w:rsidRPr="00514AEC">
              <w:rPr>
                <w:rFonts w:ascii="Times New Roman" w:eastAsia="Times New Roman" w:hAnsi="Times New Roman" w:cs="Times New Roman"/>
                <w:color w:val="2A2A2A"/>
                <w:sz w:val="24"/>
                <w:szCs w:val="24"/>
                <w:shd w:val="clear" w:color="auto" w:fill="EFF2F7"/>
              </w:rPr>
              <w:t>Ra and </w:t>
            </w:r>
            <w:r w:rsidRPr="00514AEC">
              <w:rPr>
                <w:rFonts w:ascii="Times New Roman" w:eastAsia="Times New Roman" w:hAnsi="Times New Roman" w:cs="Times New Roman"/>
                <w:color w:val="2A2A2A"/>
                <w:sz w:val="24"/>
                <w:szCs w:val="24"/>
                <w:bdr w:val="none" w:sz="0" w:space="0" w:color="auto" w:frame="1"/>
                <w:shd w:val="clear" w:color="auto" w:fill="EFF2F7"/>
              </w:rPr>
              <w:t>40</w:t>
            </w:r>
            <w:r w:rsidRPr="00514AEC">
              <w:rPr>
                <w:rFonts w:ascii="Times New Roman" w:eastAsia="Times New Roman" w:hAnsi="Times New Roman" w:cs="Times New Roman"/>
                <w:color w:val="2A2A2A"/>
                <w:sz w:val="24"/>
                <w:szCs w:val="24"/>
                <w:shd w:val="clear" w:color="auto" w:fill="EFF2F7"/>
              </w:rPr>
              <w:t xml:space="preserve">K. The respective range of activities (in </w:t>
            </w:r>
            <w:proofErr w:type="spellStart"/>
            <w:r w:rsidRPr="00514AEC">
              <w:rPr>
                <w:rFonts w:ascii="Times New Roman" w:eastAsia="Times New Roman" w:hAnsi="Times New Roman" w:cs="Times New Roman"/>
                <w:color w:val="2A2A2A"/>
                <w:sz w:val="24"/>
                <w:szCs w:val="24"/>
                <w:shd w:val="clear" w:color="auto" w:fill="EFF2F7"/>
              </w:rPr>
              <w:t>Bq</w:t>
            </w:r>
            <w:proofErr w:type="spellEnd"/>
            <w:r w:rsidRPr="00514AEC">
              <w:rPr>
                <w:rFonts w:ascii="Times New Roman" w:eastAsia="Times New Roman" w:hAnsi="Times New Roman" w:cs="Times New Roman"/>
                <w:color w:val="2A2A2A"/>
                <w:sz w:val="24"/>
                <w:szCs w:val="24"/>
                <w:shd w:val="clear" w:color="auto" w:fill="EFF2F7"/>
              </w:rPr>
              <w:t>/kg) was: 3.49 ± 0.35 to 4.51 ± 0.39, 0.99 ± 0.37 to 1.74 ± 0.39 and 41.37 ± 3.26 to 105.02 ± 6.91. The estimated associated committed effective doses were derived from prevailing data on national consumption of honey, the annual dose being found low compared with the UNSCEAR reference dose limit of 290 </w:t>
            </w:r>
            <w:proofErr w:type="spellStart"/>
            <w:r w:rsidRPr="00514AEC">
              <w:rPr>
                <w:rFonts w:ascii="Times New Roman" w:eastAsia="Times New Roman" w:hAnsi="Times New Roman" w:cs="Times New Roman"/>
                <w:color w:val="2A2A2A"/>
                <w:sz w:val="24"/>
                <w:szCs w:val="24"/>
                <w:shd w:val="clear" w:color="auto" w:fill="EFF2F7"/>
              </w:rPr>
              <w:t>μSv</w:t>
            </w:r>
            <w:proofErr w:type="spellEnd"/>
            <w:r w:rsidRPr="00514AEC">
              <w:rPr>
                <w:rFonts w:ascii="Times New Roman" w:eastAsia="Times New Roman" w:hAnsi="Times New Roman" w:cs="Times New Roman"/>
                <w:color w:val="2A2A2A"/>
                <w:sz w:val="24"/>
                <w:szCs w:val="24"/>
                <w:shd w:val="clear" w:color="auto" w:fill="EFF2F7"/>
              </w:rPr>
              <w:t> y</w:t>
            </w:r>
            <w:r w:rsidRPr="00514AEC">
              <w:rPr>
                <w:rFonts w:ascii="Times New Roman" w:eastAsia="Times New Roman" w:hAnsi="Times New Roman" w:cs="Times New Roman"/>
                <w:color w:val="2A2A2A"/>
                <w:sz w:val="24"/>
                <w:szCs w:val="24"/>
                <w:bdr w:val="none" w:sz="0" w:space="0" w:color="auto" w:frame="1"/>
                <w:shd w:val="clear" w:color="auto" w:fill="EFF2F7"/>
              </w:rPr>
              <w:t>−1</w:t>
            </w:r>
            <w:r w:rsidRPr="00514AEC">
              <w:rPr>
                <w:rFonts w:ascii="Times New Roman" w:eastAsia="Times New Roman" w:hAnsi="Times New Roman" w:cs="Times New Roman"/>
                <w:color w:val="2A2A2A"/>
                <w:sz w:val="24"/>
                <w:szCs w:val="24"/>
                <w:shd w:val="clear" w:color="auto" w:fill="EFF2F7"/>
              </w:rPr>
              <w:t>. The estimated threshold consumption rate for honey indicates a maximum intake of 339 g/d, which poses an insignificant radiological risk to public health; however, the total dietary exposure may not, the guidance level of 290 </w:t>
            </w:r>
            <w:proofErr w:type="spellStart"/>
            <w:r w:rsidRPr="00514AEC">
              <w:rPr>
                <w:rFonts w:ascii="Times New Roman" w:eastAsia="Times New Roman" w:hAnsi="Times New Roman" w:cs="Times New Roman"/>
                <w:color w:val="2A2A2A"/>
                <w:sz w:val="24"/>
                <w:szCs w:val="24"/>
                <w:shd w:val="clear" w:color="auto" w:fill="EFF2F7"/>
              </w:rPr>
              <w:t>μSv</w:t>
            </w:r>
            <w:proofErr w:type="spellEnd"/>
            <w:r w:rsidRPr="00514AEC">
              <w:rPr>
                <w:rFonts w:ascii="Times New Roman" w:eastAsia="Times New Roman" w:hAnsi="Times New Roman" w:cs="Times New Roman"/>
                <w:color w:val="2A2A2A"/>
                <w:sz w:val="24"/>
                <w:szCs w:val="24"/>
                <w:shd w:val="clear" w:color="auto" w:fill="EFF2F7"/>
              </w:rPr>
              <w:t> y</w:t>
            </w:r>
            <w:r w:rsidRPr="00514AEC">
              <w:rPr>
                <w:rFonts w:ascii="Times New Roman" w:eastAsia="Times New Roman" w:hAnsi="Times New Roman" w:cs="Times New Roman"/>
                <w:color w:val="2A2A2A"/>
                <w:sz w:val="24"/>
                <w:szCs w:val="24"/>
                <w:bdr w:val="none" w:sz="0" w:space="0" w:color="auto" w:frame="1"/>
                <w:shd w:val="clear" w:color="auto" w:fill="EFF2F7"/>
              </w:rPr>
              <w:t>−1</w:t>
            </w:r>
            <w:r w:rsidRPr="00514AEC">
              <w:rPr>
                <w:rFonts w:ascii="Times New Roman" w:eastAsia="Times New Roman" w:hAnsi="Times New Roman" w:cs="Times New Roman"/>
                <w:color w:val="2A2A2A"/>
                <w:sz w:val="24"/>
                <w:szCs w:val="24"/>
                <w:shd w:val="clear" w:color="auto" w:fill="EFF2F7"/>
              </w:rPr>
              <w:t> being applicable to dietary intake of all foodstuffs. The study is in support of the cultivation of a healthy lifestyle, acknowledging prevailing radioactivity within the environment.</w:t>
            </w:r>
          </w:p>
        </w:tc>
      </w:tr>
    </w:tbl>
    <w:p w:rsidR="00286666" w:rsidRPr="00514AEC" w:rsidRDefault="00286666" w:rsidP="00514AEC">
      <w:pPr>
        <w:jc w:val="both"/>
        <w:rPr>
          <w:rStyle w:val="blue-tooltip"/>
          <w:rFonts w:ascii="Times New Roman" w:hAnsi="Times New Roman" w:cs="Times New Roman"/>
          <w:b/>
          <w:sz w:val="24"/>
          <w:szCs w:val="24"/>
        </w:rPr>
      </w:pPr>
      <w:r w:rsidRPr="00514AEC">
        <w:rPr>
          <w:rStyle w:val="blue-tooltip"/>
          <w:rFonts w:ascii="Times New Roman" w:hAnsi="Times New Roman" w:cs="Times New Roman"/>
          <w:b/>
          <w:sz w:val="24"/>
          <w:szCs w:val="24"/>
        </w:rPr>
        <w:t xml:space="preserve"> </w:t>
      </w:r>
      <w:r w:rsidR="00C433C0" w:rsidRPr="00514AEC">
        <w:rPr>
          <w:rStyle w:val="blue-tooltip"/>
          <w:rFonts w:ascii="Times New Roman" w:hAnsi="Times New Roman" w:cs="Times New Roman"/>
          <w:b/>
          <w:sz w:val="24"/>
          <w:szCs w:val="24"/>
        </w:rPr>
        <w:t xml:space="preserve"> </w:t>
      </w:r>
      <w:r w:rsidR="004F276A" w:rsidRPr="00514AEC">
        <w:rPr>
          <w:rStyle w:val="blue-tooltip"/>
          <w:rFonts w:ascii="Times New Roman" w:hAnsi="Times New Roman" w:cs="Times New Roman"/>
          <w:b/>
          <w:sz w:val="24"/>
          <w:szCs w:val="24"/>
        </w:rPr>
        <w:t xml:space="preserve"> </w:t>
      </w:r>
    </w:p>
    <w:p w:rsidR="000816E0" w:rsidRPr="00514AEC" w:rsidRDefault="000816E0" w:rsidP="00514AEC">
      <w:pPr>
        <w:spacing w:before="150" w:after="150" w:line="240" w:lineRule="auto"/>
        <w:jc w:val="both"/>
        <w:rPr>
          <w:rFonts w:ascii="Times New Roman" w:hAnsi="Times New Roman" w:cs="Times New Roman"/>
          <w:b/>
          <w:bCs/>
          <w:sz w:val="24"/>
          <w:szCs w:val="24"/>
          <w:shd w:val="clear" w:color="auto" w:fill="FFFFFF"/>
        </w:rPr>
      </w:pPr>
      <w:r w:rsidRPr="00514AEC">
        <w:rPr>
          <w:rFonts w:ascii="Times New Roman" w:hAnsi="Times New Roman" w:cs="Times New Roman"/>
          <w:b/>
          <w:bCs/>
          <w:sz w:val="24"/>
          <w:szCs w:val="24"/>
          <w:shd w:val="clear" w:color="auto" w:fill="FFFFFF"/>
        </w:rPr>
        <w:t>Conference / Journal Link:</w:t>
      </w:r>
    </w:p>
    <w:bookmarkStart w:id="1" w:name="cj_link"/>
    <w:p w:rsidR="00514AEC" w:rsidRPr="00514AEC" w:rsidRDefault="00514AEC" w:rsidP="00514AEC">
      <w:pPr>
        <w:spacing w:before="150" w:after="150" w:line="240" w:lineRule="auto"/>
        <w:jc w:val="both"/>
        <w:rPr>
          <w:rFonts w:ascii="Times New Roman" w:hAnsi="Times New Roman" w:cs="Times New Roman"/>
          <w:b/>
          <w:bCs/>
          <w:color w:val="0070C0"/>
          <w:sz w:val="24"/>
          <w:szCs w:val="24"/>
          <w:shd w:val="clear" w:color="auto" w:fill="FFFFFF"/>
        </w:rPr>
      </w:pPr>
      <w:r w:rsidRPr="00514AEC">
        <w:rPr>
          <w:rFonts w:ascii="Times New Roman" w:hAnsi="Times New Roman" w:cs="Times New Roman"/>
          <w:color w:val="0070C0"/>
          <w:sz w:val="24"/>
          <w:szCs w:val="24"/>
        </w:rPr>
        <w:fldChar w:fldCharType="begin"/>
      </w:r>
      <w:r w:rsidRPr="00514AEC">
        <w:rPr>
          <w:rFonts w:ascii="Times New Roman" w:hAnsi="Times New Roman" w:cs="Times New Roman"/>
          <w:color w:val="0070C0"/>
          <w:sz w:val="24"/>
          <w:szCs w:val="24"/>
        </w:rPr>
        <w:instrText xml:space="preserve"> HYPERLINK "https://academic.oup.com/rpd/article/199/18/2174/7335616" \t "_blank" </w:instrText>
      </w:r>
      <w:r w:rsidRPr="00514AEC">
        <w:rPr>
          <w:rFonts w:ascii="Times New Roman" w:hAnsi="Times New Roman" w:cs="Times New Roman"/>
          <w:color w:val="0070C0"/>
          <w:sz w:val="24"/>
          <w:szCs w:val="24"/>
        </w:rPr>
        <w:fldChar w:fldCharType="separate"/>
      </w:r>
      <w:r w:rsidRPr="00514AEC">
        <w:rPr>
          <w:rStyle w:val="Hyperlink"/>
          <w:rFonts w:ascii="Times New Roman" w:hAnsi="Times New Roman" w:cs="Times New Roman"/>
          <w:color w:val="0070C0"/>
          <w:sz w:val="24"/>
          <w:szCs w:val="24"/>
          <w:u w:val="none"/>
        </w:rPr>
        <w:t>https://academic.oup.com/rpd/article/199/18/2174/7335616</w:t>
      </w:r>
      <w:r w:rsidRPr="00514AEC">
        <w:rPr>
          <w:rFonts w:ascii="Times New Roman" w:hAnsi="Times New Roman" w:cs="Times New Roman"/>
          <w:color w:val="0070C0"/>
          <w:sz w:val="24"/>
          <w:szCs w:val="24"/>
        </w:rPr>
        <w:fldChar w:fldCharType="end"/>
      </w:r>
      <w:bookmarkEnd w:id="1"/>
    </w:p>
    <w:p w:rsidR="000816E0" w:rsidRPr="00514AEC" w:rsidRDefault="000816E0" w:rsidP="00514AEC">
      <w:pPr>
        <w:spacing w:before="150"/>
        <w:jc w:val="both"/>
        <w:rPr>
          <w:rFonts w:ascii="Times New Roman" w:hAnsi="Times New Roman" w:cs="Times New Roman"/>
          <w:b/>
          <w:sz w:val="24"/>
          <w:szCs w:val="24"/>
        </w:rPr>
      </w:pPr>
      <w:r w:rsidRPr="00514AEC">
        <w:rPr>
          <w:rFonts w:ascii="Times New Roman" w:hAnsi="Times New Roman" w:cs="Times New Roman"/>
          <w:b/>
          <w:sz w:val="24"/>
          <w:szCs w:val="24"/>
        </w:rPr>
        <w:t>DOI:</w:t>
      </w:r>
    </w:p>
    <w:p w:rsidR="00514AEC" w:rsidRPr="00514AEC" w:rsidRDefault="00514AEC" w:rsidP="00514AEC">
      <w:pPr>
        <w:spacing w:before="150"/>
        <w:jc w:val="both"/>
        <w:rPr>
          <w:rFonts w:ascii="Times New Roman" w:hAnsi="Times New Roman" w:cs="Times New Roman"/>
          <w:b/>
          <w:color w:val="0070C0"/>
          <w:sz w:val="24"/>
          <w:szCs w:val="24"/>
        </w:rPr>
      </w:pPr>
      <w:hyperlink r:id="rId4" w:history="1">
        <w:r w:rsidRPr="00514AEC">
          <w:rPr>
            <w:rStyle w:val="Hyperlink"/>
            <w:rFonts w:ascii="Times New Roman" w:hAnsi="Times New Roman" w:cs="Times New Roman"/>
            <w:color w:val="0070C0"/>
            <w:sz w:val="24"/>
            <w:szCs w:val="24"/>
            <w:u w:val="none"/>
          </w:rPr>
          <w:t>https://doi.org/10.1093/rpd/ncad179</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61FC7"/>
    <w:rsid w:val="004B77E2"/>
    <w:rsid w:val="004F276A"/>
    <w:rsid w:val="00514AEC"/>
    <w:rsid w:val="00520888"/>
    <w:rsid w:val="005241A4"/>
    <w:rsid w:val="005429A8"/>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l-author-name-more">
    <w:name w:val="al-author-name-more"/>
    <w:basedOn w:val="DefaultParagraphFont"/>
    <w:rsid w:val="00514AEC"/>
  </w:style>
  <w:style w:type="character" w:customStyle="1" w:styleId="delimiter">
    <w:name w:val="delimiter"/>
    <w:basedOn w:val="DefaultParagraphFont"/>
    <w:rsid w:val="00514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22128257">
      <w:bodyDiv w:val="1"/>
      <w:marLeft w:val="0"/>
      <w:marRight w:val="0"/>
      <w:marTop w:val="0"/>
      <w:marBottom w:val="0"/>
      <w:divBdr>
        <w:top w:val="none" w:sz="0" w:space="0" w:color="auto"/>
        <w:left w:val="none" w:sz="0" w:space="0" w:color="auto"/>
        <w:bottom w:val="none" w:sz="0" w:space="0" w:color="auto"/>
        <w:right w:val="none" w:sz="0" w:space="0" w:color="auto"/>
      </w:divBdr>
      <w:divsChild>
        <w:div w:id="974069426">
          <w:marLeft w:val="0"/>
          <w:marRight w:val="0"/>
          <w:marTop w:val="0"/>
          <w:marBottom w:val="0"/>
          <w:divBdr>
            <w:top w:val="none" w:sz="0" w:space="0" w:color="auto"/>
            <w:left w:val="none" w:sz="0" w:space="0" w:color="auto"/>
            <w:bottom w:val="none" w:sz="0" w:space="0" w:color="auto"/>
            <w:right w:val="none" w:sz="0" w:space="0" w:color="auto"/>
          </w:divBdr>
          <w:divsChild>
            <w:div w:id="186616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93/rpd/ncad1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2024-07-02T04:03:00Z</dcterms:created>
  <dcterms:modified xsi:type="dcterms:W3CDTF">2024-07-04T06:32:00Z</dcterms:modified>
</cp:coreProperties>
</file>