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196" w:rsidRDefault="00B60196">
      <w:pPr>
        <w:rPr>
          <w:rStyle w:val="blue-tooltip"/>
          <w:rFonts w:ascii="Times New Roman" w:hAnsi="Times New Roman" w:cs="Times New Roman"/>
          <w:bCs/>
          <w:sz w:val="40"/>
          <w:szCs w:val="40"/>
        </w:rPr>
      </w:pPr>
      <w:r w:rsidRPr="00B60196">
        <w:rPr>
          <w:rStyle w:val="blue-tooltip"/>
          <w:rFonts w:ascii="Times New Roman" w:hAnsi="Times New Roman" w:cs="Times New Roman"/>
          <w:bCs/>
          <w:sz w:val="40"/>
          <w:szCs w:val="40"/>
        </w:rPr>
        <w:t xml:space="preserve">Optimization of Ultrasound-Assisted Extraction Using Response Surface Methodology for Total Anthocyanin Content, Total Phenolic Content, and Antioxidant Activities of Roselle (Hibiscus </w:t>
      </w:r>
      <w:proofErr w:type="spellStart"/>
      <w:r w:rsidRPr="00B60196">
        <w:rPr>
          <w:rStyle w:val="blue-tooltip"/>
          <w:rFonts w:ascii="Times New Roman" w:hAnsi="Times New Roman" w:cs="Times New Roman"/>
          <w:bCs/>
          <w:sz w:val="40"/>
          <w:szCs w:val="40"/>
        </w:rPr>
        <w:t>sabdariffa</w:t>
      </w:r>
      <w:proofErr w:type="spellEnd"/>
      <w:r w:rsidRPr="00B60196">
        <w:rPr>
          <w:rStyle w:val="blue-tooltip"/>
          <w:rFonts w:ascii="Times New Roman" w:hAnsi="Times New Roman" w:cs="Times New Roman"/>
          <w:bCs/>
          <w:sz w:val="40"/>
          <w:szCs w:val="40"/>
        </w:rPr>
        <w:t xml:space="preserve"> L.) Calyces and Comparison </w:t>
      </w:r>
      <w:r w:rsidR="00EC414D" w:rsidRPr="00B60196">
        <w:rPr>
          <w:rStyle w:val="blue-tooltip"/>
          <w:rFonts w:ascii="Times New Roman" w:hAnsi="Times New Roman" w:cs="Times New Roman"/>
          <w:bCs/>
          <w:sz w:val="40"/>
          <w:szCs w:val="40"/>
        </w:rPr>
        <w:t>with</w:t>
      </w:r>
      <w:r w:rsidRPr="00B60196">
        <w:rPr>
          <w:rStyle w:val="blue-tooltip"/>
          <w:rFonts w:ascii="Times New Roman" w:hAnsi="Times New Roman" w:cs="Times New Roman"/>
          <w:bCs/>
          <w:sz w:val="40"/>
          <w:szCs w:val="40"/>
        </w:rPr>
        <w:t xml:space="preserve"> Conventional </w:t>
      </w:r>
      <w:proofErr w:type="spellStart"/>
      <w:r w:rsidRPr="00B60196">
        <w:rPr>
          <w:rStyle w:val="blue-tooltip"/>
          <w:rFonts w:ascii="Times New Roman" w:hAnsi="Times New Roman" w:cs="Times New Roman"/>
          <w:bCs/>
          <w:sz w:val="40"/>
          <w:szCs w:val="40"/>
        </w:rPr>
        <w:t>Soxhlet</w:t>
      </w:r>
      <w:proofErr w:type="spellEnd"/>
    </w:p>
    <w:p w:rsidR="00EC414D" w:rsidRDefault="00EC414D" w:rsidP="00EC414D">
      <w:pPr>
        <w:spacing w:before="100" w:beforeAutospacing="1" w:after="100" w:afterAutospacing="1" w:line="240" w:lineRule="auto"/>
        <w:jc w:val="both"/>
        <w:rPr>
          <w:rStyle w:val="blue-tooltip"/>
          <w:rFonts w:asciiTheme="majorHAnsi" w:hAnsiTheme="majorHAnsi" w:cstheme="majorHAnsi"/>
          <w:b/>
          <w:bCs/>
          <w:sz w:val="24"/>
          <w:szCs w:val="24"/>
        </w:rPr>
      </w:pPr>
    </w:p>
    <w:p w:rsidR="00EC414D" w:rsidRDefault="00056A8C" w:rsidP="00EC414D">
      <w:pPr>
        <w:spacing w:before="100" w:beforeAutospacing="1" w:after="100" w:afterAutospacing="1" w:line="240" w:lineRule="auto"/>
        <w:jc w:val="both"/>
      </w:pPr>
      <w:r w:rsidRPr="0000149F">
        <w:rPr>
          <w:rStyle w:val="blue-tooltip"/>
          <w:rFonts w:asciiTheme="majorHAnsi" w:hAnsiTheme="majorHAnsi" w:cstheme="majorHAnsi"/>
          <w:b/>
          <w:bCs/>
          <w:sz w:val="24"/>
          <w:szCs w:val="24"/>
        </w:rPr>
        <w:t xml:space="preserve">Author: </w:t>
      </w:r>
      <w:r w:rsidR="009437E0" w:rsidRPr="0000149F">
        <w:rPr>
          <w:rStyle w:val="blue-tooltip"/>
          <w:rFonts w:asciiTheme="majorHAnsi" w:hAnsiTheme="majorHAnsi" w:cstheme="majorHAnsi"/>
          <w:sz w:val="24"/>
          <w:szCs w:val="24"/>
        </w:rPr>
        <w:t xml:space="preserve"> </w:t>
      </w:r>
      <w:hyperlink r:id="rId7" w:anchor="auth-Tanvir-Ahmed-Aff1" w:history="1">
        <w:proofErr w:type="spellStart"/>
        <w:r w:rsidR="00EC414D" w:rsidRPr="00EC414D">
          <w:rPr>
            <w:rStyle w:val="Hyperlink"/>
            <w:color w:val="0070C0"/>
            <w:u w:val="none"/>
          </w:rPr>
          <w:t>Tanvir</w:t>
        </w:r>
        <w:proofErr w:type="spellEnd"/>
        <w:r w:rsidR="00EC414D" w:rsidRPr="00EC414D">
          <w:rPr>
            <w:rStyle w:val="Hyperlink"/>
            <w:color w:val="0070C0"/>
            <w:u w:val="none"/>
          </w:rPr>
          <w:t xml:space="preserve"> Ahmed</w:t>
        </w:r>
      </w:hyperlink>
      <w:r w:rsidR="00EC414D" w:rsidRPr="00EC414D">
        <w:rPr>
          <w:color w:val="0070C0"/>
        </w:rPr>
        <w:t xml:space="preserve">, </w:t>
      </w:r>
      <w:hyperlink r:id="rId8" w:anchor="auth-Md_Rahmatuzzaman-Rana-Aff1" w:history="1">
        <w:proofErr w:type="spellStart"/>
        <w:r w:rsidR="00EC414D" w:rsidRPr="00EC414D">
          <w:rPr>
            <w:rStyle w:val="Hyperlink"/>
            <w:color w:val="0070C0"/>
            <w:u w:val="none"/>
          </w:rPr>
          <w:t>Md</w:t>
        </w:r>
        <w:proofErr w:type="spellEnd"/>
        <w:r w:rsidR="00EC414D" w:rsidRPr="00EC414D">
          <w:rPr>
            <w:rStyle w:val="Hyperlink"/>
            <w:color w:val="0070C0"/>
            <w:u w:val="none"/>
          </w:rPr>
          <w:t xml:space="preserve"> </w:t>
        </w:r>
        <w:proofErr w:type="spellStart"/>
        <w:r w:rsidR="00EC414D" w:rsidRPr="00EC414D">
          <w:rPr>
            <w:rStyle w:val="Hyperlink"/>
            <w:color w:val="0070C0"/>
            <w:u w:val="none"/>
          </w:rPr>
          <w:t>Rahmatuzzaman</w:t>
        </w:r>
        <w:proofErr w:type="spellEnd"/>
        <w:r w:rsidR="00EC414D" w:rsidRPr="00EC414D">
          <w:rPr>
            <w:rStyle w:val="Hyperlink"/>
            <w:color w:val="0070C0"/>
            <w:u w:val="none"/>
          </w:rPr>
          <w:t xml:space="preserve"> </w:t>
        </w:r>
        <w:proofErr w:type="spellStart"/>
        <w:r w:rsidR="00EC414D" w:rsidRPr="00EC414D">
          <w:rPr>
            <w:rStyle w:val="Hyperlink"/>
            <w:color w:val="0070C0"/>
            <w:u w:val="none"/>
          </w:rPr>
          <w:t>Rana</w:t>
        </w:r>
        <w:proofErr w:type="spellEnd"/>
      </w:hyperlink>
      <w:r w:rsidR="00EC414D" w:rsidRPr="00EC414D">
        <w:rPr>
          <w:color w:val="0070C0"/>
        </w:rPr>
        <w:t xml:space="preserve">, </w:t>
      </w:r>
      <w:hyperlink r:id="rId9" w:anchor="auth-Mohammad_Afzal-Hossain-Aff1" w:history="1">
        <w:r w:rsidR="00EC414D" w:rsidRPr="00EC414D">
          <w:rPr>
            <w:rStyle w:val="Hyperlink"/>
            <w:color w:val="0070C0"/>
            <w:u w:val="none"/>
          </w:rPr>
          <w:t>Mohammad Afzal Hossain</w:t>
        </w:r>
      </w:hyperlink>
      <w:r w:rsidR="00EC414D" w:rsidRPr="00EC414D">
        <w:rPr>
          <w:color w:val="0070C0"/>
        </w:rPr>
        <w:t xml:space="preserve">, </w:t>
      </w:r>
      <w:hyperlink r:id="rId10" w:anchor="auth-Shakhawat-Ullah-Aff2" w:history="1">
        <w:proofErr w:type="spellStart"/>
        <w:r w:rsidR="00EC414D" w:rsidRPr="00EC414D">
          <w:rPr>
            <w:rStyle w:val="Hyperlink"/>
            <w:color w:val="0070C0"/>
            <w:u w:val="none"/>
          </w:rPr>
          <w:t>Shakhawat</w:t>
        </w:r>
        <w:proofErr w:type="spellEnd"/>
        <w:r w:rsidR="00EC414D" w:rsidRPr="00EC414D">
          <w:rPr>
            <w:rStyle w:val="Hyperlink"/>
            <w:color w:val="0070C0"/>
            <w:u w:val="none"/>
          </w:rPr>
          <w:t xml:space="preserve"> </w:t>
        </w:r>
        <w:proofErr w:type="spellStart"/>
        <w:r w:rsidR="00EC414D" w:rsidRPr="00EC414D">
          <w:rPr>
            <w:rStyle w:val="Hyperlink"/>
            <w:color w:val="0070C0"/>
            <w:u w:val="none"/>
          </w:rPr>
          <w:t>Ullah</w:t>
        </w:r>
        <w:proofErr w:type="spellEnd"/>
      </w:hyperlink>
      <w:r w:rsidR="00EC414D" w:rsidRPr="00EC414D">
        <w:rPr>
          <w:color w:val="0070C0"/>
        </w:rPr>
        <w:t xml:space="preserve">, </w:t>
      </w:r>
      <w:hyperlink r:id="rId11" w:anchor="auth-Md-Suzauddula-Aff3" w:history="1">
        <w:proofErr w:type="spellStart"/>
        <w:r w:rsidR="00EC414D" w:rsidRPr="00EC414D">
          <w:rPr>
            <w:rStyle w:val="Hyperlink"/>
            <w:color w:val="0070C0"/>
            <w:u w:val="none"/>
          </w:rPr>
          <w:t>Md</w:t>
        </w:r>
        <w:proofErr w:type="spellEnd"/>
        <w:r w:rsidR="00EC414D" w:rsidRPr="00EC414D">
          <w:rPr>
            <w:rStyle w:val="Hyperlink"/>
            <w:color w:val="0070C0"/>
            <w:u w:val="none"/>
          </w:rPr>
          <w:t xml:space="preserve"> </w:t>
        </w:r>
        <w:proofErr w:type="spellStart"/>
        <w:r w:rsidR="00EC414D" w:rsidRPr="00EC414D">
          <w:rPr>
            <w:rStyle w:val="Hyperlink"/>
            <w:color w:val="0070C0"/>
            <w:u w:val="none"/>
          </w:rPr>
          <w:t>Suzauddula</w:t>
        </w:r>
        <w:proofErr w:type="spellEnd"/>
      </w:hyperlink>
      <w:r w:rsidR="00EC414D">
        <w:t> </w:t>
      </w:r>
    </w:p>
    <w:p w:rsidR="00EC414D" w:rsidRDefault="00EC414D" w:rsidP="00EC414D">
      <w:pPr>
        <w:jc w:val="both"/>
        <w:rPr>
          <w:rStyle w:val="blue-tooltip"/>
          <w:rFonts w:asciiTheme="majorHAnsi" w:hAnsiTheme="majorHAnsi" w:cstheme="majorHAnsi"/>
          <w:b/>
          <w:sz w:val="24"/>
          <w:szCs w:val="24"/>
        </w:rPr>
      </w:pPr>
    </w:p>
    <w:p w:rsidR="00EC414D" w:rsidRDefault="00EC414D" w:rsidP="00EC414D">
      <w:pPr>
        <w:jc w:val="both"/>
        <w:rPr>
          <w:rStyle w:val="blue-tooltip"/>
          <w:rFonts w:asciiTheme="majorHAnsi" w:hAnsiTheme="majorHAnsi" w:cstheme="majorHAnsi"/>
          <w:b/>
          <w:sz w:val="24"/>
          <w:szCs w:val="24"/>
        </w:rPr>
      </w:pPr>
      <w:r>
        <w:rPr>
          <w:rStyle w:val="blue-tooltip"/>
          <w:rFonts w:asciiTheme="majorHAnsi" w:hAnsiTheme="majorHAnsi" w:cstheme="majorHAnsi"/>
          <w:b/>
          <w:sz w:val="24"/>
          <w:szCs w:val="24"/>
        </w:rPr>
        <w:t>Abstract:</w:t>
      </w:r>
    </w:p>
    <w:p w:rsidR="00286666" w:rsidRPr="0000149F" w:rsidRDefault="00EC414D" w:rsidP="00EC414D">
      <w:pPr>
        <w:jc w:val="both"/>
        <w:rPr>
          <w:rStyle w:val="blue-tooltip"/>
          <w:rFonts w:asciiTheme="majorHAnsi" w:hAnsiTheme="majorHAnsi" w:cstheme="majorHAnsi"/>
          <w:b/>
          <w:sz w:val="24"/>
          <w:szCs w:val="24"/>
        </w:rPr>
      </w:pPr>
      <w:r>
        <w:t>Response surface methodology (RSM) and a Box-</w:t>
      </w:r>
      <w:proofErr w:type="spellStart"/>
      <w:r>
        <w:t>Behnken</w:t>
      </w:r>
      <w:proofErr w:type="spellEnd"/>
      <w:r>
        <w:t xml:space="preserve"> design (BBD) were used to determine optimum conditions for ultrasound-assisted extraction (UAE) of Hibiscus </w:t>
      </w:r>
      <w:proofErr w:type="spellStart"/>
      <w:r>
        <w:t>sabdariffa</w:t>
      </w:r>
      <w:proofErr w:type="spellEnd"/>
      <w:r>
        <w:t xml:space="preserve"> L. calyces. The current study applied BBD to explore the effects of X1: ultrasonic temperature (30–80 °C), X2: ultrasonic time (20–50 min.), and X3: solid-to-solvent ratio (1:10–1:60) on total anthocyanin content (TAC), total phenolic content (TPC), and antioxidant activities (2</w:t>
      </w:r>
      <w:proofErr w:type="gramStart"/>
      <w:r>
        <w:t>,2</w:t>
      </w:r>
      <w:proofErr w:type="gramEnd"/>
      <w:r>
        <w:t xml:space="preserve">-diphenylpicrylhydrazyl (DPPH) and ferric ion reducing antioxidant power (FRAP) assays). ANOVA results revealed that TAC, TPC, DPPH, and FRAP all had R2 values of 0.98, 0.97, 0.98, and 0.98, respectively, indicating that models designed with second-order polynomials were capable of reliably analyzing interactions between parameters (response and independent variables) satisfactorily. It was determined from the RSM study that 80 °C ultrasound temperature, 48 min. ultrasound time, and 1:60 solid-to-solvent ratio were the optimum extraction parameters for maximizing TAC, TPC, DPPH, and FRAP. The experimental values for TAC, TPC, DPPH, and FRAP were 311 ± 5 mg CGE/100 g, 572 ± 7 mg GAE/100 g, 974 ± 3 </w:t>
      </w:r>
      <w:proofErr w:type="spellStart"/>
      <w:r>
        <w:t>μmolTE</w:t>
      </w:r>
      <w:proofErr w:type="spellEnd"/>
      <w:r>
        <w:t xml:space="preserve">/100 mL, and 2332 ± 3 </w:t>
      </w:r>
      <w:proofErr w:type="spellStart"/>
      <w:r>
        <w:t>μmolTE</w:t>
      </w:r>
      <w:proofErr w:type="spellEnd"/>
      <w:r>
        <w:t xml:space="preserve">/100 mL, respectively, under the optimal conditions. Also, a good agreement was found between experimental and predicted values, with a residual standard error of less than 5%. Compared to the yield of </w:t>
      </w:r>
      <w:proofErr w:type="spellStart"/>
      <w:r>
        <w:t>Soxhlet</w:t>
      </w:r>
      <w:proofErr w:type="spellEnd"/>
      <w:r>
        <w:t xml:space="preserve"> extraction for TAC (176 ± 4 mg CGE/100 g), TPC (210 ± 3 mg GAE/100 g), DPPH (534 ± 2 </w:t>
      </w:r>
      <w:proofErr w:type="spellStart"/>
      <w:r>
        <w:t>μmolTE</w:t>
      </w:r>
      <w:proofErr w:type="spellEnd"/>
      <w:r>
        <w:t xml:space="preserve">/100 mL), and FRAP (1732 ± 3 </w:t>
      </w:r>
      <w:proofErr w:type="spellStart"/>
      <w:r>
        <w:t>μmolTE</w:t>
      </w:r>
      <w:proofErr w:type="spellEnd"/>
      <w:r>
        <w:t>/100 mL), the extraction efficacy of the UAE process under optimized conditions demonstrated to be more effective. Therefore, based on the needs of the industry and sustainable development, the UAE process might be an economical alternative to traditional extraction methods.</w:t>
      </w:r>
    </w:p>
    <w:p w:rsidR="000816E0" w:rsidRDefault="000816E0" w:rsidP="00EC414D">
      <w:pPr>
        <w:spacing w:before="150" w:after="150" w:line="240" w:lineRule="auto"/>
        <w:jc w:val="both"/>
        <w:rPr>
          <w:rFonts w:asciiTheme="majorHAnsi" w:hAnsiTheme="majorHAnsi" w:cstheme="majorHAnsi"/>
          <w:b/>
          <w:bCs/>
          <w:sz w:val="24"/>
          <w:szCs w:val="24"/>
          <w:shd w:val="clear" w:color="auto" w:fill="FFFFFF"/>
        </w:rPr>
      </w:pPr>
      <w:bookmarkStart w:id="0" w:name="_GoBack"/>
      <w:bookmarkEnd w:id="0"/>
      <w:r w:rsidRPr="0000149F">
        <w:rPr>
          <w:rFonts w:asciiTheme="majorHAnsi" w:hAnsiTheme="majorHAnsi" w:cstheme="majorHAnsi"/>
          <w:b/>
          <w:bCs/>
          <w:sz w:val="24"/>
          <w:szCs w:val="24"/>
          <w:shd w:val="clear" w:color="auto" w:fill="FFFFFF"/>
        </w:rPr>
        <w:t>Conference / Journal Link:</w:t>
      </w:r>
    </w:p>
    <w:bookmarkStart w:id="1" w:name="cj_link"/>
    <w:p w:rsidR="00EC414D" w:rsidRPr="00EC414D" w:rsidRDefault="00EC414D" w:rsidP="00EC414D">
      <w:pPr>
        <w:spacing w:before="150" w:after="150" w:line="240" w:lineRule="auto"/>
        <w:jc w:val="both"/>
        <w:rPr>
          <w:rFonts w:asciiTheme="majorHAnsi" w:hAnsiTheme="majorHAnsi" w:cstheme="majorHAnsi"/>
          <w:b/>
          <w:bCs/>
          <w:color w:val="0070C0"/>
          <w:sz w:val="24"/>
          <w:szCs w:val="24"/>
          <w:shd w:val="clear" w:color="auto" w:fill="FFFFFF"/>
        </w:rPr>
      </w:pPr>
      <w:r w:rsidRPr="00EC414D">
        <w:rPr>
          <w:color w:val="0070C0"/>
        </w:rPr>
        <w:fldChar w:fldCharType="begin"/>
      </w:r>
      <w:r w:rsidRPr="00EC414D">
        <w:rPr>
          <w:color w:val="0070C0"/>
        </w:rPr>
        <w:instrText xml:space="preserve"> HYPERLINK "https://link.springer.com/article/10.1007/s13399-023-03881-y" \t "_blank" </w:instrText>
      </w:r>
      <w:r w:rsidRPr="00EC414D">
        <w:rPr>
          <w:color w:val="0070C0"/>
        </w:rPr>
        <w:fldChar w:fldCharType="separate"/>
      </w:r>
      <w:r w:rsidRPr="00EC414D">
        <w:rPr>
          <w:rStyle w:val="Hyperlink"/>
          <w:color w:val="0070C0"/>
          <w:u w:val="none"/>
        </w:rPr>
        <w:t>https://link.springer.com/article/10.1007/s13399-023-03881-y</w:t>
      </w:r>
      <w:r w:rsidRPr="00EC414D">
        <w:rPr>
          <w:color w:val="0070C0"/>
        </w:rPr>
        <w:fldChar w:fldCharType="end"/>
      </w:r>
      <w:bookmarkEnd w:id="1"/>
    </w:p>
    <w:p w:rsidR="000816E0" w:rsidRDefault="000816E0" w:rsidP="00EC414D">
      <w:pPr>
        <w:spacing w:before="150"/>
        <w:jc w:val="both"/>
        <w:rPr>
          <w:rFonts w:asciiTheme="majorHAnsi" w:hAnsiTheme="majorHAnsi" w:cstheme="majorHAnsi"/>
          <w:b/>
          <w:sz w:val="24"/>
          <w:szCs w:val="24"/>
        </w:rPr>
      </w:pPr>
      <w:r w:rsidRPr="0000149F">
        <w:rPr>
          <w:rFonts w:asciiTheme="majorHAnsi" w:hAnsiTheme="majorHAnsi" w:cstheme="majorHAnsi"/>
          <w:b/>
          <w:sz w:val="24"/>
          <w:szCs w:val="24"/>
        </w:rPr>
        <w:t>DOI:</w:t>
      </w:r>
    </w:p>
    <w:p w:rsidR="00EC414D" w:rsidRPr="00EC414D" w:rsidRDefault="00EC414D" w:rsidP="00EC414D">
      <w:pPr>
        <w:spacing w:before="150"/>
        <w:jc w:val="both"/>
        <w:rPr>
          <w:rFonts w:asciiTheme="majorHAnsi" w:hAnsiTheme="majorHAnsi" w:cstheme="majorHAnsi"/>
          <w:b/>
          <w:color w:val="0070C0"/>
          <w:sz w:val="24"/>
          <w:szCs w:val="24"/>
        </w:rPr>
      </w:pPr>
      <w:r w:rsidRPr="00EC414D">
        <w:rPr>
          <w:rStyle w:val="c-bibliographic-informationvalue"/>
          <w:color w:val="0070C0"/>
        </w:rPr>
        <w:t>ttps://doi.org/10.1007/s13399-023-03881-y</w:t>
      </w: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DA9" w:rsidRDefault="00535DA9" w:rsidP="00EC414D">
      <w:pPr>
        <w:spacing w:after="0" w:line="240" w:lineRule="auto"/>
      </w:pPr>
      <w:r>
        <w:separator/>
      </w:r>
    </w:p>
  </w:endnote>
  <w:endnote w:type="continuationSeparator" w:id="0">
    <w:p w:rsidR="00535DA9" w:rsidRDefault="00535DA9" w:rsidP="00EC4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DA9" w:rsidRDefault="00535DA9" w:rsidP="00EC414D">
      <w:pPr>
        <w:spacing w:after="0" w:line="240" w:lineRule="auto"/>
      </w:pPr>
      <w:r>
        <w:separator/>
      </w:r>
    </w:p>
  </w:footnote>
  <w:footnote w:type="continuationSeparator" w:id="0">
    <w:p w:rsidR="00535DA9" w:rsidRDefault="00535DA9" w:rsidP="00EC41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1618F"/>
    <w:multiLevelType w:val="multilevel"/>
    <w:tmpl w:val="F2D6A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17DB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35DA9"/>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546C0"/>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66CCC"/>
    <w:rsid w:val="009A5C55"/>
    <w:rsid w:val="00A6337C"/>
    <w:rsid w:val="00A675F1"/>
    <w:rsid w:val="00A70799"/>
    <w:rsid w:val="00A94B34"/>
    <w:rsid w:val="00AB508E"/>
    <w:rsid w:val="00AC4B91"/>
    <w:rsid w:val="00AC5C4F"/>
    <w:rsid w:val="00B12BAA"/>
    <w:rsid w:val="00B2123C"/>
    <w:rsid w:val="00B409D9"/>
    <w:rsid w:val="00B465FB"/>
    <w:rsid w:val="00B60196"/>
    <w:rsid w:val="00BB2349"/>
    <w:rsid w:val="00BC2981"/>
    <w:rsid w:val="00BF3FDC"/>
    <w:rsid w:val="00C11EB7"/>
    <w:rsid w:val="00C433C0"/>
    <w:rsid w:val="00C665A2"/>
    <w:rsid w:val="00C72C91"/>
    <w:rsid w:val="00C916C7"/>
    <w:rsid w:val="00CA5BD2"/>
    <w:rsid w:val="00CC6082"/>
    <w:rsid w:val="00CD04D8"/>
    <w:rsid w:val="00CD6A55"/>
    <w:rsid w:val="00CF2D6D"/>
    <w:rsid w:val="00CF7BBD"/>
    <w:rsid w:val="00D11FFB"/>
    <w:rsid w:val="00D26612"/>
    <w:rsid w:val="00D63D85"/>
    <w:rsid w:val="00DA36C1"/>
    <w:rsid w:val="00DE2BB8"/>
    <w:rsid w:val="00DF18D8"/>
    <w:rsid w:val="00DF3561"/>
    <w:rsid w:val="00E14578"/>
    <w:rsid w:val="00E4205A"/>
    <w:rsid w:val="00E5274D"/>
    <w:rsid w:val="00E608D3"/>
    <w:rsid w:val="00E65008"/>
    <w:rsid w:val="00E676C5"/>
    <w:rsid w:val="00EC414D"/>
    <w:rsid w:val="00EE054B"/>
    <w:rsid w:val="00EE3075"/>
    <w:rsid w:val="00EE3F35"/>
    <w:rsid w:val="00EE40A0"/>
    <w:rsid w:val="00EF3278"/>
    <w:rsid w:val="00F63824"/>
    <w:rsid w:val="00FD39A4"/>
    <w:rsid w:val="00FD7BD8"/>
    <w:rsid w:val="00FF203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EC414D"/>
  </w:style>
  <w:style w:type="paragraph" w:styleId="Header">
    <w:name w:val="header"/>
    <w:basedOn w:val="Normal"/>
    <w:link w:val="HeaderChar"/>
    <w:uiPriority w:val="99"/>
    <w:unhideWhenUsed/>
    <w:rsid w:val="00EC4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14D"/>
  </w:style>
  <w:style w:type="paragraph" w:styleId="Footer">
    <w:name w:val="footer"/>
    <w:basedOn w:val="Normal"/>
    <w:link w:val="FooterChar"/>
    <w:uiPriority w:val="99"/>
    <w:unhideWhenUsed/>
    <w:rsid w:val="00EC4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1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95627">
      <w:bodyDiv w:val="1"/>
      <w:marLeft w:val="0"/>
      <w:marRight w:val="0"/>
      <w:marTop w:val="0"/>
      <w:marBottom w:val="0"/>
      <w:divBdr>
        <w:top w:val="none" w:sz="0" w:space="0" w:color="auto"/>
        <w:left w:val="none" w:sz="0" w:space="0" w:color="auto"/>
        <w:bottom w:val="none" w:sz="0" w:space="0" w:color="auto"/>
        <w:right w:val="none" w:sz="0" w:space="0" w:color="auto"/>
      </w:divBdr>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3399-023-03881-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nk.springer.com/article/10.1007/s13399-023-03881-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nk.springer.com/article/10.1007/s13399-023-03881-y" TargetMode="External"/><Relationship Id="rId5" Type="http://schemas.openxmlformats.org/officeDocument/2006/relationships/footnotes" Target="footnotes.xml"/><Relationship Id="rId10" Type="http://schemas.openxmlformats.org/officeDocument/2006/relationships/hyperlink" Target="https://link.springer.com/article/10.1007/s13399-023-03881-y" TargetMode="External"/><Relationship Id="rId4" Type="http://schemas.openxmlformats.org/officeDocument/2006/relationships/webSettings" Target="webSettings.xml"/><Relationship Id="rId9" Type="http://schemas.openxmlformats.org/officeDocument/2006/relationships/hyperlink" Target="https://link.springer.com/article/10.1007/s13399-023-03881-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2024-07-06T09:50:00Z</dcterms:created>
  <dcterms:modified xsi:type="dcterms:W3CDTF">2024-07-08T07:18:00Z</dcterms:modified>
</cp:coreProperties>
</file>