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17E" w:rsidRDefault="0092117E" w:rsidP="0092117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9211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The burden of chr</w:t>
      </w:r>
      <w:bookmarkStart w:id="0" w:name="_GoBack"/>
      <w:bookmarkEnd w:id="0"/>
      <w:r w:rsidRPr="009211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onic diseases, disease-stratified exploration and gender-differentiated healthcare utilisation among patients in Bangladesh</w:t>
      </w:r>
    </w:p>
    <w:p w:rsidR="0092117E" w:rsidRPr="003105D3" w:rsidRDefault="0092117E" w:rsidP="003105D3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</w:rPr>
      </w:pP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Rashidul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Alam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Mahumud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Jeff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Gow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Md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Parvez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Mosharaf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Satyajit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Kundu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Md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Ashfikur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Rahman,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Natisha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Dukhi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Md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Shahajalal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Sabuj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Kanti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Mistry,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Khorshed</w:t>
      </w:r>
      <w:proofErr w:type="spellEnd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 xml:space="preserve"> </w:t>
      </w:r>
      <w:proofErr w:type="spellStart"/>
      <w:r w:rsidRPr="003105D3">
        <w:rPr>
          <w:rFonts w:ascii="Times New Roman" w:eastAsia="Times New Roman" w:hAnsi="Times New Roman" w:cs="Times New Roman"/>
          <w:b/>
          <w:bCs/>
          <w:color w:val="000000"/>
          <w:kern w:val="36"/>
        </w:rPr>
        <w:t>Alam</w:t>
      </w:r>
      <w:proofErr w:type="spellEnd"/>
    </w:p>
    <w:p w:rsidR="0092117E" w:rsidRPr="003105D3" w:rsidRDefault="0092117E" w:rsidP="00310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</w:rPr>
      </w:pPr>
      <w:r w:rsidRPr="0092117E">
        <w:rPr>
          <w:rFonts w:ascii="Times New Roman" w:eastAsia="Times New Roman" w:hAnsi="Times New Roman" w:cs="Times New Roman"/>
          <w:color w:val="4C4C4C"/>
        </w:rPr>
        <w:t>Abstract</w:t>
      </w:r>
    </w:p>
    <w:p w:rsidR="0092117E" w:rsidRPr="003105D3" w:rsidRDefault="0092117E" w:rsidP="003105D3">
      <w:pPr>
        <w:pStyle w:val="Heading3"/>
        <w:shd w:val="clear" w:color="auto" w:fill="FFFFFF"/>
        <w:spacing w:before="0" w:after="270" w:line="270" w:lineRule="atLeast"/>
        <w:jc w:val="both"/>
        <w:rPr>
          <w:rFonts w:ascii="Times New Roman" w:hAnsi="Times New Roman" w:cs="Times New Roman"/>
          <w:color w:val="202020"/>
          <w:sz w:val="22"/>
          <w:szCs w:val="22"/>
        </w:rPr>
      </w:pPr>
      <w:r w:rsidRPr="003105D3">
        <w:rPr>
          <w:rFonts w:ascii="Times New Roman" w:hAnsi="Times New Roman" w:cs="Times New Roman"/>
          <w:color w:val="202020"/>
          <w:sz w:val="22"/>
          <w:szCs w:val="22"/>
        </w:rPr>
        <w:t>Background</w:t>
      </w:r>
    </w:p>
    <w:p w:rsidR="0092117E" w:rsidRPr="003105D3" w:rsidRDefault="0092117E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color w:val="202020"/>
          <w:sz w:val="22"/>
          <w:szCs w:val="22"/>
        </w:rPr>
      </w:pPr>
      <w:r w:rsidRPr="003105D3">
        <w:rPr>
          <w:color w:val="202020"/>
          <w:sz w:val="22"/>
          <w:szCs w:val="22"/>
        </w:rPr>
        <w:t>Chronic diseases are considered one of the major causes of illness, disability, and death worldwide. Chronic illness leads to a huge health and economic burden, especially in low- and middle-income countries. This study examined disease-stratified healthcare utilisation (HCU) among Bangladesh patients with chronic diseases from a gender perspective.</w:t>
      </w:r>
    </w:p>
    <w:p w:rsidR="0092117E" w:rsidRPr="003105D3" w:rsidRDefault="0092117E" w:rsidP="003105D3">
      <w:pPr>
        <w:pStyle w:val="Heading3"/>
        <w:shd w:val="clear" w:color="auto" w:fill="FFFFFF"/>
        <w:spacing w:before="0" w:after="270" w:line="270" w:lineRule="atLeast"/>
        <w:jc w:val="both"/>
        <w:rPr>
          <w:rFonts w:ascii="Times New Roman" w:hAnsi="Times New Roman" w:cs="Times New Roman"/>
          <w:color w:val="202020"/>
          <w:sz w:val="22"/>
          <w:szCs w:val="22"/>
        </w:rPr>
      </w:pPr>
      <w:bookmarkStart w:id="1" w:name="sec002"/>
      <w:bookmarkEnd w:id="1"/>
      <w:r w:rsidRPr="003105D3">
        <w:rPr>
          <w:rFonts w:ascii="Times New Roman" w:hAnsi="Times New Roman" w:cs="Times New Roman"/>
          <w:color w:val="202020"/>
          <w:sz w:val="22"/>
          <w:szCs w:val="22"/>
        </w:rPr>
        <w:t>Methods</w:t>
      </w:r>
    </w:p>
    <w:p w:rsidR="0092117E" w:rsidRPr="003105D3" w:rsidRDefault="0092117E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color w:val="202020"/>
          <w:sz w:val="22"/>
          <w:szCs w:val="22"/>
        </w:rPr>
      </w:pPr>
      <w:r w:rsidRPr="003105D3">
        <w:rPr>
          <w:color w:val="202020"/>
          <w:sz w:val="22"/>
          <w:szCs w:val="22"/>
        </w:rPr>
        <w:t>Data from the nationally representative Household Income and Expenditure Survey 2016–2017 consisting of 12,005 patients with diagnosed chronic diseases was used. Gender differentiated chronic disease stratified-analytical exploration was performed to identify the potential factors to higher or lower utilisation of healthcare services. Logistic regression with step-by-step adjustment for independent confounding factors was the method used.</w:t>
      </w:r>
    </w:p>
    <w:p w:rsidR="0092117E" w:rsidRPr="003105D3" w:rsidRDefault="0092117E" w:rsidP="003105D3">
      <w:pPr>
        <w:pStyle w:val="Heading3"/>
        <w:shd w:val="clear" w:color="auto" w:fill="FFFFFF"/>
        <w:spacing w:before="0" w:after="270" w:line="270" w:lineRule="atLeast"/>
        <w:jc w:val="both"/>
        <w:rPr>
          <w:rFonts w:ascii="Times New Roman" w:hAnsi="Times New Roman" w:cs="Times New Roman"/>
          <w:color w:val="202020"/>
          <w:sz w:val="22"/>
          <w:szCs w:val="22"/>
        </w:rPr>
      </w:pPr>
      <w:bookmarkStart w:id="2" w:name="sec003"/>
      <w:bookmarkEnd w:id="2"/>
      <w:r w:rsidRPr="003105D3">
        <w:rPr>
          <w:rFonts w:ascii="Times New Roman" w:hAnsi="Times New Roman" w:cs="Times New Roman"/>
          <w:color w:val="202020"/>
          <w:sz w:val="22"/>
          <w:szCs w:val="22"/>
        </w:rPr>
        <w:t>Results</w:t>
      </w:r>
    </w:p>
    <w:p w:rsidR="0092117E" w:rsidRPr="003105D3" w:rsidRDefault="0092117E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color w:val="202020"/>
          <w:sz w:val="22"/>
          <w:szCs w:val="22"/>
        </w:rPr>
      </w:pPr>
      <w:r w:rsidRPr="003105D3">
        <w:rPr>
          <w:color w:val="202020"/>
          <w:sz w:val="22"/>
          <w:szCs w:val="22"/>
        </w:rPr>
        <w:t xml:space="preserve">The five most prevalent chronic diseases among patients were gastric/ulcer (Male/Female, M/F: 16.77%/16.40%), arthritis/rheumatism (M/F: 13.70%/ 13.86%), respiratory diseases/asthma/bronchitis (M/F: 12.09% / 12.55%), chronic heart disease (M/F: 8.30% / 7.41%), and blood pressure (M/F: 8.20% / 8.87%). Eighty-six percent of patients with chronic diseases </w:t>
      </w:r>
      <w:proofErr w:type="spellStart"/>
      <w:r w:rsidRPr="003105D3">
        <w:rPr>
          <w:color w:val="202020"/>
          <w:sz w:val="22"/>
          <w:szCs w:val="22"/>
        </w:rPr>
        <w:t>utilised</w:t>
      </w:r>
      <w:proofErr w:type="spellEnd"/>
      <w:r w:rsidRPr="003105D3">
        <w:rPr>
          <w:color w:val="202020"/>
          <w:sz w:val="22"/>
          <w:szCs w:val="22"/>
        </w:rPr>
        <w:t xml:space="preserve"> health care services during the previous 30 days. Although most patients received outpatient healthcare services, a substantial difference in HCU among employed male (53%) and female (8%) patients were observed. Chronic heart disease patients were more likely to </w:t>
      </w:r>
      <w:proofErr w:type="spellStart"/>
      <w:r w:rsidRPr="003105D3">
        <w:rPr>
          <w:color w:val="202020"/>
          <w:sz w:val="22"/>
          <w:szCs w:val="22"/>
        </w:rPr>
        <w:t>utilise</w:t>
      </w:r>
      <w:proofErr w:type="spellEnd"/>
      <w:r w:rsidRPr="003105D3">
        <w:rPr>
          <w:color w:val="202020"/>
          <w:sz w:val="22"/>
          <w:szCs w:val="22"/>
        </w:rPr>
        <w:t xml:space="preserve"> health care than other disease types, which held true for both genders while the magnitude of HCU was significantly higher in males (OR = 2.22; 95% CI:1.51–3.26) than their female counterparts (OR = 1.44; 1.02–2.04). A similar association was observed among patients with diabetes and respiratory diseases.</w:t>
      </w:r>
    </w:p>
    <w:p w:rsidR="0092117E" w:rsidRPr="003105D3" w:rsidRDefault="0092117E" w:rsidP="003105D3">
      <w:pPr>
        <w:pStyle w:val="Heading3"/>
        <w:shd w:val="clear" w:color="auto" w:fill="FFFFFF"/>
        <w:spacing w:before="0" w:after="270" w:line="270" w:lineRule="atLeast"/>
        <w:jc w:val="both"/>
        <w:rPr>
          <w:rFonts w:ascii="Times New Roman" w:hAnsi="Times New Roman" w:cs="Times New Roman"/>
          <w:color w:val="202020"/>
          <w:sz w:val="22"/>
          <w:szCs w:val="22"/>
        </w:rPr>
      </w:pPr>
      <w:bookmarkStart w:id="3" w:name="sec004"/>
      <w:bookmarkEnd w:id="3"/>
      <w:r w:rsidRPr="003105D3">
        <w:rPr>
          <w:rFonts w:ascii="Times New Roman" w:hAnsi="Times New Roman" w:cs="Times New Roman"/>
          <w:color w:val="202020"/>
          <w:sz w:val="22"/>
          <w:szCs w:val="22"/>
        </w:rPr>
        <w:t>Conclusion</w:t>
      </w:r>
    </w:p>
    <w:p w:rsidR="0092117E" w:rsidRPr="003105D3" w:rsidRDefault="0092117E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color w:val="202020"/>
          <w:sz w:val="22"/>
          <w:szCs w:val="22"/>
        </w:rPr>
      </w:pPr>
      <w:bookmarkStart w:id="4" w:name="article1.front1.article-meta1.abstract1."/>
      <w:bookmarkEnd w:id="4"/>
      <w:r w:rsidRPr="003105D3">
        <w:rPr>
          <w:color w:val="202020"/>
          <w:sz w:val="22"/>
          <w:szCs w:val="22"/>
        </w:rPr>
        <w:t xml:space="preserve">A burden of chronic diseases was observed in Bangladesh. Patients with chronic heart disease </w:t>
      </w:r>
      <w:proofErr w:type="spellStart"/>
      <w:r w:rsidRPr="003105D3">
        <w:rPr>
          <w:color w:val="202020"/>
          <w:sz w:val="22"/>
          <w:szCs w:val="22"/>
        </w:rPr>
        <w:t>utilised</w:t>
      </w:r>
      <w:proofErr w:type="spellEnd"/>
      <w:r w:rsidRPr="003105D3">
        <w:rPr>
          <w:color w:val="202020"/>
          <w:sz w:val="22"/>
          <w:szCs w:val="22"/>
        </w:rPr>
        <w:t xml:space="preserve"> more healthcare services than patients experiencing other chronic diseases. The distribution of HCU varied by patient’s gender as well as their employment status. Risk-pooling mechanisms and access to free or low-cost healthcare services among the most disadvantaged people in society might enhance reaching universal health coverage.</w:t>
      </w:r>
    </w:p>
    <w:p w:rsidR="003105D3" w:rsidRPr="003105D3" w:rsidRDefault="003105D3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b/>
          <w:bCs/>
          <w:color w:val="4C4C4C"/>
          <w:sz w:val="22"/>
          <w:szCs w:val="22"/>
          <w:shd w:val="clear" w:color="auto" w:fill="FFFFFF"/>
        </w:rPr>
      </w:pPr>
      <w:r w:rsidRPr="003105D3">
        <w:rPr>
          <w:b/>
          <w:bCs/>
          <w:color w:val="4C4C4C"/>
          <w:sz w:val="22"/>
          <w:szCs w:val="22"/>
          <w:shd w:val="clear" w:color="auto" w:fill="FFFFFF"/>
        </w:rPr>
        <w:t>Conference / Journal Link</w:t>
      </w:r>
    </w:p>
    <w:bookmarkStart w:id="5" w:name="cj_link"/>
    <w:p w:rsidR="003105D3" w:rsidRPr="003105D3" w:rsidRDefault="003105D3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sz w:val="22"/>
          <w:szCs w:val="22"/>
        </w:rPr>
      </w:pPr>
      <w:r w:rsidRPr="003105D3">
        <w:rPr>
          <w:sz w:val="22"/>
          <w:szCs w:val="22"/>
        </w:rPr>
        <w:fldChar w:fldCharType="begin"/>
      </w:r>
      <w:r w:rsidRPr="003105D3">
        <w:rPr>
          <w:sz w:val="22"/>
          <w:szCs w:val="22"/>
        </w:rPr>
        <w:instrText xml:space="preserve"> HYPERLINK "https://journals.plos.org/plosone/article?id=10.1371/journal.pone.0284117" \t "_blank" </w:instrText>
      </w:r>
      <w:r w:rsidRPr="003105D3">
        <w:rPr>
          <w:sz w:val="22"/>
          <w:szCs w:val="22"/>
        </w:rPr>
        <w:fldChar w:fldCharType="separate"/>
      </w:r>
      <w:r w:rsidRPr="003105D3">
        <w:rPr>
          <w:rStyle w:val="Hyperlink"/>
          <w:color w:val="424242"/>
          <w:sz w:val="22"/>
          <w:szCs w:val="22"/>
          <w:shd w:val="clear" w:color="auto" w:fill="FFFFFF"/>
        </w:rPr>
        <w:t>https://journals.plos.org/plosone/article?id=10.1371/journal.pone.0284117</w:t>
      </w:r>
      <w:r w:rsidRPr="003105D3">
        <w:rPr>
          <w:sz w:val="22"/>
          <w:szCs w:val="22"/>
        </w:rPr>
        <w:fldChar w:fldCharType="end"/>
      </w:r>
      <w:bookmarkEnd w:id="5"/>
    </w:p>
    <w:p w:rsidR="003105D3" w:rsidRPr="003105D3" w:rsidRDefault="003105D3" w:rsidP="003105D3">
      <w:pPr>
        <w:pStyle w:val="NormalWeb"/>
        <w:shd w:val="clear" w:color="auto" w:fill="FFFFFF"/>
        <w:spacing w:before="0" w:beforeAutospacing="0" w:after="270" w:afterAutospacing="0" w:line="270" w:lineRule="atLeast"/>
        <w:jc w:val="both"/>
        <w:rPr>
          <w:color w:val="202020"/>
          <w:sz w:val="22"/>
          <w:szCs w:val="22"/>
        </w:rPr>
      </w:pPr>
      <w:r w:rsidRPr="003105D3">
        <w:rPr>
          <w:color w:val="202020"/>
          <w:sz w:val="22"/>
          <w:szCs w:val="22"/>
        </w:rPr>
        <w:t>DOI: 10.1371/journal.pone.0284117</w:t>
      </w:r>
    </w:p>
    <w:p w:rsidR="0092117E" w:rsidRPr="0092117E" w:rsidRDefault="0092117E" w:rsidP="0092117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</w:p>
    <w:p w:rsidR="0002044F" w:rsidRDefault="003105D3"/>
    <w:sectPr w:rsidR="00020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17E"/>
    <w:rsid w:val="002D76C8"/>
    <w:rsid w:val="003105D3"/>
    <w:rsid w:val="0065204A"/>
    <w:rsid w:val="0092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0E8F73-F172-43B3-ABE3-97535D23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11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1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1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1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1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05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2024-08-01T06:16:00Z</dcterms:created>
  <dcterms:modified xsi:type="dcterms:W3CDTF">2024-08-01T06:30:00Z</dcterms:modified>
</cp:coreProperties>
</file>