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5A7888" w:rsidRPr="005A7888" w:rsidRDefault="005A7888">
      <w:pPr>
        <w:rPr>
          <w:rStyle w:val="blue-tooltip"/>
          <w:rFonts w:ascii="Times New Roman" w:hAnsi="Times New Roman" w:cs="Times New Roman"/>
          <w:bCs/>
          <w:sz w:val="40"/>
          <w:szCs w:val="40"/>
        </w:rPr>
      </w:pPr>
      <w:r w:rsidRPr="005A7888">
        <w:rPr>
          <w:rStyle w:val="blue-tooltip"/>
          <w:rFonts w:ascii="Times New Roman" w:hAnsi="Times New Roman" w:cs="Times New Roman"/>
          <w:bCs/>
          <w:sz w:val="40"/>
          <w:szCs w:val="40"/>
        </w:rPr>
        <w:t xml:space="preserve">Recent Perspective on the Potential Role of </w:t>
      </w:r>
      <w:proofErr w:type="spellStart"/>
      <w:r w:rsidRPr="005A7888">
        <w:rPr>
          <w:rStyle w:val="blue-tooltip"/>
          <w:rFonts w:ascii="Times New Roman" w:hAnsi="Times New Roman" w:cs="Times New Roman"/>
          <w:bCs/>
          <w:sz w:val="40"/>
          <w:szCs w:val="40"/>
        </w:rPr>
        <w:t>Phytocompounds</w:t>
      </w:r>
      <w:proofErr w:type="spellEnd"/>
      <w:r w:rsidRPr="005A7888">
        <w:rPr>
          <w:rStyle w:val="blue-tooltip"/>
          <w:rFonts w:ascii="Times New Roman" w:hAnsi="Times New Roman" w:cs="Times New Roman"/>
          <w:bCs/>
          <w:sz w:val="40"/>
          <w:szCs w:val="40"/>
        </w:rPr>
        <w:t xml:space="preserve"> in the Prevention of Gastric Cancer</w:t>
      </w:r>
    </w:p>
    <w:p w:rsidR="005A7888" w:rsidRPr="005A7888" w:rsidRDefault="005A7888">
      <w:pPr>
        <w:rPr>
          <w:rStyle w:val="blue-tooltip"/>
          <w:rFonts w:ascii="Times New Roman" w:hAnsi="Times New Roman" w:cs="Times New Roman"/>
          <w:bCs/>
          <w:sz w:val="40"/>
          <w:szCs w:val="40"/>
        </w:rPr>
      </w:pPr>
    </w:p>
    <w:p w:rsidR="00286666" w:rsidRPr="000A690C" w:rsidRDefault="00056A8C" w:rsidP="000A690C">
      <w:pPr>
        <w:jc w:val="both"/>
        <w:rPr>
          <w:rStyle w:val="blue-tooltip"/>
          <w:rFonts w:ascii="Times New Roman" w:hAnsi="Times New Roman" w:cs="Times New Roman"/>
          <w:b/>
          <w:bCs/>
          <w:color w:val="0070C0"/>
          <w:sz w:val="24"/>
          <w:szCs w:val="24"/>
        </w:rPr>
      </w:pPr>
      <w:r w:rsidRPr="000A690C">
        <w:rPr>
          <w:rStyle w:val="blue-tooltip"/>
          <w:rFonts w:ascii="Times New Roman" w:hAnsi="Times New Roman" w:cs="Times New Roman"/>
          <w:b/>
          <w:bCs/>
          <w:sz w:val="24"/>
          <w:szCs w:val="24"/>
        </w:rPr>
        <w:t xml:space="preserve">Author: </w:t>
      </w:r>
      <w:r w:rsidR="005A7888" w:rsidRPr="000A690C">
        <w:rPr>
          <w:rStyle w:val="given-name"/>
          <w:rFonts w:ascii="Times New Roman" w:hAnsi="Times New Roman" w:cs="Times New Roman"/>
          <w:color w:val="0070C0"/>
          <w:sz w:val="24"/>
          <w:szCs w:val="24"/>
        </w:rPr>
        <w:t>Md.</w:t>
      </w:r>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Rezaul</w:t>
      </w:r>
      <w:proofErr w:type="spellEnd"/>
      <w:r w:rsidR="005A7888" w:rsidRPr="000A690C">
        <w:rPr>
          <w:rStyle w:val="text"/>
          <w:rFonts w:ascii="Times New Roman" w:hAnsi="Times New Roman" w:cs="Times New Roman"/>
          <w:color w:val="0070C0"/>
          <w:sz w:val="24"/>
          <w:szCs w:val="24"/>
        </w:rPr>
        <w:t xml:space="preserve"> Islam</w:t>
      </w:r>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Abdur</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Rauf</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Shopnil</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Akash</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Ajoy</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Kumer</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Md</w:t>
      </w:r>
      <w:proofErr w:type="spellEnd"/>
      <w:r w:rsidR="005A7888" w:rsidRPr="000A690C">
        <w:rPr>
          <w:rStyle w:val="given-name"/>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Sadique</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Hussain</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Smrity</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Akter</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Jeetendra</w:t>
      </w:r>
      <w:proofErr w:type="spellEnd"/>
      <w:r w:rsidR="005A7888" w:rsidRPr="000A690C">
        <w:rPr>
          <w:rStyle w:val="given-name"/>
          <w:rFonts w:ascii="Times New Roman" w:hAnsi="Times New Roman" w:cs="Times New Roman"/>
          <w:color w:val="0070C0"/>
          <w:sz w:val="24"/>
          <w:szCs w:val="24"/>
        </w:rPr>
        <w:t xml:space="preserve"> Kumar</w:t>
      </w:r>
      <w:r w:rsidR="005A7888" w:rsidRPr="000A690C">
        <w:rPr>
          <w:rStyle w:val="react-xocs-alternative-link"/>
          <w:rFonts w:ascii="Times New Roman" w:hAnsi="Times New Roman" w:cs="Times New Roman"/>
          <w:color w:val="0070C0"/>
          <w:sz w:val="24"/>
          <w:szCs w:val="24"/>
        </w:rPr>
        <w:t xml:space="preserve"> </w:t>
      </w:r>
      <w:r w:rsidR="005A7888" w:rsidRPr="000A690C">
        <w:rPr>
          <w:rStyle w:val="text"/>
          <w:rFonts w:ascii="Times New Roman" w:hAnsi="Times New Roman" w:cs="Times New Roman"/>
          <w:color w:val="0070C0"/>
          <w:sz w:val="24"/>
          <w:szCs w:val="24"/>
        </w:rPr>
        <w:t>Gupta</w:t>
      </w:r>
      <w:r w:rsidR="005A7888" w:rsidRPr="000A690C">
        <w:rPr>
          <w:rFonts w:ascii="Times New Roman" w:hAnsi="Times New Roman" w:cs="Times New Roman"/>
          <w:color w:val="0070C0"/>
          <w:sz w:val="24"/>
          <w:szCs w:val="24"/>
        </w:rPr>
        <w:t xml:space="preserve">, </w:t>
      </w:r>
      <w:r w:rsidR="005A7888" w:rsidRPr="000A690C">
        <w:rPr>
          <w:rStyle w:val="given-name"/>
          <w:rFonts w:ascii="Times New Roman" w:hAnsi="Times New Roman" w:cs="Times New Roman"/>
          <w:color w:val="0070C0"/>
          <w:sz w:val="24"/>
          <w:szCs w:val="24"/>
        </w:rPr>
        <w:t>L.H.</w:t>
      </w:r>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Thameemul</w:t>
      </w:r>
      <w:proofErr w:type="spellEnd"/>
      <w:r w:rsidR="005A7888" w:rsidRPr="000A690C">
        <w:rPr>
          <w:rStyle w:val="text"/>
          <w:rFonts w:ascii="Times New Roman" w:hAnsi="Times New Roman" w:cs="Times New Roman"/>
          <w:color w:val="0070C0"/>
          <w:sz w:val="24"/>
          <w:szCs w:val="24"/>
        </w:rPr>
        <w:t xml:space="preserve"> Ansari</w:t>
      </w:r>
      <w:r w:rsidR="005A7888" w:rsidRPr="000A690C">
        <w:rPr>
          <w:rFonts w:ascii="Times New Roman" w:hAnsi="Times New Roman" w:cs="Times New Roman"/>
          <w:color w:val="0070C0"/>
          <w:sz w:val="24"/>
          <w:szCs w:val="24"/>
        </w:rPr>
        <w:t xml:space="preserve">, </w:t>
      </w:r>
      <w:r w:rsidR="005A7888" w:rsidRPr="000A690C">
        <w:rPr>
          <w:rStyle w:val="given-name"/>
          <w:rFonts w:ascii="Times New Roman" w:hAnsi="Times New Roman" w:cs="Times New Roman"/>
          <w:color w:val="0070C0"/>
          <w:sz w:val="24"/>
          <w:szCs w:val="24"/>
        </w:rPr>
        <w:t>Mir Md.</w:t>
      </w:r>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Mahfoj</w:t>
      </w:r>
      <w:proofErr w:type="spellEnd"/>
      <w:r w:rsidR="005A7888" w:rsidRPr="000A690C">
        <w:rPr>
          <w:rStyle w:val="text"/>
          <w:rFonts w:ascii="Times New Roman" w:hAnsi="Times New Roman" w:cs="Times New Roman"/>
          <w:color w:val="0070C0"/>
          <w:sz w:val="24"/>
          <w:szCs w:val="24"/>
        </w:rPr>
        <w:t xml:space="preserve"> Islam Raj</w:t>
      </w:r>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Talha</w:t>
      </w:r>
      <w:proofErr w:type="spellEnd"/>
      <w:r w:rsidR="005A7888" w:rsidRPr="000A690C">
        <w:rPr>
          <w:rStyle w:val="react-xocs-alternative-link"/>
          <w:rFonts w:ascii="Times New Roman" w:hAnsi="Times New Roman" w:cs="Times New Roman"/>
          <w:color w:val="0070C0"/>
          <w:sz w:val="24"/>
          <w:szCs w:val="24"/>
        </w:rPr>
        <w:t xml:space="preserve"> </w:t>
      </w:r>
      <w:r w:rsidR="005A7888" w:rsidRPr="000A690C">
        <w:rPr>
          <w:rStyle w:val="text"/>
          <w:rFonts w:ascii="Times New Roman" w:hAnsi="Times New Roman" w:cs="Times New Roman"/>
          <w:color w:val="0070C0"/>
          <w:sz w:val="24"/>
          <w:szCs w:val="24"/>
        </w:rPr>
        <w:t xml:space="preserve">Bin </w:t>
      </w:r>
      <w:proofErr w:type="spellStart"/>
      <w:r w:rsidR="005A7888" w:rsidRPr="000A690C">
        <w:rPr>
          <w:rStyle w:val="text"/>
          <w:rFonts w:ascii="Times New Roman" w:hAnsi="Times New Roman" w:cs="Times New Roman"/>
          <w:color w:val="0070C0"/>
          <w:sz w:val="24"/>
          <w:szCs w:val="24"/>
        </w:rPr>
        <w:t>Emran</w:t>
      </w:r>
      <w:proofErr w:type="spellEnd"/>
      <w:r w:rsidR="005A7888" w:rsidRPr="000A690C">
        <w:rPr>
          <w:rFonts w:ascii="Times New Roman" w:hAnsi="Times New Roman" w:cs="Times New Roman"/>
          <w:color w:val="0070C0"/>
          <w:sz w:val="24"/>
          <w:szCs w:val="24"/>
        </w:rPr>
        <w:t xml:space="preserve">, </w:t>
      </w:r>
      <w:r w:rsidR="005A7888" w:rsidRPr="000A690C">
        <w:rPr>
          <w:rStyle w:val="given-name"/>
          <w:rFonts w:ascii="Times New Roman" w:hAnsi="Times New Roman" w:cs="Times New Roman"/>
          <w:color w:val="0070C0"/>
          <w:sz w:val="24"/>
          <w:szCs w:val="24"/>
        </w:rPr>
        <w:t>Abdullah S.M.</w:t>
      </w:r>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Aljohani</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Waleed</w:t>
      </w:r>
      <w:proofErr w:type="spellEnd"/>
      <w:r w:rsidR="005A7888" w:rsidRPr="000A690C">
        <w:rPr>
          <w:rStyle w:val="given-name"/>
          <w:rFonts w:ascii="Times New Roman" w:hAnsi="Times New Roman" w:cs="Times New Roman"/>
          <w:color w:val="0070C0"/>
          <w:sz w:val="24"/>
          <w:szCs w:val="24"/>
        </w:rPr>
        <w:t xml:space="preserve"> Al</w:t>
      </w:r>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Abdulmonem</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Rekha</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Thiruvengadam</w:t>
      </w:r>
      <w:proofErr w:type="spellEnd"/>
      <w:r w:rsidR="005A7888" w:rsidRPr="000A690C">
        <w:rPr>
          <w:rFonts w:ascii="Times New Roman" w:hAnsi="Times New Roman" w:cs="Times New Roman"/>
          <w:color w:val="0070C0"/>
          <w:sz w:val="24"/>
          <w:szCs w:val="24"/>
        </w:rPr>
        <w:t xml:space="preserve">, </w:t>
      </w:r>
      <w:proofErr w:type="spellStart"/>
      <w:r w:rsidR="005A7888" w:rsidRPr="000A690C">
        <w:rPr>
          <w:rStyle w:val="given-name"/>
          <w:rFonts w:ascii="Times New Roman" w:hAnsi="Times New Roman" w:cs="Times New Roman"/>
          <w:color w:val="0070C0"/>
          <w:sz w:val="24"/>
          <w:szCs w:val="24"/>
        </w:rPr>
        <w:t>Muthu</w:t>
      </w:r>
      <w:proofErr w:type="spellEnd"/>
      <w:r w:rsidR="005A7888" w:rsidRPr="000A690C">
        <w:rPr>
          <w:rStyle w:val="react-xocs-alternative-link"/>
          <w:rFonts w:ascii="Times New Roman" w:hAnsi="Times New Roman" w:cs="Times New Roman"/>
          <w:color w:val="0070C0"/>
          <w:sz w:val="24"/>
          <w:szCs w:val="24"/>
        </w:rPr>
        <w:t xml:space="preserve"> </w:t>
      </w:r>
      <w:proofErr w:type="spellStart"/>
      <w:r w:rsidR="005A7888" w:rsidRPr="000A690C">
        <w:rPr>
          <w:rStyle w:val="text"/>
          <w:rFonts w:ascii="Times New Roman" w:hAnsi="Times New Roman" w:cs="Times New Roman"/>
          <w:color w:val="0070C0"/>
          <w:sz w:val="24"/>
          <w:szCs w:val="24"/>
        </w:rPr>
        <w:t>Thiruvengadam</w:t>
      </w:r>
      <w:proofErr w:type="spellEnd"/>
      <w:r w:rsidR="005A7888" w:rsidRPr="000A690C">
        <w:rPr>
          <w:rStyle w:val="react-xocs-alternative-link"/>
          <w:rFonts w:ascii="Times New Roman" w:hAnsi="Times New Roman" w:cs="Times New Roman"/>
          <w:color w:val="0070C0"/>
          <w:sz w:val="24"/>
          <w:szCs w:val="24"/>
        </w:rPr>
        <w:t xml:space="preserve"> </w:t>
      </w:r>
      <w:r w:rsidR="009437E0" w:rsidRPr="000A690C">
        <w:rPr>
          <w:rStyle w:val="blue-tooltip"/>
          <w:rFonts w:ascii="Times New Roman" w:hAnsi="Times New Roman" w:cs="Times New Roman"/>
          <w:color w:val="0070C0"/>
          <w:sz w:val="24"/>
          <w:szCs w:val="24"/>
        </w:rPr>
        <w:t xml:space="preserve"> </w:t>
      </w:r>
    </w:p>
    <w:p w:rsidR="00056A8C" w:rsidRPr="000A690C" w:rsidRDefault="00056A8C" w:rsidP="000A690C">
      <w:pPr>
        <w:jc w:val="both"/>
        <w:rPr>
          <w:rStyle w:val="blue-tooltip"/>
          <w:rFonts w:ascii="Times New Roman" w:hAnsi="Times New Roman" w:cs="Times New Roman"/>
          <w:b/>
          <w:color w:val="0070C0"/>
          <w:sz w:val="24"/>
          <w:szCs w:val="24"/>
        </w:rPr>
      </w:pPr>
    </w:p>
    <w:p w:rsidR="00286666" w:rsidRPr="000A690C" w:rsidRDefault="00286666" w:rsidP="000A690C">
      <w:pPr>
        <w:jc w:val="both"/>
        <w:rPr>
          <w:rStyle w:val="blue-tooltip"/>
          <w:rFonts w:ascii="Times New Roman" w:hAnsi="Times New Roman" w:cs="Times New Roman"/>
          <w:b/>
          <w:sz w:val="24"/>
          <w:szCs w:val="24"/>
        </w:rPr>
      </w:pPr>
      <w:r w:rsidRPr="000A690C">
        <w:rPr>
          <w:rStyle w:val="blue-tooltip"/>
          <w:rFonts w:ascii="Times New Roman" w:hAnsi="Times New Roman" w:cs="Times New Roman"/>
          <w:b/>
          <w:sz w:val="24"/>
          <w:szCs w:val="24"/>
        </w:rPr>
        <w:t xml:space="preserve">Abstract: </w:t>
      </w:r>
      <w:r w:rsidR="00C433C0" w:rsidRPr="000A690C">
        <w:rPr>
          <w:rStyle w:val="blue-tooltip"/>
          <w:rFonts w:ascii="Times New Roman" w:hAnsi="Times New Roman" w:cs="Times New Roman"/>
          <w:b/>
          <w:sz w:val="24"/>
          <w:szCs w:val="24"/>
        </w:rPr>
        <w:t xml:space="preserve"> </w:t>
      </w:r>
      <w:r w:rsidR="004F276A" w:rsidRPr="000A690C">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A690C" w:rsidRPr="000A690C" w:rsidTr="000A690C">
        <w:trPr>
          <w:tblCellSpacing w:w="15" w:type="dxa"/>
        </w:trPr>
        <w:tc>
          <w:tcPr>
            <w:tcW w:w="0" w:type="auto"/>
            <w:vAlign w:val="center"/>
            <w:hideMark/>
          </w:tcPr>
          <w:p w:rsidR="000A690C" w:rsidRPr="000A690C" w:rsidRDefault="000A690C" w:rsidP="000A690C">
            <w:pPr>
              <w:jc w:val="both"/>
              <w:rPr>
                <w:rFonts w:ascii="Times New Roman" w:hAnsi="Times New Roman" w:cs="Times New Roman"/>
                <w:sz w:val="24"/>
                <w:szCs w:val="24"/>
              </w:rPr>
            </w:pPr>
          </w:p>
        </w:tc>
        <w:tc>
          <w:tcPr>
            <w:tcW w:w="5000" w:type="pct"/>
            <w:vAlign w:val="center"/>
            <w:hideMark/>
          </w:tcPr>
          <w:p w:rsidR="000A690C" w:rsidRPr="000A690C" w:rsidRDefault="000A690C" w:rsidP="000A690C">
            <w:pPr>
              <w:pStyle w:val="NormalWeb"/>
              <w:jc w:val="both"/>
            </w:pPr>
            <w:r w:rsidRPr="000A690C">
              <w:t xml:space="preserve">Gastric cancer (GC) is a serious global health concern. GC is a form of cancer that advances through the stomach lining. Therefore, there is a requirement to explore novel preventive strategies for GC. A novel study indicated that plant-derived compounds have significant </w:t>
            </w:r>
            <w:hyperlink r:id="rId4" w:tooltip="Learn more about anticancer from ScienceDirect's AI-generated Topic Pages" w:history="1">
              <w:r w:rsidRPr="000A690C">
                <w:rPr>
                  <w:rStyle w:val="Hyperlink"/>
                </w:rPr>
                <w:t>anticancer</w:t>
              </w:r>
            </w:hyperlink>
            <w:r w:rsidRPr="000A690C">
              <w:t xml:space="preserve"> properties and may provide a novel therapeutic approach for GC. Recent research has highlighted the potential role of natural compounds, particularly </w:t>
            </w:r>
            <w:proofErr w:type="spellStart"/>
            <w:r w:rsidRPr="000A690C">
              <w:t>phytocompounds</w:t>
            </w:r>
            <w:proofErr w:type="spellEnd"/>
            <w:r w:rsidRPr="000A690C">
              <w:t xml:space="preserve">, in preventing GC. Compounds, such as </w:t>
            </w:r>
            <w:proofErr w:type="spellStart"/>
            <w:r w:rsidRPr="000A690C">
              <w:t>curcumin</w:t>
            </w:r>
            <w:proofErr w:type="spellEnd"/>
            <w:r w:rsidRPr="000A690C">
              <w:t xml:space="preserve">, resveratrol, and </w:t>
            </w:r>
            <w:hyperlink r:id="rId5" w:tooltip="Learn more about epigallocatechin gallate from ScienceDirect's AI-generated Topic Pages" w:history="1">
              <w:proofErr w:type="spellStart"/>
              <w:r w:rsidRPr="000A690C">
                <w:rPr>
                  <w:rStyle w:val="Hyperlink"/>
                </w:rPr>
                <w:t>epigallocatechin</w:t>
              </w:r>
              <w:proofErr w:type="spellEnd"/>
              <w:r w:rsidRPr="000A690C">
                <w:rPr>
                  <w:rStyle w:val="Hyperlink"/>
                </w:rPr>
                <w:t xml:space="preserve"> </w:t>
              </w:r>
              <w:proofErr w:type="spellStart"/>
              <w:r w:rsidRPr="000A690C">
                <w:rPr>
                  <w:rStyle w:val="Hyperlink"/>
                </w:rPr>
                <w:t>gallate</w:t>
              </w:r>
              <w:proofErr w:type="spellEnd"/>
            </w:hyperlink>
            <w:r w:rsidRPr="000A690C">
              <w:t xml:space="preserve">, have significant </w:t>
            </w:r>
            <w:hyperlink r:id="rId6" w:tooltip="Learn more about anticancer from ScienceDirect's AI-generated Topic Pages" w:history="1">
              <w:r w:rsidRPr="000A690C">
                <w:rPr>
                  <w:rStyle w:val="Hyperlink"/>
                </w:rPr>
                <w:t>anticancer</w:t>
              </w:r>
            </w:hyperlink>
            <w:r w:rsidRPr="000A690C">
              <w:t xml:space="preserve"> properties against GC. The primary purpose of this study was to investigate the preventive properties of the </w:t>
            </w:r>
            <w:proofErr w:type="spellStart"/>
            <w:r w:rsidRPr="000A690C">
              <w:t>phytocompounds</w:t>
            </w:r>
            <w:proofErr w:type="spellEnd"/>
            <w:r w:rsidRPr="000A690C">
              <w:t xml:space="preserve"> against GC. The experimental findings included both in vitro and </w:t>
            </w:r>
            <w:hyperlink r:id="rId7" w:tooltip="Learn more about in vivo studies from ScienceDirect's AI-generated Topic Pages" w:history="1">
              <w:r w:rsidRPr="000A690C">
                <w:rPr>
                  <w:rStyle w:val="Hyperlink"/>
                </w:rPr>
                <w:t>in vivo studies</w:t>
              </w:r>
            </w:hyperlink>
            <w:r w:rsidRPr="000A690C">
              <w:t xml:space="preserve">, </w:t>
            </w:r>
            <w:hyperlink r:id="rId8" w:tooltip="Learn more about clinical trials from ScienceDirect's AI-generated Topic Pages" w:history="1">
              <w:r w:rsidRPr="000A690C">
                <w:rPr>
                  <w:rStyle w:val="Hyperlink"/>
                </w:rPr>
                <w:t>clinical trials</w:t>
              </w:r>
            </w:hyperlink>
            <w:r w:rsidRPr="000A690C">
              <w:t xml:space="preserve">, and epidemiological investigations, providing a comprehensive evaluation of the potential impact of compounds on GC prevention. This review also provides a detailed overview of the probable medicinal effects of </w:t>
            </w:r>
            <w:proofErr w:type="spellStart"/>
            <w:r w:rsidRPr="000A690C">
              <w:t>phytocompounds</w:t>
            </w:r>
            <w:proofErr w:type="spellEnd"/>
            <w:r w:rsidRPr="000A690C">
              <w:t xml:space="preserve"> on the avoidance and treatment of GC, considering their complex molecular mechanisms of action, bioavailability, and safety. This study provides new perspectives on the possible significance of compounds in GC treatment and emphasizes their promise as a cutting-edge approach.</w:t>
            </w:r>
          </w:p>
        </w:tc>
      </w:tr>
    </w:tbl>
    <w:p w:rsidR="000A690C" w:rsidRPr="000A690C" w:rsidRDefault="000A690C" w:rsidP="000A690C">
      <w:pPr>
        <w:jc w:val="both"/>
        <w:rPr>
          <w:rStyle w:val="blue-tooltip"/>
          <w:rFonts w:ascii="Times New Roman" w:hAnsi="Times New Roman" w:cs="Times New Roman"/>
          <w:b/>
          <w:sz w:val="24"/>
          <w:szCs w:val="24"/>
        </w:rPr>
      </w:pPr>
    </w:p>
    <w:p w:rsidR="000816E0" w:rsidRPr="000A690C" w:rsidRDefault="000816E0" w:rsidP="000A690C">
      <w:pPr>
        <w:spacing w:before="150" w:after="150" w:line="240" w:lineRule="auto"/>
        <w:jc w:val="both"/>
        <w:rPr>
          <w:rFonts w:ascii="Times New Roman" w:hAnsi="Times New Roman" w:cs="Times New Roman"/>
          <w:b/>
          <w:bCs/>
          <w:sz w:val="24"/>
          <w:szCs w:val="24"/>
          <w:shd w:val="clear" w:color="auto" w:fill="FFFFFF"/>
        </w:rPr>
      </w:pPr>
      <w:r w:rsidRPr="000A690C">
        <w:rPr>
          <w:rFonts w:ascii="Times New Roman" w:hAnsi="Times New Roman" w:cs="Times New Roman"/>
          <w:b/>
          <w:bCs/>
          <w:sz w:val="24"/>
          <w:szCs w:val="24"/>
          <w:shd w:val="clear" w:color="auto" w:fill="FFFFFF"/>
        </w:rPr>
        <w:t>Conference / Journal Link:</w:t>
      </w:r>
    </w:p>
    <w:bookmarkStart w:id="0" w:name="cj_link"/>
    <w:p w:rsidR="000A690C" w:rsidRPr="000A690C" w:rsidRDefault="000A690C" w:rsidP="000A690C">
      <w:pPr>
        <w:spacing w:before="150" w:after="150" w:line="240" w:lineRule="auto"/>
        <w:jc w:val="both"/>
        <w:rPr>
          <w:rFonts w:ascii="Times New Roman" w:hAnsi="Times New Roman" w:cs="Times New Roman"/>
          <w:b/>
          <w:bCs/>
          <w:color w:val="0070C0"/>
          <w:sz w:val="24"/>
          <w:szCs w:val="24"/>
          <w:shd w:val="clear" w:color="auto" w:fill="FFFFFF"/>
        </w:rPr>
      </w:pPr>
      <w:r w:rsidRPr="000A690C">
        <w:rPr>
          <w:rFonts w:ascii="Times New Roman" w:hAnsi="Times New Roman" w:cs="Times New Roman"/>
          <w:color w:val="0070C0"/>
          <w:sz w:val="24"/>
          <w:szCs w:val="24"/>
        </w:rPr>
        <w:fldChar w:fldCharType="begin"/>
      </w:r>
      <w:r w:rsidRPr="000A690C">
        <w:rPr>
          <w:rFonts w:ascii="Times New Roman" w:hAnsi="Times New Roman" w:cs="Times New Roman"/>
          <w:color w:val="0070C0"/>
          <w:sz w:val="24"/>
          <w:szCs w:val="24"/>
        </w:rPr>
        <w:instrText xml:space="preserve"> HYPERLINK "https://www.sciencedirect.com/science/article/abs/pii/S1359511323003598" \t "_blank" </w:instrText>
      </w:r>
      <w:r w:rsidRPr="000A690C">
        <w:rPr>
          <w:rFonts w:ascii="Times New Roman" w:hAnsi="Times New Roman" w:cs="Times New Roman"/>
          <w:color w:val="0070C0"/>
          <w:sz w:val="24"/>
          <w:szCs w:val="24"/>
        </w:rPr>
        <w:fldChar w:fldCharType="separate"/>
      </w:r>
      <w:r w:rsidRPr="000A690C">
        <w:rPr>
          <w:rStyle w:val="Hyperlink"/>
          <w:rFonts w:ascii="Times New Roman" w:hAnsi="Times New Roman" w:cs="Times New Roman"/>
          <w:color w:val="0070C0"/>
          <w:sz w:val="24"/>
          <w:szCs w:val="24"/>
          <w:u w:val="none"/>
        </w:rPr>
        <w:t>https://www.sciencedirect.com/science/article/abs/pii/S1359511323003598</w:t>
      </w:r>
      <w:r w:rsidRPr="000A690C">
        <w:rPr>
          <w:rFonts w:ascii="Times New Roman" w:hAnsi="Times New Roman" w:cs="Times New Roman"/>
          <w:color w:val="0070C0"/>
          <w:sz w:val="24"/>
          <w:szCs w:val="24"/>
        </w:rPr>
        <w:fldChar w:fldCharType="end"/>
      </w:r>
      <w:bookmarkEnd w:id="0"/>
    </w:p>
    <w:p w:rsidR="000816E0" w:rsidRPr="000A690C" w:rsidRDefault="000816E0" w:rsidP="000A690C">
      <w:pPr>
        <w:spacing w:before="150"/>
        <w:jc w:val="both"/>
        <w:rPr>
          <w:rFonts w:ascii="Times New Roman" w:hAnsi="Times New Roman" w:cs="Times New Roman"/>
          <w:b/>
          <w:sz w:val="24"/>
          <w:szCs w:val="24"/>
        </w:rPr>
      </w:pPr>
      <w:r w:rsidRPr="000A690C">
        <w:rPr>
          <w:rFonts w:ascii="Times New Roman" w:hAnsi="Times New Roman" w:cs="Times New Roman"/>
          <w:b/>
          <w:sz w:val="24"/>
          <w:szCs w:val="24"/>
        </w:rPr>
        <w:t>DOI:</w:t>
      </w:r>
    </w:p>
    <w:p w:rsidR="000A690C" w:rsidRPr="000A690C" w:rsidRDefault="000A690C" w:rsidP="000A690C">
      <w:pPr>
        <w:spacing w:before="150"/>
        <w:jc w:val="both"/>
        <w:rPr>
          <w:rFonts w:ascii="Times New Roman" w:hAnsi="Times New Roman" w:cs="Times New Roman"/>
          <w:b/>
          <w:color w:val="0070C0"/>
          <w:sz w:val="24"/>
          <w:szCs w:val="24"/>
        </w:rPr>
      </w:pPr>
      <w:hyperlink r:id="rId9" w:tgtFrame="_blank" w:tooltip="Persistent link using digital object identifier" w:history="1">
        <w:r w:rsidRPr="000A690C">
          <w:rPr>
            <w:rStyle w:val="anchor-text"/>
            <w:rFonts w:ascii="Times New Roman" w:hAnsi="Times New Roman" w:cs="Times New Roman"/>
            <w:color w:val="0070C0"/>
            <w:sz w:val="24"/>
            <w:szCs w:val="24"/>
          </w:rPr>
          <w:t>https://doi.org/10.1016/j.procbio.2023.11.006</w:t>
        </w:r>
      </w:hyperlink>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A690C"/>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5A7888"/>
    <w:rsid w:val="006046B1"/>
    <w:rsid w:val="00620AFF"/>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5A7888"/>
  </w:style>
  <w:style w:type="character" w:customStyle="1" w:styleId="react-xocs-alternative-link">
    <w:name w:val="react-xocs-alternative-link"/>
    <w:basedOn w:val="DefaultParagraphFont"/>
    <w:rsid w:val="005A7888"/>
  </w:style>
  <w:style w:type="character" w:customStyle="1" w:styleId="given-name">
    <w:name w:val="given-name"/>
    <w:basedOn w:val="DefaultParagraphFont"/>
    <w:rsid w:val="005A7888"/>
  </w:style>
  <w:style w:type="character" w:customStyle="1" w:styleId="text">
    <w:name w:val="text"/>
    <w:basedOn w:val="DefaultParagraphFont"/>
    <w:rsid w:val="005A7888"/>
  </w:style>
  <w:style w:type="character" w:customStyle="1" w:styleId="author-ref">
    <w:name w:val="author-ref"/>
    <w:basedOn w:val="DefaultParagraphFont"/>
    <w:rsid w:val="005A7888"/>
  </w:style>
  <w:style w:type="character" w:customStyle="1" w:styleId="anchor-text">
    <w:name w:val="anchor-text"/>
    <w:basedOn w:val="DefaultParagraphFont"/>
    <w:rsid w:val="000A6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25041587">
      <w:bodyDiv w:val="1"/>
      <w:marLeft w:val="0"/>
      <w:marRight w:val="0"/>
      <w:marTop w:val="0"/>
      <w:marBottom w:val="0"/>
      <w:divBdr>
        <w:top w:val="none" w:sz="0" w:space="0" w:color="auto"/>
        <w:left w:val="none" w:sz="0" w:space="0" w:color="auto"/>
        <w:bottom w:val="none" w:sz="0" w:space="0" w:color="auto"/>
        <w:right w:val="none" w:sz="0" w:space="0" w:color="auto"/>
      </w:divBdr>
      <w:divsChild>
        <w:div w:id="1941840392">
          <w:marLeft w:val="0"/>
          <w:marRight w:val="0"/>
          <w:marTop w:val="0"/>
          <w:marBottom w:val="0"/>
          <w:divBdr>
            <w:top w:val="none" w:sz="0" w:space="0" w:color="auto"/>
            <w:left w:val="none" w:sz="0" w:space="0" w:color="auto"/>
            <w:bottom w:val="none" w:sz="0" w:space="0" w:color="auto"/>
            <w:right w:val="none" w:sz="0" w:space="0" w:color="auto"/>
          </w:divBdr>
          <w:divsChild>
            <w:div w:id="1465926964">
              <w:marLeft w:val="0"/>
              <w:marRight w:val="0"/>
              <w:marTop w:val="0"/>
              <w:marBottom w:val="0"/>
              <w:divBdr>
                <w:top w:val="none" w:sz="0" w:space="0" w:color="auto"/>
                <w:left w:val="none" w:sz="0" w:space="0" w:color="auto"/>
                <w:bottom w:val="none" w:sz="0" w:space="0" w:color="auto"/>
                <w:right w:val="none" w:sz="0" w:space="0" w:color="auto"/>
              </w:divBdr>
              <w:divsChild>
                <w:div w:id="149160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biochemistry-genetics-and-molecular-biology/clinical-trial" TargetMode="External"/><Relationship Id="rId3" Type="http://schemas.openxmlformats.org/officeDocument/2006/relationships/webSettings" Target="webSettings.xml"/><Relationship Id="rId7" Type="http://schemas.openxmlformats.org/officeDocument/2006/relationships/hyperlink" Target="https://www.sciencedirect.com/topics/biochemistry-genetics-and-molecular-biology/in-vivo-stu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biochemistry-genetics-and-molecular-biology/anticancer" TargetMode="External"/><Relationship Id="rId11" Type="http://schemas.openxmlformats.org/officeDocument/2006/relationships/theme" Target="theme/theme1.xml"/><Relationship Id="rId5" Type="http://schemas.openxmlformats.org/officeDocument/2006/relationships/hyperlink" Target="https://www.sciencedirect.com/topics/biochemistry-genetics-and-molecular-biology/epigallocatechin-gallate" TargetMode="External"/><Relationship Id="rId10" Type="http://schemas.openxmlformats.org/officeDocument/2006/relationships/fontTable" Target="fontTable.xml"/><Relationship Id="rId4" Type="http://schemas.openxmlformats.org/officeDocument/2006/relationships/hyperlink" Target="https://www.sciencedirect.com/topics/biochemistry-genetics-and-molecular-biology/anticancer" TargetMode="External"/><Relationship Id="rId9" Type="http://schemas.openxmlformats.org/officeDocument/2006/relationships/hyperlink" Target="https://doi.org/10.1016/j.procbio.2023.1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2024-07-02T04:04:00Z</dcterms:created>
  <dcterms:modified xsi:type="dcterms:W3CDTF">2024-08-11T03:57:00Z</dcterms:modified>
</cp:coreProperties>
</file>