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56A8C">
      <w:pPr>
        <w:rPr>
          <w:rStyle w:val="blue-tooltip"/>
          <w:b/>
          <w:bCs/>
          <w:sz w:val="40"/>
          <w:szCs w:val="40"/>
        </w:rPr>
      </w:pPr>
    </w:p>
    <w:p w:rsidR="004E27AF" w:rsidRPr="004E27AF" w:rsidRDefault="004E27AF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4E27AF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Regulating Tumor Microenvironments by a Lymph Node-Targeting Adjuvant via Tumor-Specific </w:t>
      </w:r>
      <w:proofErr w:type="spellStart"/>
      <w:r w:rsidRPr="004E27AF">
        <w:rPr>
          <w:rStyle w:val="blue-tooltip"/>
          <w:rFonts w:ascii="Times New Roman" w:hAnsi="Times New Roman" w:cs="Times New Roman"/>
          <w:bCs/>
          <w:sz w:val="40"/>
          <w:szCs w:val="40"/>
        </w:rPr>
        <w:t>Ctl</w:t>
      </w:r>
      <w:proofErr w:type="spellEnd"/>
      <w:r w:rsidRPr="004E27AF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-Derived </w:t>
      </w:r>
      <w:proofErr w:type="spellStart"/>
      <w:r w:rsidRPr="004E27AF">
        <w:rPr>
          <w:rStyle w:val="blue-tooltip"/>
          <w:rFonts w:ascii="Times New Roman" w:hAnsi="Times New Roman" w:cs="Times New Roman"/>
          <w:bCs/>
          <w:sz w:val="40"/>
          <w:szCs w:val="40"/>
        </w:rPr>
        <w:t>IFNγ</w:t>
      </w:r>
      <w:proofErr w:type="spellEnd"/>
    </w:p>
    <w:p w:rsidR="004E27AF" w:rsidRDefault="004E27AF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4E27AF" w:rsidRDefault="00056A8C" w:rsidP="004E27AF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4E27AF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4E27AF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Xiaojing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Xu</w:t>
      </w:r>
      <w:proofErr w:type="spellEnd"/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Cheng</w:t>
      </w:r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Yi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Tianyun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Feng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Youzhen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Ge</w:t>
      </w:r>
      <w:proofErr w:type="spellEnd"/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Mengjie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Liu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Cenhao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Wu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Hao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Yu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Xiang</w:t>
      </w:r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Chen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Subash</w:t>
      </w:r>
      <w:proofErr w:type="spellEnd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C.B.</w:t>
      </w:r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Gopinath</w:t>
      </w:r>
      <w:proofErr w:type="spellEnd"/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Weidong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Zhang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Lixiang</w:t>
      </w:r>
      <w:proofErr w:type="spellEnd"/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Zhao</w:t>
      </w:r>
      <w:r w:rsidR="004E27AF" w:rsidRPr="004E2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4E27AF" w:rsidRPr="004E2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Jun</w:t>
      </w:r>
      <w:r w:rsidR="004E27AF" w:rsidRPr="004E2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E27AF" w:rsidRPr="004E2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Zou</w:t>
      </w:r>
      <w:proofErr w:type="spellEnd"/>
    </w:p>
    <w:p w:rsidR="00056A8C" w:rsidRPr="004E27AF" w:rsidRDefault="00056A8C" w:rsidP="004E27A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4E27AF" w:rsidRPr="004E27AF" w:rsidRDefault="00286666" w:rsidP="004E27A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4E27A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286666" w:rsidRPr="004E27AF" w:rsidRDefault="004E27AF" w:rsidP="004E27A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4E27AF">
        <w:rPr>
          <w:rFonts w:ascii="Times New Roman" w:hAnsi="Times New Roman" w:cs="Times New Roman"/>
          <w:color w:val="2E2E2E"/>
          <w:sz w:val="24"/>
          <w:szCs w:val="24"/>
        </w:rPr>
        <w:t>Inducing tumor-specific </w:t>
      </w:r>
      <w:hyperlink r:id="rId4" w:tooltip="Learn more about T cell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T cell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> responses and regulating suppressive </w:t>
      </w:r>
      <w:hyperlink r:id="rId5" w:tooltip="Learn more about tumor microenvironments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tumor microenvironments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 have been a challenge for effective tumor therapy.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(ODN), the Toll-like receptor 9 agonist, has been widely used as adjuvants of cancer vaccines to induce </w:t>
      </w:r>
      <w:hyperlink r:id="rId6" w:tooltip="Learn more about T cell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T cell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> responses. We developed a novel adjuvant to improve the targeting of </w:t>
      </w:r>
      <w:hyperlink r:id="rId7" w:tooltip="Learn more about lymph nodes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lymph nodes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.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were modified with lipid and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glycopolymers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by the combination of photo-induced RAFT polymerization and click chemistry, and the novel adjuvant was termed as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lipid-glycoadjuvant@AuNPs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(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>). OVA protein was used as model antigen and </w:t>
      </w:r>
      <w:hyperlink r:id="rId8" w:tooltip="Learn more about melanoma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melanoma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> model was established to test the </w:t>
      </w:r>
      <w:hyperlink r:id="rId9" w:tooltip="Learn more about immunotherapy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immunotherapy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 effect of the adjuvant. In tumor model, the antitumor effect and mechanism of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on the response of CTLs were examined by flow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cytometry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and cell </w:t>
      </w:r>
      <w:hyperlink r:id="rId10" w:tooltip="Learn more about cytotoxicity assay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cytotoxicity assay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. The effects of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on </w:t>
      </w:r>
      <w:hyperlink r:id="rId11" w:tooltip="Learn more about macrophage polarization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macrophage polarization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> and 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fldChar w:fldCharType="begin"/>
      </w:r>
      <w:r w:rsidRPr="004E27AF">
        <w:rPr>
          <w:rFonts w:ascii="Times New Roman" w:hAnsi="Times New Roman" w:cs="Times New Roman"/>
          <w:color w:val="2E2E2E"/>
          <w:sz w:val="24"/>
          <w:szCs w:val="24"/>
        </w:rPr>
        <w:instrText xml:space="preserve"> HYPERLINK "https://www.sciencedirect.com/topics/immunology-and-microbiology/regulatory-t-cell" \o "Learn more about Tregs from ScienceDirect's AI-generated Topic Pages" </w:instrText>
      </w:r>
      <w:r w:rsidRPr="004E27AF">
        <w:rPr>
          <w:rFonts w:ascii="Times New Roman" w:hAnsi="Times New Roman" w:cs="Times New Roman"/>
          <w:color w:val="2E2E2E"/>
          <w:sz w:val="24"/>
          <w:szCs w:val="24"/>
        </w:rPr>
        <w:fldChar w:fldCharType="separate"/>
      </w:r>
      <w:r w:rsidRPr="004E27AF">
        <w:rPr>
          <w:rStyle w:val="Hyperlink"/>
          <w:rFonts w:ascii="Times New Roman" w:hAnsi="Times New Roman" w:cs="Times New Roman"/>
          <w:color w:val="2E2E2E"/>
          <w:sz w:val="24"/>
          <w:szCs w:val="24"/>
        </w:rPr>
        <w:t>Tregs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fldChar w:fldCharType="end"/>
      </w:r>
      <w:r w:rsidRPr="004E27AF">
        <w:rPr>
          <w:rFonts w:ascii="Times New Roman" w:hAnsi="Times New Roman" w:cs="Times New Roman"/>
          <w:color w:val="2E2E2E"/>
          <w:sz w:val="24"/>
          <w:szCs w:val="24"/>
        </w:rPr>
        <w:t> differentiation in tumor microenvironment were also studied by cell depletion assay and cytokine neutralization assay. We also tested the therapeutic effect of the combination of the adjuvant and anti-PD-1 </w:t>
      </w:r>
      <w:hyperlink r:id="rId12" w:tooltip="Learn more about treatment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treatment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.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could be rapidly transported to and retained longer in the lymphoid nodes than unmodified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>. In </w:t>
      </w:r>
      <w:hyperlink r:id="rId13" w:tooltip="Learn more about melanoma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melanoma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 model,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controlled both primary tumor and its </w:t>
      </w:r>
      <w:hyperlink r:id="rId14" w:tooltip="Learn more about metastasis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metastasis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, and established long-term memory. In spleen and tumor draining lymphoid nodes,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activated tumor-specific Tc1 responses, with increased CD8+ T-cell proliferation, antigen–specific Tc1 </w:t>
      </w:r>
      <w:hyperlink r:id="rId15" w:tooltip="Learn more about cytokine production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cytokine production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> and specific-tumor killing capacity. In </w:t>
      </w:r>
      <w:hyperlink r:id="rId16" w:tooltip="Learn more about tumor microenvironments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tumor microenvironments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, antigen-specific Tc1 induced by the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promoted CTL infiltration, skewed </w:t>
      </w:r>
      <w:hyperlink r:id="rId17" w:tooltip="Learn more about tumor associated macrophages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tumor associated macrophages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 to M1 phenotype, regulated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Treg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and induced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proinflammatory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cytokines production in a CTL-derived IFN-γ-dependent manner. </w:t>
      </w:r>
      <w:r w:rsidRPr="004E27AF">
        <w:rPr>
          <w:rStyle w:val="Emphasis"/>
          <w:rFonts w:ascii="Times New Roman" w:hAnsi="Times New Roman" w:cs="Times New Roman"/>
          <w:color w:val="2E2E2E"/>
          <w:sz w:val="24"/>
          <w:szCs w:val="24"/>
        </w:rPr>
        <w:t>In vivo</w:t>
      </w:r>
      <w:r w:rsidRPr="004E27AF">
        <w:rPr>
          <w:rFonts w:ascii="Times New Roman" w:hAnsi="Times New Roman" w:cs="Times New Roman"/>
          <w:color w:val="2E2E2E"/>
          <w:sz w:val="24"/>
          <w:szCs w:val="24"/>
        </w:rPr>
        <w:t> cell depletion and </w:t>
      </w:r>
      <w:hyperlink r:id="rId18" w:tooltip="Learn more about adoptive transfer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adoptive transfer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> experiments confirmed that </w:t>
      </w:r>
      <w:hyperlink r:id="rId19" w:tooltip="Learn more about antitumor activity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antitumor activity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 of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included vaccine was mainly dependent on CTL-derived IFN-γ. The anti-tumor efficacy of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was dramatically enhanced when combined with anti-PD1 </w:t>
      </w:r>
      <w:hyperlink r:id="rId20" w:tooltip="Learn more about immunotherapy from ScienceDirect's AI-generated Topic Pages" w:history="1">
        <w:r w:rsidRPr="004E27AF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immunotherapy</w:t>
        </w:r>
      </w:hyperlink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. </w:t>
      </w:r>
      <w:proofErr w:type="spellStart"/>
      <w:r w:rsidRPr="004E27AF">
        <w:rPr>
          <w:rFonts w:ascii="Times New Roman" w:hAnsi="Times New Roman" w:cs="Times New Roman"/>
          <w:color w:val="2E2E2E"/>
          <w:sz w:val="24"/>
          <w:szCs w:val="24"/>
        </w:rPr>
        <w:t>LCpG</w:t>
      </w:r>
      <w:proofErr w:type="spellEnd"/>
      <w:r w:rsidRPr="004E27AF">
        <w:rPr>
          <w:rFonts w:ascii="Times New Roman" w:hAnsi="Times New Roman" w:cs="Times New Roman"/>
          <w:color w:val="2E2E2E"/>
          <w:sz w:val="24"/>
          <w:szCs w:val="24"/>
        </w:rPr>
        <w:t xml:space="preserve"> was a promising adjuvant for vaccine formulation which could augment tumor-specific Tc1 activity, and regulate tumor microenvironments.</w:t>
      </w:r>
      <w:r w:rsidR="00C433C0" w:rsidRPr="004E27A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4E27A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4E27AF" w:rsidRDefault="000816E0" w:rsidP="004E27A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E27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4E27AF" w:rsidRPr="004E27AF" w:rsidRDefault="004E27AF" w:rsidP="004E27A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4E27AF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4E27AF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"https://www.sciencedirect.com/science/article/abs/pii/S1521661623004485" \t "_blank" </w:instrText>
      </w:r>
      <w:r w:rsidRPr="004E27AF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4E27AF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https://www.sciencedirect.com/science/article/abs/pii/S1521661623004485</w:t>
      </w:r>
      <w:r w:rsidRPr="004E27AF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4E27AF" w:rsidRDefault="000816E0" w:rsidP="004E27AF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7AF">
        <w:rPr>
          <w:rFonts w:ascii="Times New Roman" w:hAnsi="Times New Roman" w:cs="Times New Roman"/>
          <w:b/>
          <w:sz w:val="24"/>
          <w:szCs w:val="24"/>
        </w:rPr>
        <w:t>DOI:</w:t>
      </w:r>
    </w:p>
    <w:p w:rsidR="00397E1D" w:rsidRPr="00397E1D" w:rsidRDefault="004E27AF" w:rsidP="004E27AF">
      <w:pPr>
        <w:spacing w:before="150"/>
        <w:jc w:val="both"/>
        <w:rPr>
          <w:sz w:val="40"/>
          <w:szCs w:val="40"/>
        </w:rPr>
      </w:pPr>
      <w:hyperlink r:id="rId21" w:tgtFrame="_blank" w:tooltip="Persistent link using digital object identifier" w:history="1">
        <w:r w:rsidRPr="004E27AF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https://doi.org/10.1016/j.clim.2023.109685</w:t>
        </w:r>
      </w:hyperlink>
      <w:bookmarkStart w:id="1" w:name="_GoBack"/>
      <w:bookmarkEnd w:id="1"/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E27AF"/>
    <w:rsid w:val="004F276A"/>
    <w:rsid w:val="005241A4"/>
    <w:rsid w:val="00542D8F"/>
    <w:rsid w:val="00563D55"/>
    <w:rsid w:val="00567688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50267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9D6F69"/>
    <w:rsid w:val="00A01FB2"/>
    <w:rsid w:val="00A6337C"/>
    <w:rsid w:val="00A675F1"/>
    <w:rsid w:val="00A70799"/>
    <w:rsid w:val="00A94B34"/>
    <w:rsid w:val="00AB508E"/>
    <w:rsid w:val="00AC4080"/>
    <w:rsid w:val="00AC4B91"/>
    <w:rsid w:val="00AC5C4F"/>
    <w:rsid w:val="00AE03AA"/>
    <w:rsid w:val="00B12BAA"/>
    <w:rsid w:val="00B2123C"/>
    <w:rsid w:val="00B409D9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3598E"/>
    <w:rsid w:val="00DA234B"/>
    <w:rsid w:val="00DA36C1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4E27AF"/>
  </w:style>
  <w:style w:type="character" w:styleId="Emphasis">
    <w:name w:val="Emphasis"/>
    <w:basedOn w:val="DefaultParagraphFont"/>
    <w:uiPriority w:val="20"/>
    <w:qFormat/>
    <w:rsid w:val="004E27AF"/>
    <w:rPr>
      <w:i/>
      <w:iCs/>
    </w:rPr>
  </w:style>
  <w:style w:type="character" w:customStyle="1" w:styleId="button-link-text">
    <w:name w:val="button-link-text"/>
    <w:basedOn w:val="DefaultParagraphFont"/>
    <w:rsid w:val="004E27AF"/>
  </w:style>
  <w:style w:type="character" w:customStyle="1" w:styleId="react-xocs-alternative-link">
    <w:name w:val="react-xocs-alternative-link"/>
    <w:basedOn w:val="DefaultParagraphFont"/>
    <w:rsid w:val="004E27AF"/>
  </w:style>
  <w:style w:type="character" w:customStyle="1" w:styleId="given-name">
    <w:name w:val="given-name"/>
    <w:basedOn w:val="DefaultParagraphFont"/>
    <w:rsid w:val="004E27AF"/>
  </w:style>
  <w:style w:type="character" w:customStyle="1" w:styleId="text">
    <w:name w:val="text"/>
    <w:basedOn w:val="DefaultParagraphFont"/>
    <w:rsid w:val="004E27AF"/>
  </w:style>
  <w:style w:type="character" w:customStyle="1" w:styleId="author-ref">
    <w:name w:val="author-ref"/>
    <w:basedOn w:val="DefaultParagraphFont"/>
    <w:rsid w:val="004E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medicine-and-dentistry/nodular-melanoma" TargetMode="External"/><Relationship Id="rId13" Type="http://schemas.openxmlformats.org/officeDocument/2006/relationships/hyperlink" Target="https://www.sciencedirect.com/topics/medicine-and-dentistry/nodular-melanoma" TargetMode="External"/><Relationship Id="rId18" Type="http://schemas.openxmlformats.org/officeDocument/2006/relationships/hyperlink" Target="https://www.sciencedirect.com/topics/medicine-and-dentistry/adoptive-transfe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1016/j.clim.2023.109685" TargetMode="External"/><Relationship Id="rId7" Type="http://schemas.openxmlformats.org/officeDocument/2006/relationships/hyperlink" Target="https://www.sciencedirect.com/topics/immunology-and-microbiology/lymph-node" TargetMode="External"/><Relationship Id="rId12" Type="http://schemas.openxmlformats.org/officeDocument/2006/relationships/hyperlink" Target="https://www.sciencedirect.com/topics/medicine-and-dentistry/therapeutic-procedure" TargetMode="External"/><Relationship Id="rId17" Type="http://schemas.openxmlformats.org/officeDocument/2006/relationships/hyperlink" Target="https://www.sciencedirect.com/topics/immunology-and-microbiology/tumor-associated-macrophag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iencedirect.com/topics/medicine-and-dentistry/tumor-microenvironment" TargetMode="External"/><Relationship Id="rId20" Type="http://schemas.openxmlformats.org/officeDocument/2006/relationships/hyperlink" Target="https://www.sciencedirect.com/topics/medicine-and-dentistry/immunotherapy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immunology-and-microbiology/t-cell" TargetMode="External"/><Relationship Id="rId11" Type="http://schemas.openxmlformats.org/officeDocument/2006/relationships/hyperlink" Target="https://www.sciencedirect.com/topics/medicine-and-dentistry/macrophage-polarization" TargetMode="External"/><Relationship Id="rId5" Type="http://schemas.openxmlformats.org/officeDocument/2006/relationships/hyperlink" Target="https://www.sciencedirect.com/topics/medicine-and-dentistry/tumor-microenvironment" TargetMode="External"/><Relationship Id="rId15" Type="http://schemas.openxmlformats.org/officeDocument/2006/relationships/hyperlink" Target="https://www.sciencedirect.com/topics/medicine-and-dentistry/cytokine-productio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ciencedirect.com/topics/medicine-and-dentistry/cytotoxicity-assay" TargetMode="External"/><Relationship Id="rId19" Type="http://schemas.openxmlformats.org/officeDocument/2006/relationships/hyperlink" Target="https://www.sciencedirect.com/topics/medicine-and-dentistry/antineoplastic-activity" TargetMode="External"/><Relationship Id="rId4" Type="http://schemas.openxmlformats.org/officeDocument/2006/relationships/hyperlink" Target="https://www.sciencedirect.com/topics/immunology-and-microbiology/t-cell" TargetMode="External"/><Relationship Id="rId9" Type="http://schemas.openxmlformats.org/officeDocument/2006/relationships/hyperlink" Target="https://www.sciencedirect.com/topics/medicine-and-dentistry/immunotherapy" TargetMode="External"/><Relationship Id="rId14" Type="http://schemas.openxmlformats.org/officeDocument/2006/relationships/hyperlink" Target="https://www.sciencedirect.com/topics/medicine-and-dentistry/metastatic-carcinom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2024-08-12T03:43:00Z</dcterms:created>
  <dcterms:modified xsi:type="dcterms:W3CDTF">2024-08-13T06:45:00Z</dcterms:modified>
</cp:coreProperties>
</file>