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1772F6" w:rsidRDefault="001772F6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1772F6">
        <w:rPr>
          <w:rStyle w:val="blue-tooltip"/>
          <w:rFonts w:ascii="Times New Roman" w:hAnsi="Times New Roman" w:cs="Times New Roman"/>
          <w:bCs/>
          <w:sz w:val="40"/>
          <w:szCs w:val="40"/>
        </w:rPr>
        <w:t>Selective Adsorption of Organic Dyes from Aqueous Environment Using Fermented Maize Extract-Enhanced Graphene Oxide-Durian Shell Derived Activated Carbon Composite</w:t>
      </w:r>
    </w:p>
    <w:p w:rsidR="00286666" w:rsidRPr="00365EB6" w:rsidRDefault="00056A8C" w:rsidP="00365EB6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365EB6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>Author:</w:t>
      </w:r>
      <w:r w:rsidR="0015671A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5EB6" w:rsidRPr="00365EB6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Kehinde</w:t>
      </w:r>
      <w:proofErr w:type="spellEnd"/>
      <w:r w:rsidR="00365EB6" w:rsidRPr="00365EB6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Shola</w:t>
      </w:r>
      <w:r w:rsidR="00365EB6" w:rsidRPr="00365EB6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365EB6" w:rsidRPr="00365EB6">
        <w:rPr>
          <w:rStyle w:val="text"/>
          <w:rFonts w:ascii="Times New Roman" w:hAnsi="Times New Roman" w:cs="Times New Roman"/>
          <w:color w:val="0070C0"/>
          <w:sz w:val="24"/>
          <w:szCs w:val="24"/>
        </w:rPr>
        <w:t>Obayomi</w:t>
      </w:r>
      <w:proofErr w:type="spellEnd"/>
      <w:r w:rsidR="00365EB6" w:rsidRPr="00365EB6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365EB6" w:rsidRPr="00365EB6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Sie</w:t>
      </w:r>
      <w:proofErr w:type="spellEnd"/>
      <w:r w:rsidR="00365EB6" w:rsidRPr="00365EB6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365EB6" w:rsidRPr="00365EB6">
        <w:rPr>
          <w:rStyle w:val="text"/>
          <w:rFonts w:ascii="Times New Roman" w:hAnsi="Times New Roman" w:cs="Times New Roman"/>
          <w:color w:val="0070C0"/>
          <w:sz w:val="24"/>
          <w:szCs w:val="24"/>
        </w:rPr>
        <w:t>Yon Lau</w:t>
      </w:r>
      <w:r w:rsidR="00365EB6" w:rsidRPr="00365EB6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365EB6" w:rsidRPr="00365EB6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Michael K.</w:t>
      </w:r>
      <w:r w:rsidR="00365EB6" w:rsidRPr="00365EB6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365EB6" w:rsidRPr="00365EB6">
        <w:rPr>
          <w:rStyle w:val="text"/>
          <w:rFonts w:ascii="Times New Roman" w:hAnsi="Times New Roman" w:cs="Times New Roman"/>
          <w:color w:val="0070C0"/>
          <w:sz w:val="24"/>
          <w:szCs w:val="24"/>
        </w:rPr>
        <w:t>Danquah</w:t>
      </w:r>
      <w:proofErr w:type="spellEnd"/>
      <w:r w:rsidR="00365EB6" w:rsidRPr="00365EB6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365EB6" w:rsidRPr="00365EB6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Jianhua</w:t>
      </w:r>
      <w:proofErr w:type="spellEnd"/>
      <w:r w:rsidR="00365EB6" w:rsidRPr="00365EB6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365EB6" w:rsidRPr="00365EB6">
        <w:rPr>
          <w:rStyle w:val="text"/>
          <w:rFonts w:ascii="Times New Roman" w:hAnsi="Times New Roman" w:cs="Times New Roman"/>
          <w:color w:val="0070C0"/>
          <w:sz w:val="24"/>
          <w:szCs w:val="24"/>
        </w:rPr>
        <w:t>Zhang</w:t>
      </w:r>
      <w:r w:rsidR="00365EB6" w:rsidRPr="00365EB6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365EB6" w:rsidRPr="00365EB6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Tung</w:t>
      </w:r>
      <w:r w:rsidR="00365EB6" w:rsidRPr="00365EB6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365EB6" w:rsidRPr="00365EB6">
        <w:rPr>
          <w:rStyle w:val="text"/>
          <w:rFonts w:ascii="Times New Roman" w:hAnsi="Times New Roman" w:cs="Times New Roman"/>
          <w:color w:val="0070C0"/>
          <w:sz w:val="24"/>
          <w:szCs w:val="24"/>
        </w:rPr>
        <w:t>Chiong</w:t>
      </w:r>
      <w:proofErr w:type="spellEnd"/>
      <w:r w:rsidR="00365EB6" w:rsidRPr="00365EB6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365EB6" w:rsidRPr="00365EB6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Louise</w:t>
      </w:r>
      <w:r w:rsidR="00365EB6" w:rsidRPr="00365EB6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365EB6" w:rsidRPr="00365EB6">
        <w:rPr>
          <w:rStyle w:val="text"/>
          <w:rFonts w:ascii="Times New Roman" w:hAnsi="Times New Roman" w:cs="Times New Roman"/>
          <w:color w:val="0070C0"/>
          <w:sz w:val="24"/>
          <w:szCs w:val="24"/>
        </w:rPr>
        <w:t>Meunier</w:t>
      </w:r>
      <w:proofErr w:type="spellEnd"/>
      <w:r w:rsidR="00365EB6" w:rsidRPr="00365EB6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365EB6" w:rsidRPr="00365EB6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Mohammad </w:t>
      </w:r>
      <w:proofErr w:type="spellStart"/>
      <w:r w:rsidR="00365EB6" w:rsidRPr="00365EB6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Mahmudur</w:t>
      </w:r>
      <w:proofErr w:type="spellEnd"/>
      <w:r w:rsidR="00365EB6" w:rsidRPr="00365EB6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365EB6" w:rsidRPr="00365EB6">
        <w:rPr>
          <w:rStyle w:val="text"/>
          <w:rFonts w:ascii="Times New Roman" w:hAnsi="Times New Roman" w:cs="Times New Roman"/>
          <w:color w:val="0070C0"/>
          <w:sz w:val="24"/>
          <w:szCs w:val="24"/>
        </w:rPr>
        <w:t>Rahman</w:t>
      </w:r>
      <w:r w:rsidR="00365EB6" w:rsidRPr="00365EB6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365EB6"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="009437E0" w:rsidRPr="00365EB6">
        <w:rPr>
          <w:rStyle w:val="blue-tooltip"/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056A8C" w:rsidRPr="00365EB6" w:rsidRDefault="00056A8C" w:rsidP="00365EB6">
      <w:pPr>
        <w:jc w:val="both"/>
        <w:rPr>
          <w:rStyle w:val="blue-tooltip"/>
          <w:rFonts w:ascii="Times New Roman" w:hAnsi="Times New Roman" w:cs="Times New Roman"/>
          <w:b/>
          <w:color w:val="0070C0"/>
          <w:sz w:val="24"/>
          <w:szCs w:val="24"/>
        </w:rPr>
      </w:pPr>
    </w:p>
    <w:p w:rsidR="00286666" w:rsidRPr="00365EB6" w:rsidRDefault="00365EB6" w:rsidP="00365EB6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365EB6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  <w:bookmarkStart w:id="0" w:name="_GoBack"/>
      <w:bookmarkEnd w:id="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365EB6" w:rsidRPr="00365EB6" w:rsidTr="00365E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5EB6" w:rsidRPr="00365EB6" w:rsidRDefault="00365EB6" w:rsidP="00365E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365EB6" w:rsidRPr="00365EB6" w:rsidRDefault="00365EB6" w:rsidP="00365EB6">
            <w:pPr>
              <w:pStyle w:val="NormalWeb"/>
              <w:jc w:val="both"/>
            </w:pPr>
            <w:r w:rsidRPr="00365EB6">
              <w:t xml:space="preserve">A secure aquatic environment is essential for both aquatic and terrestrial life. However, rising populations and the industrial revolution have had a significant impact on the quality of the water environment. Despite the implementation of strong and adapted environmental policies for </w:t>
            </w:r>
            <w:hyperlink r:id="rId4" w:tooltip="Learn more about water treatment from ScienceDirect's AI-generated Topic Pages" w:history="1">
              <w:r w:rsidRPr="00365EB6">
                <w:rPr>
                  <w:rStyle w:val="Hyperlink"/>
                </w:rPr>
                <w:t>water treatment</w:t>
              </w:r>
            </w:hyperlink>
            <w:r w:rsidRPr="00365EB6">
              <w:t xml:space="preserve"> worldwide, the issue of organic dyes in wastewater remains challenging. Thus, this study aimed to develop an efficient, cost-effective, and sustainable material to treat </w:t>
            </w:r>
            <w:hyperlink r:id="rId5" w:tooltip="Learn more about methylene blue from ScienceDirect's AI-generated Topic Pages" w:history="1">
              <w:r w:rsidRPr="00365EB6">
                <w:rPr>
                  <w:rStyle w:val="Hyperlink"/>
                </w:rPr>
                <w:t>methylene blue</w:t>
              </w:r>
            </w:hyperlink>
            <w:r w:rsidRPr="00365EB6">
              <w:t xml:space="preserve"> (MB) in an aqueous environment. In this research, maize extract solution (MES) was utilized as a green cross-linker to induce precipitation, conjugation, and enhance the adsorption performance of </w:t>
            </w:r>
            <w:proofErr w:type="spellStart"/>
            <w:r w:rsidRPr="00365EB6">
              <w:t>graphene</w:t>
            </w:r>
            <w:proofErr w:type="spellEnd"/>
            <w:r w:rsidRPr="00365EB6">
              <w:t xml:space="preserve"> oxide (GO) cross-linked with durian shell activated carbon (DSAC), resulting in the formation of a GO@DSAC composite. The composite was investigated for its adsorptive performance toward MB in aqueous media. The physicochemical characterization demonstrated that the cross-linking method significantly influenced the porous structure and surface chemistry of GO@DSAC. BET analysis revealed that the GO@DSAC exhibited dominant </w:t>
            </w:r>
            <w:proofErr w:type="spellStart"/>
            <w:r w:rsidRPr="00365EB6">
              <w:t>mesopores</w:t>
            </w:r>
            <w:proofErr w:type="spellEnd"/>
            <w:r w:rsidRPr="00365EB6">
              <w:t xml:space="preserve"> with a surface area of 803.67 m</w:t>
            </w:r>
            <w:r w:rsidRPr="00365EB6">
              <w:rPr>
                <w:vertAlign w:val="superscript"/>
              </w:rPr>
              <w:t>2</w:t>
            </w:r>
            <w:r w:rsidRPr="00365EB6">
              <w:t xml:space="preserve">/g. EDX and XPS measurements confirmed the successful cross-linking of GO with DSAC. The adsorption experiments were well described by the Harkin-Jura model and they followed pseudo-second order kinetics. The maximum adsorption capacity reached 666.67 mg/g at 318 K. Thermodynamic evaluation indicated a spontaneous, feasible, and endothermic in nature. </w:t>
            </w:r>
            <w:proofErr w:type="spellStart"/>
            <w:r w:rsidRPr="00365EB6">
              <w:t>Regenerability</w:t>
            </w:r>
            <w:proofErr w:type="spellEnd"/>
            <w:r w:rsidRPr="00365EB6">
              <w:t xml:space="preserve"> and reusability investigations demonstrated that the GO@DSAC composite could be reused for up to 10 desorption-adsorption cycles with a removal efficiency of 81.78%. The selective adsorptive performance of GO@DSAC was examined in a binary system containing </w:t>
            </w:r>
            <w:hyperlink r:id="rId6" w:tooltip="Learn more about Rhodamine from ScienceDirect's AI-generated Topic Pages" w:history="1">
              <w:proofErr w:type="spellStart"/>
              <w:r w:rsidRPr="00365EB6">
                <w:rPr>
                  <w:rStyle w:val="Hyperlink"/>
                </w:rPr>
                <w:t>Rhodamine</w:t>
              </w:r>
              <w:proofErr w:type="spellEnd"/>
            </w:hyperlink>
            <w:r w:rsidRPr="00365EB6">
              <w:t xml:space="preserve"> B (</w:t>
            </w:r>
            <w:proofErr w:type="spellStart"/>
            <w:r w:rsidRPr="00365EB6">
              <w:t>RhB</w:t>
            </w:r>
            <w:proofErr w:type="spellEnd"/>
            <w:r w:rsidRPr="00365EB6">
              <w:t xml:space="preserve">) and </w:t>
            </w:r>
            <w:hyperlink r:id="rId7" w:tooltip="Learn more about methylene from ScienceDirect's AI-generated Topic Pages" w:history="1">
              <w:r w:rsidRPr="00365EB6">
                <w:rPr>
                  <w:rStyle w:val="Hyperlink"/>
                </w:rPr>
                <w:t>methylene</w:t>
              </w:r>
            </w:hyperlink>
            <w:r w:rsidRPr="00365EB6">
              <w:t xml:space="preserve"> orange (MO). The results showed a separation efficiency (α) of 98.89% for MB/MO and 93.66% for MB/</w:t>
            </w:r>
            <w:proofErr w:type="spellStart"/>
            <w:r w:rsidRPr="00365EB6">
              <w:t>RhB</w:t>
            </w:r>
            <w:proofErr w:type="spellEnd"/>
            <w:r w:rsidRPr="00365EB6">
              <w:t xml:space="preserve"> mixtures, underscoring outstanding separation capabilities of the GO@DSAC composite. Overall, the GO@DSAC composite displayed promising potential for the effective removal of cationic dyes from wastewater.</w:t>
            </w:r>
          </w:p>
        </w:tc>
      </w:tr>
    </w:tbl>
    <w:p w:rsidR="000816E0" w:rsidRPr="00365EB6" w:rsidRDefault="000816E0" w:rsidP="00365EB6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65EB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365EB6" w:rsidRPr="00365EB6" w:rsidRDefault="00365EB6" w:rsidP="00365EB6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365EB6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365EB6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"https://www.sciencedirect.com/science/article/abs/pii/S004565352302009X" \t "_blank" </w:instrText>
      </w:r>
      <w:r w:rsidRPr="00365EB6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365EB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https://www.sciencedirect.com/science/article/abs/pii/S004565352302009X</w:t>
      </w:r>
      <w:r w:rsidRPr="00365EB6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365EB6" w:rsidRPr="00365EB6" w:rsidRDefault="00365EB6" w:rsidP="00365EB6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5EB6">
        <w:rPr>
          <w:rFonts w:ascii="Times New Roman" w:hAnsi="Times New Roman" w:cs="Times New Roman"/>
          <w:b/>
          <w:sz w:val="24"/>
          <w:szCs w:val="24"/>
        </w:rPr>
        <w:t>DOI:</w:t>
      </w:r>
    </w:p>
    <w:p w:rsidR="00397E1D" w:rsidRDefault="0015671A" w:rsidP="00365EB6">
      <w:pPr>
        <w:spacing w:before="150" w:after="150" w:line="240" w:lineRule="auto"/>
        <w:jc w:val="both"/>
        <w:rPr>
          <w:rStyle w:val="ofieldchar"/>
          <w:sz w:val="40"/>
          <w:szCs w:val="40"/>
        </w:rPr>
      </w:pPr>
      <w:hyperlink r:id="rId8" w:tgtFrame="_blank" w:tooltip="Persistent link using digital object identifier" w:history="1">
        <w:r w:rsidR="00365EB6" w:rsidRPr="00365EB6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https://doi.org/10.1016/j.chemosphere.2023.139742</w:t>
        </w:r>
      </w:hyperlink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5671A"/>
    <w:rsid w:val="00171D6A"/>
    <w:rsid w:val="001772F6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65EB6"/>
    <w:rsid w:val="00383B0C"/>
    <w:rsid w:val="00397E1D"/>
    <w:rsid w:val="003C5AD5"/>
    <w:rsid w:val="003D493B"/>
    <w:rsid w:val="003F23DC"/>
    <w:rsid w:val="004B77E2"/>
    <w:rsid w:val="004F276A"/>
    <w:rsid w:val="004F60C8"/>
    <w:rsid w:val="005241A4"/>
    <w:rsid w:val="00542D8F"/>
    <w:rsid w:val="00563D55"/>
    <w:rsid w:val="00567688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50267"/>
    <w:rsid w:val="0078199A"/>
    <w:rsid w:val="00795699"/>
    <w:rsid w:val="007A2B06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D629E"/>
    <w:rsid w:val="008E59F8"/>
    <w:rsid w:val="008F4B6C"/>
    <w:rsid w:val="008F7BAB"/>
    <w:rsid w:val="0090116F"/>
    <w:rsid w:val="00903341"/>
    <w:rsid w:val="00903A4E"/>
    <w:rsid w:val="009261CD"/>
    <w:rsid w:val="009437E0"/>
    <w:rsid w:val="0096681B"/>
    <w:rsid w:val="009A5C55"/>
    <w:rsid w:val="00A01FB2"/>
    <w:rsid w:val="00A6337C"/>
    <w:rsid w:val="00A675F1"/>
    <w:rsid w:val="00A70799"/>
    <w:rsid w:val="00A91868"/>
    <w:rsid w:val="00A94B34"/>
    <w:rsid w:val="00AB508E"/>
    <w:rsid w:val="00AC4B91"/>
    <w:rsid w:val="00AC5C4F"/>
    <w:rsid w:val="00AE03AA"/>
    <w:rsid w:val="00B12BAA"/>
    <w:rsid w:val="00B2123C"/>
    <w:rsid w:val="00B409D9"/>
    <w:rsid w:val="00BB2349"/>
    <w:rsid w:val="00BC2981"/>
    <w:rsid w:val="00BF091E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434CA"/>
    <w:rsid w:val="00DA36C1"/>
    <w:rsid w:val="00DC5D8D"/>
    <w:rsid w:val="00DE2BB8"/>
    <w:rsid w:val="00DF18D8"/>
    <w:rsid w:val="00DF3561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button-link-text">
    <w:name w:val="button-link-text"/>
    <w:basedOn w:val="DefaultParagraphFont"/>
    <w:rsid w:val="00365EB6"/>
  </w:style>
  <w:style w:type="character" w:customStyle="1" w:styleId="react-xocs-alternative-link">
    <w:name w:val="react-xocs-alternative-link"/>
    <w:basedOn w:val="DefaultParagraphFont"/>
    <w:rsid w:val="00365EB6"/>
  </w:style>
  <w:style w:type="character" w:customStyle="1" w:styleId="given-name">
    <w:name w:val="given-name"/>
    <w:basedOn w:val="DefaultParagraphFont"/>
    <w:rsid w:val="00365EB6"/>
  </w:style>
  <w:style w:type="character" w:customStyle="1" w:styleId="text">
    <w:name w:val="text"/>
    <w:basedOn w:val="DefaultParagraphFont"/>
    <w:rsid w:val="00365EB6"/>
  </w:style>
  <w:style w:type="character" w:customStyle="1" w:styleId="author-ref">
    <w:name w:val="author-ref"/>
    <w:basedOn w:val="DefaultParagraphFont"/>
    <w:rsid w:val="00365EB6"/>
  </w:style>
  <w:style w:type="character" w:customStyle="1" w:styleId="anchor-text">
    <w:name w:val="anchor-text"/>
    <w:basedOn w:val="DefaultParagraphFont"/>
    <w:rsid w:val="00365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6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5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1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chemosphere.2023.13974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earth-and-planetary-sciences/carbe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arth-and-planetary-sciences/rhodamine" TargetMode="External"/><Relationship Id="rId5" Type="http://schemas.openxmlformats.org/officeDocument/2006/relationships/hyperlink" Target="https://www.sciencedirect.com/topics/earth-and-planetary-sciences/methylene-blu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ciencedirect.com/topics/earth-and-planetary-sciences/water-purificatio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2024-08-22T06:54:00Z</dcterms:created>
  <dcterms:modified xsi:type="dcterms:W3CDTF">2024-08-24T09:33:00Z</dcterms:modified>
</cp:coreProperties>
</file>