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16102F" w:rsidRDefault="0016102F">
      <w:pPr>
        <w:rPr>
          <w:rStyle w:val="blue-tooltip"/>
          <w:bCs/>
          <w:sz w:val="40"/>
          <w:szCs w:val="40"/>
        </w:rPr>
      </w:pPr>
      <w:proofErr w:type="spellStart"/>
      <w:r w:rsidRPr="0016102F">
        <w:rPr>
          <w:rStyle w:val="blue-tooltip"/>
          <w:bCs/>
          <w:sz w:val="40"/>
          <w:szCs w:val="40"/>
        </w:rPr>
        <w:t>Spatio</w:t>
      </w:r>
      <w:proofErr w:type="spellEnd"/>
      <w:r w:rsidRPr="0016102F">
        <w:rPr>
          <w:rStyle w:val="blue-tooltip"/>
          <w:bCs/>
          <w:sz w:val="40"/>
          <w:szCs w:val="40"/>
        </w:rPr>
        <w:t>-Temporal Assessment of Water Quality of a Tropical Decaying River in India for Drinking Purposes and Human Health Risk Characterization</w:t>
      </w:r>
    </w:p>
    <w:p w:rsidR="0016102F" w:rsidRPr="0016102F" w:rsidRDefault="00056A8C" w:rsidP="0016102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16102F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hyperlink r:id="rId5" w:anchor="auth-Md__Mofizul-Hoque-Aff1" w:history="1"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Mofizul</w:t>
        </w:r>
        <w:proofErr w:type="spellEnd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Hoque</w:t>
        </w:r>
        <w:proofErr w:type="spellEnd"/>
      </w:hyperlink>
      <w:r w:rsidR="0016102F" w:rsidRPr="0016102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anchor="auth-Aznarul-Islam-Aff1" w:history="1">
        <w:proofErr w:type="spellStart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Aznarul</w:t>
        </w:r>
        <w:proofErr w:type="spellEnd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Islam</w:t>
        </w:r>
      </w:hyperlink>
      <w:r w:rsidR="0016102F" w:rsidRPr="0016102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7" w:anchor="auth-Abu_Reza_Md_Towfiqul-Islam-Aff2-Aff3" w:history="1"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Abu Reza </w:t>
        </w:r>
        <w:proofErr w:type="spellStart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Md</w:t>
        </w:r>
        <w:proofErr w:type="spellEnd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Towfiqul</w:t>
        </w:r>
        <w:proofErr w:type="spellEnd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Islam</w:t>
        </w:r>
      </w:hyperlink>
      <w:r w:rsidR="0016102F" w:rsidRPr="0016102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8" w:anchor="auth-Balai_Chandra-Das-Aff4" w:history="1">
        <w:proofErr w:type="spellStart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Balai</w:t>
        </w:r>
        <w:proofErr w:type="spellEnd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Chandra Das</w:t>
        </w:r>
      </w:hyperlink>
      <w:r w:rsidR="0016102F" w:rsidRPr="0016102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9" w:anchor="auth-Subodh_Chandra-Pal-Aff5" w:history="1">
        <w:proofErr w:type="spellStart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Subodh</w:t>
        </w:r>
        <w:proofErr w:type="spellEnd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Chandra Pal</w:t>
        </w:r>
      </w:hyperlink>
      <w:r w:rsidR="0016102F" w:rsidRPr="0016102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0" w:anchor="auth-Alireza-Arabameri-Aff6" w:history="1">
        <w:proofErr w:type="spellStart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Alireza</w:t>
        </w:r>
        <w:proofErr w:type="spellEnd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Arabameri</w:t>
        </w:r>
        <w:proofErr w:type="spellEnd"/>
      </w:hyperlink>
      <w:r w:rsidR="0016102F" w:rsidRPr="0016102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1" w:anchor="auth-Rituparna-Khan-Aff7" w:history="1">
        <w:proofErr w:type="spellStart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Rituparna</w:t>
        </w:r>
        <w:proofErr w:type="spellEnd"/>
        <w:r w:rsidR="0016102F" w:rsidRPr="0016102F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Khan</w:t>
        </w:r>
      </w:hyperlink>
      <w:r w:rsidR="0016102F" w:rsidRPr="0016102F">
        <w:rPr>
          <w:rFonts w:ascii="Times New Roman" w:hAnsi="Times New Roman" w:cs="Times New Roman"/>
          <w:color w:val="0070C0"/>
          <w:sz w:val="24"/>
          <w:szCs w:val="24"/>
        </w:rPr>
        <w:t> </w:t>
      </w:r>
    </w:p>
    <w:p w:rsidR="0016102F" w:rsidRPr="0016102F" w:rsidRDefault="009437E0" w:rsidP="0016102F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  <w:r w:rsidRPr="0016102F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r w:rsidR="00286666" w:rsidRPr="0016102F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286666" w:rsidRPr="0016102F" w:rsidRDefault="0016102F" w:rsidP="0016102F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16102F">
        <w:rPr>
          <w:rFonts w:ascii="Times New Roman" w:hAnsi="Times New Roman" w:cs="Times New Roman"/>
          <w:sz w:val="24"/>
          <w:szCs w:val="24"/>
        </w:rPr>
        <w:t xml:space="preserve">River water pollution and water-related health problems are common issues across the world. The present study aims to examine the </w:t>
      </w:r>
      <w:proofErr w:type="spellStart"/>
      <w:r w:rsidRPr="0016102F">
        <w:rPr>
          <w:rFonts w:ascii="Times New Roman" w:hAnsi="Times New Roman" w:cs="Times New Roman"/>
          <w:sz w:val="24"/>
          <w:szCs w:val="24"/>
        </w:rPr>
        <w:t>Jalangi</w:t>
      </w:r>
      <w:proofErr w:type="spellEnd"/>
      <w:r w:rsidRPr="0016102F">
        <w:rPr>
          <w:rFonts w:ascii="Times New Roman" w:hAnsi="Times New Roman" w:cs="Times New Roman"/>
          <w:sz w:val="24"/>
          <w:szCs w:val="24"/>
        </w:rPr>
        <w:t xml:space="preserve"> River’s water quality to assess its suitability for drinking purposes and associated human health risks. The 34 water samples were collected from the source to the mouth of </w:t>
      </w:r>
      <w:proofErr w:type="spellStart"/>
      <w:r w:rsidRPr="0016102F">
        <w:rPr>
          <w:rFonts w:ascii="Times New Roman" w:hAnsi="Times New Roman" w:cs="Times New Roman"/>
          <w:sz w:val="24"/>
          <w:szCs w:val="24"/>
        </w:rPr>
        <w:t>Jalangi</w:t>
      </w:r>
      <w:proofErr w:type="spellEnd"/>
      <w:r w:rsidRPr="0016102F">
        <w:rPr>
          <w:rFonts w:ascii="Times New Roman" w:hAnsi="Times New Roman" w:cs="Times New Roman"/>
          <w:sz w:val="24"/>
          <w:szCs w:val="24"/>
        </w:rPr>
        <w:t xml:space="preserve"> River in 2022 to depict the spatial dynamics while another 119 water samples (2012–2022) were collected from a secondary source to portray the seasonal dynamics. Results indicate better water quality in the lower reach of the river in the monsoon and post-monsoon seasons. Principal c</w:t>
      </w:r>
      <w:bookmarkStart w:id="0" w:name="_GoBack"/>
      <w:bookmarkEnd w:id="0"/>
      <w:r w:rsidRPr="0016102F">
        <w:rPr>
          <w:rFonts w:ascii="Times New Roman" w:hAnsi="Times New Roman" w:cs="Times New Roman"/>
          <w:sz w:val="24"/>
          <w:szCs w:val="24"/>
        </w:rPr>
        <w:t>omponent analysis reveals that K</w:t>
      </w:r>
      <w:r w:rsidRPr="0016102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16102F">
        <w:rPr>
          <w:rFonts w:ascii="Times New Roman" w:hAnsi="Times New Roman" w:cs="Times New Roman"/>
          <w:sz w:val="24"/>
          <w:szCs w:val="24"/>
        </w:rPr>
        <w:t>, NO</w:t>
      </w:r>
      <w:r w:rsidRPr="0016102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6102F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Pr="0016102F">
        <w:rPr>
          <w:rFonts w:ascii="Times New Roman" w:hAnsi="Times New Roman" w:cs="Times New Roman"/>
          <w:sz w:val="24"/>
          <w:szCs w:val="24"/>
        </w:rPr>
        <w:t>, and total alkalinity (TA) play a dominant role in controlling the water quality of the study region, while, CaCO</w:t>
      </w:r>
      <w:r w:rsidRPr="0016102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6102F">
        <w:rPr>
          <w:rFonts w:ascii="Times New Roman" w:hAnsi="Times New Roman" w:cs="Times New Roman"/>
          <w:sz w:val="24"/>
          <w:szCs w:val="24"/>
        </w:rPr>
        <w:t>, Ca</w:t>
      </w:r>
      <w:r w:rsidRPr="0016102F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16102F">
        <w:rPr>
          <w:rFonts w:ascii="Times New Roman" w:hAnsi="Times New Roman" w:cs="Times New Roman"/>
          <w:sz w:val="24"/>
          <w:szCs w:val="24"/>
        </w:rPr>
        <w:t>, and EC in the pre-monsoon, EC, TDS, Na</w:t>
      </w:r>
      <w:r w:rsidRPr="0016102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16102F">
        <w:rPr>
          <w:rFonts w:ascii="Times New Roman" w:hAnsi="Times New Roman" w:cs="Times New Roman"/>
          <w:sz w:val="24"/>
          <w:szCs w:val="24"/>
        </w:rPr>
        <w:t>, and TA in the monsoon, and EC, TDS and TA in the post-monsoon controlled the water quality. The results of ANOVA reveal that BOD, Ca</w:t>
      </w:r>
      <w:r w:rsidRPr="0016102F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16102F">
        <w:rPr>
          <w:rFonts w:ascii="Times New Roman" w:hAnsi="Times New Roman" w:cs="Times New Roman"/>
          <w:sz w:val="24"/>
          <w:szCs w:val="24"/>
        </w:rPr>
        <w:t>, and CaCO</w:t>
      </w:r>
      <w:r w:rsidRPr="0016102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6102F">
        <w:rPr>
          <w:rFonts w:ascii="Times New Roman" w:hAnsi="Times New Roman" w:cs="Times New Roman"/>
          <w:sz w:val="24"/>
          <w:szCs w:val="24"/>
        </w:rPr>
        <w:t xml:space="preserve"> concentrations in water have significant spatial dynamics, whereas pH, BOD, DO, </w:t>
      </w:r>
      <w:proofErr w:type="spellStart"/>
      <w:r w:rsidRPr="0016102F">
        <w:rPr>
          <w:rFonts w:ascii="Times New Roman" w:hAnsi="Times New Roman" w:cs="Times New Roman"/>
          <w:sz w:val="24"/>
          <w:szCs w:val="24"/>
        </w:rPr>
        <w:t>Cl</w:t>
      </w:r>
      <w:proofErr w:type="spellEnd"/>
      <w:r w:rsidRPr="0016102F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Pr="0016102F">
        <w:rPr>
          <w:rFonts w:ascii="Times New Roman" w:hAnsi="Times New Roman" w:cs="Times New Roman"/>
          <w:sz w:val="24"/>
          <w:szCs w:val="24"/>
        </w:rPr>
        <w:t>, SO</w:t>
      </w:r>
      <w:r w:rsidRPr="0016102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6102F">
        <w:rPr>
          <w:rFonts w:ascii="Times New Roman" w:hAnsi="Times New Roman" w:cs="Times New Roman"/>
          <w:sz w:val="24"/>
          <w:szCs w:val="24"/>
          <w:vertAlign w:val="superscript"/>
        </w:rPr>
        <w:t>2−</w:t>
      </w:r>
      <w:r w:rsidRPr="0016102F">
        <w:rPr>
          <w:rFonts w:ascii="Times New Roman" w:hAnsi="Times New Roman" w:cs="Times New Roman"/>
          <w:sz w:val="24"/>
          <w:szCs w:val="24"/>
        </w:rPr>
        <w:t>, Na</w:t>
      </w:r>
      <w:r w:rsidRPr="0016102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16102F">
        <w:rPr>
          <w:rFonts w:ascii="Times New Roman" w:hAnsi="Times New Roman" w:cs="Times New Roman"/>
          <w:sz w:val="24"/>
          <w:szCs w:val="24"/>
        </w:rPr>
        <w:t>, Mg</w:t>
      </w:r>
      <w:r w:rsidRPr="0016102F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16102F">
        <w:rPr>
          <w:rFonts w:ascii="Times New Roman" w:hAnsi="Times New Roman" w:cs="Times New Roman"/>
          <w:sz w:val="24"/>
          <w:szCs w:val="24"/>
        </w:rPr>
        <w:t>, Ca</w:t>
      </w:r>
      <w:r w:rsidRPr="0016102F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16102F">
        <w:rPr>
          <w:rFonts w:ascii="Times New Roman" w:hAnsi="Times New Roman" w:cs="Times New Roman"/>
          <w:sz w:val="24"/>
          <w:szCs w:val="24"/>
        </w:rPr>
        <w:t>, CaCO</w:t>
      </w:r>
      <w:r w:rsidRPr="0016102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6102F">
        <w:rPr>
          <w:rFonts w:ascii="Times New Roman" w:hAnsi="Times New Roman" w:cs="Times New Roman"/>
          <w:sz w:val="24"/>
          <w:szCs w:val="24"/>
        </w:rPr>
        <w:t>, TDS, TA, and EC have seasonal dynamics (</w:t>
      </w:r>
      <w:r w:rsidRPr="0016102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6102F">
        <w:rPr>
          <w:rFonts w:ascii="Times New Roman" w:hAnsi="Times New Roman" w:cs="Times New Roman"/>
          <w:sz w:val="24"/>
          <w:szCs w:val="24"/>
        </w:rPr>
        <w:t xml:space="preserve"> &lt; 0.05). The water quality index depicts that the </w:t>
      </w:r>
      <w:proofErr w:type="spellStart"/>
      <w:r w:rsidRPr="0016102F">
        <w:rPr>
          <w:rFonts w:ascii="Times New Roman" w:hAnsi="Times New Roman" w:cs="Times New Roman"/>
          <w:sz w:val="24"/>
          <w:szCs w:val="24"/>
        </w:rPr>
        <w:t>Jalangi</w:t>
      </w:r>
      <w:proofErr w:type="spellEnd"/>
      <w:r w:rsidRPr="0016102F">
        <w:rPr>
          <w:rFonts w:ascii="Times New Roman" w:hAnsi="Times New Roman" w:cs="Times New Roman"/>
          <w:sz w:val="24"/>
          <w:szCs w:val="24"/>
        </w:rPr>
        <w:t xml:space="preserve"> River’s water quality ranged from 6.23 to 140.83, i.e., excellent to unsuitable for drinking purposes. Human health risk analysis shows that 32.35% of water samples have non-carcinogenic health risks for all three groups of people, i.e., adults, children, and infants while only 5.88% of water samples have carcinogenic health risks for adults and children. The gradual decay of the </w:t>
      </w:r>
      <w:proofErr w:type="spellStart"/>
      <w:r w:rsidRPr="0016102F">
        <w:rPr>
          <w:rFonts w:ascii="Times New Roman" w:hAnsi="Times New Roman" w:cs="Times New Roman"/>
          <w:sz w:val="24"/>
          <w:szCs w:val="24"/>
        </w:rPr>
        <w:t>Jalangi</w:t>
      </w:r>
      <w:proofErr w:type="spellEnd"/>
      <w:r w:rsidRPr="0016102F">
        <w:rPr>
          <w:rFonts w:ascii="Times New Roman" w:hAnsi="Times New Roman" w:cs="Times New Roman"/>
          <w:sz w:val="24"/>
          <w:szCs w:val="24"/>
        </w:rPr>
        <w:t xml:space="preserve"> River coupled with the disposal of urban and agricultural effluents induces river pollution that calls for substantial attention from the various stakeholders to restore the water quality.</w:t>
      </w:r>
      <w:r w:rsidR="00C433C0" w:rsidRPr="0016102F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16102F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16102F" w:rsidRDefault="000816E0" w:rsidP="0016102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6102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16102F" w:rsidRPr="0016102F" w:rsidRDefault="0016102F" w:rsidP="0016102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16102F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16102F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"https://link.springer.com/article/10.1007/s11356-023-29431-7" \t "_blank" </w:instrText>
      </w:r>
      <w:r w:rsidRPr="0016102F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16102F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https://link.springer.com/article/10.1007/s11356-023-29431-7</w:t>
      </w:r>
      <w:r w:rsidRPr="0016102F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16102F" w:rsidRDefault="000816E0" w:rsidP="0016102F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02F">
        <w:rPr>
          <w:rFonts w:ascii="Times New Roman" w:hAnsi="Times New Roman" w:cs="Times New Roman"/>
          <w:b/>
          <w:sz w:val="24"/>
          <w:szCs w:val="24"/>
        </w:rPr>
        <w:t>DOI:</w:t>
      </w:r>
    </w:p>
    <w:p w:rsidR="0016102F" w:rsidRPr="0016102F" w:rsidRDefault="0016102F" w:rsidP="0016102F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6102F">
        <w:rPr>
          <w:rStyle w:val="c-bibliographic-informationvalue"/>
          <w:rFonts w:ascii="Times New Roman" w:hAnsi="Times New Roman" w:cs="Times New Roman"/>
          <w:color w:val="0070C0"/>
          <w:sz w:val="24"/>
          <w:szCs w:val="24"/>
        </w:rPr>
        <w:t>https://doi.org/10.1007/s11356-023-29431-7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182244"/>
    <w:multiLevelType w:val="multilevel"/>
    <w:tmpl w:val="A48E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6102F"/>
    <w:rsid w:val="00171D6A"/>
    <w:rsid w:val="00195F14"/>
    <w:rsid w:val="00197F72"/>
    <w:rsid w:val="001B444F"/>
    <w:rsid w:val="001B7224"/>
    <w:rsid w:val="001D380C"/>
    <w:rsid w:val="001E435D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4F60C8"/>
    <w:rsid w:val="005241A4"/>
    <w:rsid w:val="0052734E"/>
    <w:rsid w:val="00542D8F"/>
    <w:rsid w:val="00563D55"/>
    <w:rsid w:val="00567688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50267"/>
    <w:rsid w:val="0078199A"/>
    <w:rsid w:val="007913DB"/>
    <w:rsid w:val="00795699"/>
    <w:rsid w:val="007A2B06"/>
    <w:rsid w:val="00802BA2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D629E"/>
    <w:rsid w:val="008E59F8"/>
    <w:rsid w:val="008F4B6C"/>
    <w:rsid w:val="008F7BAB"/>
    <w:rsid w:val="0090116F"/>
    <w:rsid w:val="00903341"/>
    <w:rsid w:val="00903A4E"/>
    <w:rsid w:val="009261CD"/>
    <w:rsid w:val="009437E0"/>
    <w:rsid w:val="0096681B"/>
    <w:rsid w:val="009A5C55"/>
    <w:rsid w:val="00A01FB2"/>
    <w:rsid w:val="00A6337C"/>
    <w:rsid w:val="00A675F1"/>
    <w:rsid w:val="00A70799"/>
    <w:rsid w:val="00A91868"/>
    <w:rsid w:val="00A94B34"/>
    <w:rsid w:val="00AB508E"/>
    <w:rsid w:val="00AC4B91"/>
    <w:rsid w:val="00AC5C4F"/>
    <w:rsid w:val="00AE03AA"/>
    <w:rsid w:val="00B12BAA"/>
    <w:rsid w:val="00B2123C"/>
    <w:rsid w:val="00B409D9"/>
    <w:rsid w:val="00BA5B65"/>
    <w:rsid w:val="00BB2349"/>
    <w:rsid w:val="00BC2981"/>
    <w:rsid w:val="00BF091E"/>
    <w:rsid w:val="00C433C0"/>
    <w:rsid w:val="00C665A2"/>
    <w:rsid w:val="00C72C91"/>
    <w:rsid w:val="00C916C7"/>
    <w:rsid w:val="00CA5BD2"/>
    <w:rsid w:val="00CC6082"/>
    <w:rsid w:val="00CD6A55"/>
    <w:rsid w:val="00CE04FD"/>
    <w:rsid w:val="00CF2D6D"/>
    <w:rsid w:val="00D11FFB"/>
    <w:rsid w:val="00D26612"/>
    <w:rsid w:val="00D434CA"/>
    <w:rsid w:val="00DA36C1"/>
    <w:rsid w:val="00DC5D8D"/>
    <w:rsid w:val="00DE2BB8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-bibliographic-informationvalue">
    <w:name w:val="c-bibliographic-information__value"/>
    <w:basedOn w:val="DefaultParagraphFont"/>
    <w:rsid w:val="00161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07/s11356-023-29431-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007/s11356-023-29431-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11356-023-29431-7" TargetMode="External"/><Relationship Id="rId11" Type="http://schemas.openxmlformats.org/officeDocument/2006/relationships/hyperlink" Target="https://link.springer.com/article/10.1007/s11356-023-29431-7" TargetMode="External"/><Relationship Id="rId5" Type="http://schemas.openxmlformats.org/officeDocument/2006/relationships/hyperlink" Target="https://link.springer.com/article/10.1007/s11356-023-29431-7" TargetMode="External"/><Relationship Id="rId10" Type="http://schemas.openxmlformats.org/officeDocument/2006/relationships/hyperlink" Target="https://link.springer.com/article/10.1007/s11356-023-29431-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article/10.1007/s11356-023-29431-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2024-08-22T06:56:00Z</dcterms:created>
  <dcterms:modified xsi:type="dcterms:W3CDTF">2024-08-27T06:01:00Z</dcterms:modified>
</cp:coreProperties>
</file>