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425F80" w14:textId="138BC01C" w:rsidR="006C46BE" w:rsidRPr="00C341A4" w:rsidRDefault="002707D3" w:rsidP="006C46BE">
      <w:pPr>
        <w:spacing w:after="200" w:line="276" w:lineRule="auto"/>
        <w:rPr>
          <w:rFonts w:ascii="Times New Roman" w:eastAsia="Times New Roman" w:hAnsi="Times New Roman" w:cs="Times New Roman"/>
          <w:bCs/>
          <w:sz w:val="40"/>
          <w:szCs w:val="40"/>
        </w:rPr>
      </w:pPr>
      <w:r w:rsidRPr="00C341A4">
        <w:rPr>
          <w:rFonts w:ascii="Times New Roman" w:eastAsia="Times New Roman" w:hAnsi="Times New Roman" w:cs="Times New Roman"/>
          <w:bCs/>
          <w:sz w:val="40"/>
          <w:szCs w:val="40"/>
        </w:rPr>
        <w:t>T</w:t>
      </w:r>
      <w:r w:rsidRPr="00C341A4">
        <w:rPr>
          <w:rFonts w:ascii="Times New Roman" w:eastAsia="Times New Roman" w:hAnsi="Times New Roman" w:cs="Times New Roman"/>
          <w:bCs/>
          <w:sz w:val="40"/>
          <w:szCs w:val="40"/>
        </w:rPr>
        <w:t>extile Dyeing Using Natural Mordants and Dyes: A Review</w:t>
      </w:r>
    </w:p>
    <w:p w14:paraId="20024148" w14:textId="77777777" w:rsidR="006C46BE" w:rsidRDefault="006C46BE" w:rsidP="006C46BE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23AED79A" w14:textId="4BC7940C" w:rsidR="000B4CD8" w:rsidRPr="00C341A4" w:rsidRDefault="00000000" w:rsidP="00C341A4">
      <w:pPr>
        <w:spacing w:after="200" w:line="276" w:lineRule="auto"/>
        <w:rPr>
          <w:rFonts w:ascii="Segoe UI" w:hAnsi="Segoe UI" w:cs="Segoe UI"/>
          <w:color w:val="5B616B"/>
          <w:sz w:val="24"/>
          <w:szCs w:val="24"/>
          <w:shd w:val="clear" w:color="auto" w:fill="FFFFFF"/>
        </w:rPr>
      </w:pPr>
      <w:r w:rsidRPr="00C341A4">
        <w:rPr>
          <w:rFonts w:ascii="Times New Roman" w:eastAsia="Times New Roman" w:hAnsi="Times New Roman" w:cs="Times New Roman"/>
          <w:b/>
          <w:sz w:val="24"/>
          <w:szCs w:val="24"/>
        </w:rPr>
        <w:t>Author:</w:t>
      </w:r>
      <w:r w:rsidR="00E61044" w:rsidRPr="00C341A4">
        <w:rPr>
          <w:rFonts w:ascii="Segoe UI" w:hAnsi="Segoe UI" w:cs="Segoe UI"/>
          <w:color w:val="5B616B"/>
          <w:sz w:val="24"/>
          <w:szCs w:val="24"/>
          <w:shd w:val="clear" w:color="auto" w:fill="FFFFFF"/>
        </w:rPr>
        <w:t xml:space="preserve"> </w:t>
      </w:r>
      <w:hyperlink r:id="rId5" w:anchor="auth-Md__Reazuddin-Repon-Aff1-Aff2-Aff3" w:history="1">
        <w:r w:rsidR="00C341A4" w:rsidRPr="00C341A4">
          <w:rPr>
            <w:rStyle w:val="Hyperlink"/>
            <w:rFonts w:ascii="Times New Roman" w:hAnsi="Times New Roman" w:cs="Times New Roman"/>
            <w:sz w:val="24"/>
            <w:szCs w:val="24"/>
            <w:u w:val="none"/>
            <w:shd w:val="clear" w:color="auto" w:fill="FFFFFF"/>
          </w:rPr>
          <w:t xml:space="preserve">Md. </w:t>
        </w:r>
        <w:proofErr w:type="spellStart"/>
        <w:r w:rsidR="00C341A4" w:rsidRPr="00C341A4">
          <w:rPr>
            <w:rStyle w:val="Hyperlink"/>
            <w:rFonts w:ascii="Times New Roman" w:hAnsi="Times New Roman" w:cs="Times New Roman"/>
            <w:sz w:val="24"/>
            <w:szCs w:val="24"/>
            <w:u w:val="none"/>
            <w:shd w:val="clear" w:color="auto" w:fill="FFFFFF"/>
          </w:rPr>
          <w:t>Reazuddin</w:t>
        </w:r>
        <w:proofErr w:type="spellEnd"/>
        <w:r w:rsidR="00C341A4" w:rsidRPr="00C341A4">
          <w:rPr>
            <w:rStyle w:val="Hyperlink"/>
            <w:rFonts w:ascii="Times New Roman" w:hAnsi="Times New Roman" w:cs="Times New Roman"/>
            <w:sz w:val="24"/>
            <w:szCs w:val="24"/>
            <w:u w:val="none"/>
            <w:shd w:val="clear" w:color="auto" w:fill="FFFFFF"/>
          </w:rPr>
          <w:t xml:space="preserve"> </w:t>
        </w:r>
        <w:proofErr w:type="spellStart"/>
        <w:r w:rsidR="00C341A4" w:rsidRPr="00C341A4">
          <w:rPr>
            <w:rStyle w:val="Hyperlink"/>
            <w:rFonts w:ascii="Times New Roman" w:hAnsi="Times New Roman" w:cs="Times New Roman"/>
            <w:sz w:val="24"/>
            <w:szCs w:val="24"/>
            <w:u w:val="none"/>
            <w:shd w:val="clear" w:color="auto" w:fill="FFFFFF"/>
          </w:rPr>
          <w:t>Repon</w:t>
        </w:r>
        <w:proofErr w:type="spellEnd"/>
      </w:hyperlink>
      <w:r w:rsidR="00C341A4" w:rsidRPr="00C341A4">
        <w:rPr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, </w:t>
      </w:r>
      <w:hyperlink r:id="rId6" w:anchor="auth-Barshan-Dev-Aff4" w:history="1">
        <w:r w:rsidR="00C341A4" w:rsidRPr="00C341A4">
          <w:rPr>
            <w:rStyle w:val="Hyperlink"/>
            <w:rFonts w:ascii="Times New Roman" w:hAnsi="Times New Roman" w:cs="Times New Roman"/>
            <w:sz w:val="24"/>
            <w:szCs w:val="24"/>
            <w:u w:val="none"/>
            <w:shd w:val="clear" w:color="auto" w:fill="FFFFFF"/>
          </w:rPr>
          <w:t>Barshan Dev</w:t>
        </w:r>
      </w:hyperlink>
      <w:r w:rsidR="00C341A4" w:rsidRPr="00C341A4">
        <w:rPr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, </w:t>
      </w:r>
      <w:hyperlink r:id="rId7" w:anchor="auth-Md_Ashikur-Rahman-Aff4" w:history="1">
        <w:r w:rsidR="00C341A4" w:rsidRPr="00C341A4">
          <w:rPr>
            <w:rStyle w:val="Hyperlink"/>
            <w:rFonts w:ascii="Times New Roman" w:hAnsi="Times New Roman" w:cs="Times New Roman"/>
            <w:sz w:val="24"/>
            <w:szCs w:val="24"/>
            <w:u w:val="none"/>
            <w:shd w:val="clear" w:color="auto" w:fill="FFFFFF"/>
          </w:rPr>
          <w:t>Md Ashikur Rahman</w:t>
        </w:r>
      </w:hyperlink>
      <w:r w:rsidR="00C341A4" w:rsidRPr="00C341A4">
        <w:rPr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, </w:t>
      </w:r>
      <w:hyperlink r:id="rId8" w:anchor="auth-Sigita-Jurkonien_-Aff1" w:history="1">
        <w:r w:rsidR="00C341A4" w:rsidRPr="00C341A4">
          <w:rPr>
            <w:rStyle w:val="Hyperlink"/>
            <w:rFonts w:ascii="Times New Roman" w:hAnsi="Times New Roman" w:cs="Times New Roman"/>
            <w:sz w:val="24"/>
            <w:szCs w:val="24"/>
            <w:u w:val="none"/>
            <w:shd w:val="clear" w:color="auto" w:fill="FFFFFF"/>
          </w:rPr>
          <w:t xml:space="preserve">Sigita </w:t>
        </w:r>
        <w:proofErr w:type="spellStart"/>
        <w:r w:rsidR="00C341A4" w:rsidRPr="00C341A4">
          <w:rPr>
            <w:rStyle w:val="Hyperlink"/>
            <w:rFonts w:ascii="Times New Roman" w:hAnsi="Times New Roman" w:cs="Times New Roman"/>
            <w:sz w:val="24"/>
            <w:szCs w:val="24"/>
            <w:u w:val="none"/>
            <w:shd w:val="clear" w:color="auto" w:fill="FFFFFF"/>
          </w:rPr>
          <w:t>Jurkonienė</w:t>
        </w:r>
        <w:proofErr w:type="spellEnd"/>
      </w:hyperlink>
      <w:r w:rsidR="00C341A4" w:rsidRPr="00C341A4">
        <w:rPr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, </w:t>
      </w:r>
      <w:proofErr w:type="spellStart"/>
      <w:r w:rsidR="00C341A4" w:rsidRPr="00C341A4">
        <w:rPr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fldChar w:fldCharType="begin"/>
      </w:r>
      <w:r w:rsidR="00C341A4" w:rsidRPr="00C341A4">
        <w:rPr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instrText>HYPERLINK "https://link.springer.com/article/10.1007/s10311-024-01716-4" \l "auth-Aminoddin-Haji-Aff5"</w:instrText>
      </w:r>
      <w:r w:rsidR="00C341A4" w:rsidRPr="00C341A4">
        <w:rPr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</w:r>
      <w:r w:rsidR="00C341A4" w:rsidRPr="00C341A4">
        <w:rPr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fldChar w:fldCharType="separate"/>
      </w:r>
      <w:r w:rsidR="00C341A4" w:rsidRPr="00C341A4">
        <w:rPr>
          <w:rStyle w:val="Hyperlink"/>
          <w:rFonts w:ascii="Times New Roman" w:hAnsi="Times New Roman" w:cs="Times New Roman"/>
          <w:sz w:val="24"/>
          <w:szCs w:val="24"/>
          <w:u w:val="none"/>
          <w:shd w:val="clear" w:color="auto" w:fill="FFFFFF"/>
        </w:rPr>
        <w:t>Aminoddin</w:t>
      </w:r>
      <w:proofErr w:type="spellEnd"/>
      <w:r w:rsidR="00C341A4" w:rsidRPr="00C341A4">
        <w:rPr>
          <w:rStyle w:val="Hyperlink"/>
          <w:rFonts w:ascii="Times New Roman" w:hAnsi="Times New Roman" w:cs="Times New Roman"/>
          <w:sz w:val="24"/>
          <w:szCs w:val="24"/>
          <w:u w:val="none"/>
          <w:shd w:val="clear" w:color="auto" w:fill="FFFFFF"/>
        </w:rPr>
        <w:t xml:space="preserve"> Haji</w:t>
      </w:r>
      <w:r w:rsidR="00C341A4" w:rsidRPr="00C341A4">
        <w:rPr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fldChar w:fldCharType="end"/>
      </w:r>
      <w:r w:rsidR="00C341A4" w:rsidRPr="00C341A4">
        <w:rPr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, </w:t>
      </w:r>
      <w:hyperlink r:id="rId9" w:anchor="auth-Md__Abdul-Alim-Aff6" w:history="1">
        <w:r w:rsidR="00C341A4" w:rsidRPr="00C341A4">
          <w:rPr>
            <w:rStyle w:val="Hyperlink"/>
            <w:rFonts w:ascii="Times New Roman" w:hAnsi="Times New Roman" w:cs="Times New Roman"/>
            <w:sz w:val="24"/>
            <w:szCs w:val="24"/>
            <w:u w:val="none"/>
            <w:shd w:val="clear" w:color="auto" w:fill="FFFFFF"/>
          </w:rPr>
          <w:t>Md. Abdul Alim</w:t>
        </w:r>
      </w:hyperlink>
      <w:r w:rsidR="00C341A4" w:rsidRPr="00C341A4">
        <w:rPr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 xml:space="preserve">, </w:t>
      </w:r>
      <w:hyperlink r:id="rId10" w:anchor="auth-Egl_-Kumpikait_-Aff2" w:history="1">
        <w:r w:rsidR="00C341A4" w:rsidRPr="00C341A4">
          <w:rPr>
            <w:rStyle w:val="Hyperlink"/>
            <w:rFonts w:ascii="Times New Roman" w:hAnsi="Times New Roman" w:cs="Times New Roman"/>
            <w:sz w:val="24"/>
            <w:szCs w:val="24"/>
            <w:u w:val="none"/>
            <w:shd w:val="clear" w:color="auto" w:fill="FFFFFF"/>
          </w:rPr>
          <w:t xml:space="preserve">Eglė </w:t>
        </w:r>
        <w:proofErr w:type="spellStart"/>
        <w:r w:rsidR="00C341A4" w:rsidRPr="00C341A4">
          <w:rPr>
            <w:rStyle w:val="Hyperlink"/>
            <w:rFonts w:ascii="Times New Roman" w:hAnsi="Times New Roman" w:cs="Times New Roman"/>
            <w:sz w:val="24"/>
            <w:szCs w:val="24"/>
            <w:u w:val="none"/>
            <w:shd w:val="clear" w:color="auto" w:fill="FFFFFF"/>
          </w:rPr>
          <w:t>Kumpikaitė</w:t>
        </w:r>
        <w:proofErr w:type="spellEnd"/>
      </w:hyperlink>
      <w:r w:rsidR="00C341A4" w:rsidRPr="00C341A4">
        <w:rPr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 </w:t>
      </w:r>
    </w:p>
    <w:p w14:paraId="4D8039F9" w14:textId="77777777" w:rsidR="006C46BE" w:rsidRPr="00C341A4" w:rsidRDefault="006C46BE" w:rsidP="00C341A4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6D5519" w14:textId="6D400EAF" w:rsidR="00D657DF" w:rsidRPr="00C341A4" w:rsidRDefault="00000000" w:rsidP="00C341A4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41A4">
        <w:rPr>
          <w:rFonts w:ascii="Times New Roman" w:eastAsia="Times New Roman" w:hAnsi="Times New Roman" w:cs="Times New Roman"/>
          <w:b/>
          <w:sz w:val="24"/>
          <w:szCs w:val="24"/>
        </w:rPr>
        <w:t>Abstract:</w:t>
      </w:r>
    </w:p>
    <w:p w14:paraId="78E7BCEF" w14:textId="04CF63E4" w:rsidR="006C46BE" w:rsidRPr="00C341A4" w:rsidRDefault="00C341A4" w:rsidP="00C341A4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341A4">
        <w:rPr>
          <w:rFonts w:ascii="Times New Roman" w:eastAsia="Times New Roman" w:hAnsi="Times New Roman" w:cs="Times New Roman"/>
          <w:bCs/>
          <w:sz w:val="24"/>
          <w:szCs w:val="24"/>
        </w:rPr>
        <w:t>The rising pollution by synthetic dyes from the textile industry is a serious health problem calling for safer chemicals and textile production methods. As an alternative, bio-based colorants are increasingly used for food, cosmetics, flavors, medical applications. Here we review bio-based textile dyeing with focus on dye classification, methods to improve dyeing, and mordants and bio-mordants. Dyes are classified according to their origin such as plant, animal, mineral, microbes, and waste; their chemical structure, e.g., indigoid, flavonoid, and tannin dyes; their color; and their application such as mordant dyes and direct dyes. Methods to improve dyeing include sonication, plasma, ultraviolet, microwave, and gamma irradiation. Most bio-based dyes are biodegradable, renewable, non-hazardous, non-allergic, and simple to use. Yet bio-based dyes are limited by poor color fastness and a constrained palette of shades. These limitations can be resolved by using mordants on textile materials. Bio-mordants enhance the bonding of natural dyes to the fabric, resulting in textiles that exhibit excellent washing fastness.</w:t>
      </w:r>
    </w:p>
    <w:p w14:paraId="4FECF469" w14:textId="77777777" w:rsidR="00C341A4" w:rsidRDefault="00C341A4" w:rsidP="00C341A4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78286E" w14:textId="4B3874FD" w:rsidR="00D657DF" w:rsidRPr="00C341A4" w:rsidRDefault="00000000" w:rsidP="00C341A4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41A4">
        <w:rPr>
          <w:rFonts w:ascii="Times New Roman" w:eastAsia="Times New Roman" w:hAnsi="Times New Roman" w:cs="Times New Roman"/>
          <w:b/>
          <w:sz w:val="24"/>
          <w:szCs w:val="24"/>
        </w:rPr>
        <w:t>Conference / Journal Link:</w:t>
      </w:r>
    </w:p>
    <w:bookmarkStart w:id="0" w:name="cj_link"/>
    <w:p w14:paraId="01B9B0DD" w14:textId="4B13B2C5" w:rsidR="006C46BE" w:rsidRPr="00C341A4" w:rsidRDefault="00C341A4" w:rsidP="00C341A4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341A4">
        <w:rPr>
          <w:rFonts w:ascii="Times New Roman" w:eastAsia="Times New Roman" w:hAnsi="Times New Roman" w:cs="Times New Roman"/>
          <w:bCs/>
          <w:sz w:val="24"/>
          <w:szCs w:val="24"/>
        </w:rPr>
        <w:fldChar w:fldCharType="begin"/>
      </w:r>
      <w:r w:rsidRPr="00C341A4">
        <w:rPr>
          <w:rFonts w:ascii="Times New Roman" w:eastAsia="Times New Roman" w:hAnsi="Times New Roman" w:cs="Times New Roman"/>
          <w:bCs/>
          <w:sz w:val="24"/>
          <w:szCs w:val="24"/>
        </w:rPr>
        <w:instrText>HYPERLINK "https://link.springer.com/article/10.1007/s10311-024-01716-4" \t "_blank"</w:instrText>
      </w:r>
      <w:r w:rsidRPr="00C341A4">
        <w:rPr>
          <w:rFonts w:ascii="Times New Roman" w:eastAsia="Times New Roman" w:hAnsi="Times New Roman" w:cs="Times New Roman"/>
          <w:bCs/>
          <w:sz w:val="24"/>
          <w:szCs w:val="24"/>
        </w:rPr>
      </w:r>
      <w:r w:rsidRPr="00C341A4">
        <w:rPr>
          <w:rFonts w:ascii="Times New Roman" w:eastAsia="Times New Roman" w:hAnsi="Times New Roman" w:cs="Times New Roman"/>
          <w:bCs/>
          <w:sz w:val="24"/>
          <w:szCs w:val="24"/>
        </w:rPr>
        <w:fldChar w:fldCharType="separate"/>
      </w:r>
      <w:r w:rsidRPr="00C341A4">
        <w:rPr>
          <w:rStyle w:val="Hyperlink"/>
          <w:rFonts w:ascii="Times New Roman" w:eastAsia="Times New Roman" w:hAnsi="Times New Roman" w:cs="Times New Roman"/>
          <w:bCs/>
          <w:sz w:val="24"/>
          <w:szCs w:val="24"/>
          <w:u w:val="none"/>
        </w:rPr>
        <w:t>https://link.springer.com/article/10.1007/s10311-024-01716-4</w:t>
      </w:r>
      <w:r w:rsidRPr="00C341A4">
        <w:rPr>
          <w:rFonts w:ascii="Times New Roman" w:eastAsia="Times New Roman" w:hAnsi="Times New Roman" w:cs="Times New Roman"/>
          <w:bCs/>
          <w:sz w:val="24"/>
          <w:szCs w:val="24"/>
        </w:rPr>
        <w:fldChar w:fldCharType="end"/>
      </w:r>
      <w:bookmarkEnd w:id="0"/>
    </w:p>
    <w:p w14:paraId="7B0DE6E9" w14:textId="6D48177B" w:rsidR="004E6098" w:rsidRPr="00C341A4" w:rsidRDefault="00000000" w:rsidP="00C341A4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41A4">
        <w:rPr>
          <w:rFonts w:ascii="Times New Roman" w:eastAsia="Times New Roman" w:hAnsi="Times New Roman" w:cs="Times New Roman"/>
          <w:b/>
          <w:sz w:val="24"/>
          <w:szCs w:val="24"/>
        </w:rPr>
        <w:t>DOI:</w:t>
      </w:r>
    </w:p>
    <w:p w14:paraId="6C72DA4D" w14:textId="3D1D1CF8" w:rsidR="004E6098" w:rsidRPr="00C341A4" w:rsidRDefault="00C341A4" w:rsidP="00C341A4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color w:val="0070C0"/>
          <w:sz w:val="24"/>
          <w:szCs w:val="24"/>
        </w:rPr>
      </w:pPr>
      <w:r w:rsidRPr="00C341A4">
        <w:rPr>
          <w:rFonts w:ascii="Times New Roman" w:eastAsia="Times New Roman" w:hAnsi="Times New Roman" w:cs="Times New Roman"/>
          <w:bCs/>
          <w:color w:val="0070C0"/>
          <w:sz w:val="24"/>
          <w:szCs w:val="24"/>
        </w:rPr>
        <w:t>https://doi.org/10.1007/s10311-024-01716-4</w:t>
      </w:r>
    </w:p>
    <w:sectPr w:rsidR="004E6098" w:rsidRPr="00C341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CC073C"/>
    <w:multiLevelType w:val="multilevel"/>
    <w:tmpl w:val="8CD08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3484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7DF"/>
    <w:rsid w:val="000B4CD8"/>
    <w:rsid w:val="000E2B20"/>
    <w:rsid w:val="001C0088"/>
    <w:rsid w:val="0020552B"/>
    <w:rsid w:val="00254E8E"/>
    <w:rsid w:val="002707D3"/>
    <w:rsid w:val="00303D3D"/>
    <w:rsid w:val="004E6098"/>
    <w:rsid w:val="006A66D1"/>
    <w:rsid w:val="006C46BE"/>
    <w:rsid w:val="00846ED2"/>
    <w:rsid w:val="00C341A4"/>
    <w:rsid w:val="00D33D8B"/>
    <w:rsid w:val="00D657DF"/>
    <w:rsid w:val="00DE10C4"/>
    <w:rsid w:val="00DE6DD6"/>
    <w:rsid w:val="00E61044"/>
    <w:rsid w:val="00F30A92"/>
    <w:rsid w:val="00F7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DDF0D"/>
  <w15:docId w15:val="{61A16048-CB4A-464F-BF8F-E8DD61AFC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10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10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5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springer.com/article/10.1007/s10311-024-01716-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nk.springer.com/article/10.1007/s10311-024-01716-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nk.springer.com/article/10.1007/s10311-024-01716-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ink.springer.com/article/10.1007/s10311-024-01716-4" TargetMode="External"/><Relationship Id="rId10" Type="http://schemas.openxmlformats.org/officeDocument/2006/relationships/hyperlink" Target="https://link.springer.com/article/10.1007/s10311-024-01716-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nk.springer.com/article/10.1007/s10311-024-01716-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Library</dc:creator>
  <cp:lastModifiedBy>Library</cp:lastModifiedBy>
  <cp:revision>3</cp:revision>
  <dcterms:created xsi:type="dcterms:W3CDTF">2024-10-08T05:03:00Z</dcterms:created>
  <dcterms:modified xsi:type="dcterms:W3CDTF">2024-10-08T09:12:00Z</dcterms:modified>
</cp:coreProperties>
</file>