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32AB6960" w:rsidR="000E03F6" w:rsidRPr="001D4411" w:rsidRDefault="001D4411">
      <w:pPr>
        <w:rPr>
          <w:rFonts w:ascii="Times New Roman" w:hAnsi="Times New Roman" w:cs="Times New Roman"/>
          <w:sz w:val="40"/>
          <w:szCs w:val="40"/>
        </w:rPr>
      </w:pPr>
      <w:r w:rsidRPr="001D4411">
        <w:rPr>
          <w:rFonts w:ascii="Times New Roman" w:hAnsi="Times New Roman" w:cs="Times New Roman"/>
          <w:sz w:val="40"/>
          <w:szCs w:val="40"/>
        </w:rPr>
        <w:t>Radionuclide Transfer in Tea Cultivation: Assessing Radiological Risks in the Largest and First Established Tea Garden in Bangladesh</w:t>
      </w:r>
    </w:p>
    <w:p w14:paraId="40A61456" w14:textId="77777777" w:rsidR="000E03F6" w:rsidRDefault="000E03F6">
      <w:pPr>
        <w:rPr>
          <w:rFonts w:ascii="Times New Roman" w:hAnsi="Times New Roman" w:cs="Times New Roman"/>
          <w:b/>
          <w:bCs/>
          <w:sz w:val="24"/>
          <w:szCs w:val="24"/>
        </w:rPr>
      </w:pPr>
    </w:p>
    <w:p w14:paraId="5159E62B" w14:textId="15F65EF6" w:rsidR="00EC166B" w:rsidRPr="001D4411" w:rsidRDefault="000E03F6" w:rsidP="001D4411">
      <w:pPr>
        <w:jc w:val="both"/>
        <w:rPr>
          <w:rFonts w:ascii="Times New Roman" w:hAnsi="Times New Roman" w:cs="Times New Roman"/>
          <w:b/>
          <w:bCs/>
          <w:sz w:val="24"/>
          <w:szCs w:val="24"/>
        </w:rPr>
      </w:pPr>
      <w:r w:rsidRPr="001D4411">
        <w:rPr>
          <w:rFonts w:ascii="Times New Roman" w:hAnsi="Times New Roman" w:cs="Times New Roman"/>
          <w:b/>
          <w:bCs/>
          <w:sz w:val="24"/>
          <w:szCs w:val="24"/>
        </w:rPr>
        <w:t>Author:</w:t>
      </w:r>
      <w:r w:rsidR="001D4411" w:rsidRPr="001D4411">
        <w:rPr>
          <w:rFonts w:ascii="Times New Roman" w:hAnsi="Times New Roman" w:cs="Times New Roman"/>
          <w:b/>
          <w:bCs/>
          <w:sz w:val="24"/>
          <w:szCs w:val="24"/>
        </w:rPr>
        <w:t xml:space="preserve"> </w:t>
      </w:r>
      <w:hyperlink r:id="rId5" w:history="1">
        <w:r w:rsidR="001D4411" w:rsidRPr="001D4411">
          <w:rPr>
            <w:rStyle w:val="Hyperlink"/>
            <w:rFonts w:ascii="Times New Roman" w:hAnsi="Times New Roman" w:cs="Times New Roman"/>
            <w:sz w:val="24"/>
            <w:szCs w:val="24"/>
            <w:u w:val="none"/>
          </w:rPr>
          <w:t xml:space="preserve">M. M. Mahfuz </w:t>
        </w:r>
        <w:proofErr w:type="spellStart"/>
        <w:r w:rsidR="001D4411" w:rsidRPr="001D4411">
          <w:rPr>
            <w:rStyle w:val="Hyperlink"/>
            <w:rFonts w:ascii="Times New Roman" w:hAnsi="Times New Roman" w:cs="Times New Roman"/>
            <w:sz w:val="24"/>
            <w:szCs w:val="24"/>
            <w:u w:val="none"/>
          </w:rPr>
          <w:t>Siraz</w:t>
        </w:r>
        <w:proofErr w:type="spellEnd"/>
      </w:hyperlink>
      <w:r w:rsidR="001D4411" w:rsidRPr="001D4411">
        <w:rPr>
          <w:rFonts w:ascii="Times New Roman" w:hAnsi="Times New Roman" w:cs="Times New Roman"/>
          <w:sz w:val="24"/>
          <w:szCs w:val="24"/>
        </w:rPr>
        <w:t xml:space="preserve">, </w:t>
      </w:r>
      <w:hyperlink r:id="rId6" w:history="1">
        <w:r w:rsidR="001D4411" w:rsidRPr="001D4411">
          <w:rPr>
            <w:rStyle w:val="Hyperlink"/>
            <w:rFonts w:ascii="Times New Roman" w:hAnsi="Times New Roman" w:cs="Times New Roman"/>
            <w:sz w:val="24"/>
            <w:szCs w:val="24"/>
            <w:u w:val="none"/>
          </w:rPr>
          <w:t>Md. Hossain Kamal</w:t>
        </w:r>
      </w:hyperlink>
      <w:r w:rsidR="001D4411" w:rsidRPr="001D4411">
        <w:rPr>
          <w:rFonts w:ascii="Times New Roman" w:hAnsi="Times New Roman" w:cs="Times New Roman"/>
          <w:sz w:val="24"/>
          <w:szCs w:val="24"/>
        </w:rPr>
        <w:t xml:space="preserve">, </w:t>
      </w:r>
      <w:hyperlink r:id="rId7" w:history="1">
        <w:r w:rsidR="001D4411" w:rsidRPr="001D4411">
          <w:rPr>
            <w:rStyle w:val="Hyperlink"/>
            <w:rFonts w:ascii="Times New Roman" w:hAnsi="Times New Roman" w:cs="Times New Roman"/>
            <w:sz w:val="24"/>
            <w:szCs w:val="24"/>
            <w:u w:val="none"/>
          </w:rPr>
          <w:t>Zulfiqar Hasan Khan</w:t>
        </w:r>
      </w:hyperlink>
      <w:r w:rsidR="001D4411" w:rsidRPr="001D4411">
        <w:rPr>
          <w:rFonts w:ascii="Times New Roman" w:hAnsi="Times New Roman" w:cs="Times New Roman"/>
          <w:sz w:val="24"/>
          <w:szCs w:val="24"/>
        </w:rPr>
        <w:t xml:space="preserve">, </w:t>
      </w:r>
      <w:hyperlink r:id="rId8" w:history="1">
        <w:r w:rsidR="001D4411" w:rsidRPr="001D4411">
          <w:rPr>
            <w:rStyle w:val="Hyperlink"/>
            <w:rFonts w:ascii="Times New Roman" w:hAnsi="Times New Roman" w:cs="Times New Roman"/>
            <w:sz w:val="24"/>
            <w:szCs w:val="24"/>
            <w:u w:val="none"/>
          </w:rPr>
          <w:t>Mohammad Shafiqul Alam</w:t>
        </w:r>
      </w:hyperlink>
      <w:r w:rsidR="001D4411" w:rsidRPr="001D4411">
        <w:rPr>
          <w:rFonts w:ascii="Times New Roman" w:hAnsi="Times New Roman" w:cs="Times New Roman"/>
          <w:sz w:val="24"/>
          <w:szCs w:val="24"/>
        </w:rPr>
        <w:t xml:space="preserve">, </w:t>
      </w:r>
      <w:hyperlink r:id="rId9" w:history="1">
        <w:r w:rsidR="001D4411" w:rsidRPr="001D4411">
          <w:rPr>
            <w:rStyle w:val="Hyperlink"/>
            <w:rFonts w:ascii="Times New Roman" w:hAnsi="Times New Roman" w:cs="Times New Roman"/>
            <w:sz w:val="24"/>
            <w:szCs w:val="24"/>
            <w:u w:val="none"/>
          </w:rPr>
          <w:t>Jubair Al Mahmud</w:t>
        </w:r>
      </w:hyperlink>
      <w:r w:rsidR="001D4411" w:rsidRPr="001D4411">
        <w:rPr>
          <w:rFonts w:ascii="Times New Roman" w:hAnsi="Times New Roman" w:cs="Times New Roman"/>
          <w:sz w:val="24"/>
          <w:szCs w:val="24"/>
        </w:rPr>
        <w:t xml:space="preserve">, </w:t>
      </w:r>
      <w:hyperlink r:id="rId10" w:history="1">
        <w:r w:rsidR="001D4411" w:rsidRPr="001D4411">
          <w:rPr>
            <w:rStyle w:val="Hyperlink"/>
            <w:rFonts w:ascii="Times New Roman" w:hAnsi="Times New Roman" w:cs="Times New Roman"/>
            <w:sz w:val="24"/>
            <w:szCs w:val="24"/>
            <w:u w:val="none"/>
          </w:rPr>
          <w:t xml:space="preserve">Md. </w:t>
        </w:r>
        <w:proofErr w:type="spellStart"/>
        <w:r w:rsidR="001D4411" w:rsidRPr="001D4411">
          <w:rPr>
            <w:rStyle w:val="Hyperlink"/>
            <w:rFonts w:ascii="Times New Roman" w:hAnsi="Times New Roman" w:cs="Times New Roman"/>
            <w:sz w:val="24"/>
            <w:szCs w:val="24"/>
            <w:u w:val="none"/>
          </w:rPr>
          <w:t>Bazlar</w:t>
        </w:r>
        <w:proofErr w:type="spellEnd"/>
        <w:r w:rsidR="001D4411" w:rsidRPr="001D4411">
          <w:rPr>
            <w:rStyle w:val="Hyperlink"/>
            <w:rFonts w:ascii="Times New Roman" w:hAnsi="Times New Roman" w:cs="Times New Roman"/>
            <w:sz w:val="24"/>
            <w:szCs w:val="24"/>
            <w:u w:val="none"/>
          </w:rPr>
          <w:t xml:space="preserve"> </w:t>
        </w:r>
        <w:proofErr w:type="spellStart"/>
        <w:r w:rsidR="001D4411" w:rsidRPr="001D4411">
          <w:rPr>
            <w:rStyle w:val="Hyperlink"/>
            <w:rFonts w:ascii="Times New Roman" w:hAnsi="Times New Roman" w:cs="Times New Roman"/>
            <w:sz w:val="24"/>
            <w:szCs w:val="24"/>
            <w:u w:val="none"/>
          </w:rPr>
          <w:t>Rashid</w:t>
        </w:r>
      </w:hyperlink>
      <w:proofErr w:type="spellEnd"/>
    </w:p>
    <w:p w14:paraId="02DA5D73" w14:textId="77777777" w:rsidR="000E03F6" w:rsidRPr="001D4411" w:rsidRDefault="000E03F6" w:rsidP="001D4411">
      <w:pPr>
        <w:jc w:val="both"/>
        <w:rPr>
          <w:rFonts w:ascii="Times New Roman" w:hAnsi="Times New Roman" w:cs="Times New Roman"/>
          <w:b/>
          <w:bCs/>
          <w:sz w:val="24"/>
          <w:szCs w:val="24"/>
        </w:rPr>
      </w:pPr>
    </w:p>
    <w:p w14:paraId="689221C7" w14:textId="40C93A9D" w:rsidR="000E03F6" w:rsidRPr="001D4411" w:rsidRDefault="000E03F6" w:rsidP="001D4411">
      <w:pPr>
        <w:jc w:val="both"/>
        <w:rPr>
          <w:rFonts w:ascii="Times New Roman" w:hAnsi="Times New Roman" w:cs="Times New Roman"/>
          <w:b/>
          <w:bCs/>
          <w:sz w:val="24"/>
          <w:szCs w:val="24"/>
        </w:rPr>
      </w:pPr>
      <w:r w:rsidRPr="001D4411">
        <w:rPr>
          <w:rFonts w:ascii="Times New Roman" w:hAnsi="Times New Roman" w:cs="Times New Roman"/>
          <w:b/>
          <w:bCs/>
          <w:sz w:val="24"/>
          <w:szCs w:val="24"/>
        </w:rPr>
        <w:t xml:space="preserve">Abstract: </w:t>
      </w:r>
    </w:p>
    <w:p w14:paraId="3A47CD1D" w14:textId="5D95333B" w:rsidR="000E03F6" w:rsidRPr="001D4411" w:rsidRDefault="001D4411" w:rsidP="001D4411">
      <w:pPr>
        <w:jc w:val="both"/>
        <w:rPr>
          <w:rFonts w:ascii="Times New Roman" w:hAnsi="Times New Roman" w:cs="Times New Roman"/>
          <w:sz w:val="24"/>
          <w:szCs w:val="24"/>
        </w:rPr>
      </w:pPr>
      <w:r w:rsidRPr="001D4411">
        <w:rPr>
          <w:rFonts w:ascii="Times New Roman" w:hAnsi="Times New Roman" w:cs="Times New Roman"/>
          <w:sz w:val="24"/>
          <w:szCs w:val="24"/>
        </w:rPr>
        <w:t>To address potential health risks associated with radioactivity in tea consumption, a study was conducted utilizing high purity germanium (</w:t>
      </w:r>
      <w:proofErr w:type="spellStart"/>
      <w:r w:rsidRPr="001D4411">
        <w:rPr>
          <w:rFonts w:ascii="Times New Roman" w:hAnsi="Times New Roman" w:cs="Times New Roman"/>
          <w:sz w:val="24"/>
          <w:szCs w:val="24"/>
        </w:rPr>
        <w:t>HPGe</w:t>
      </w:r>
      <w:proofErr w:type="spellEnd"/>
      <w:r w:rsidRPr="001D4411">
        <w:rPr>
          <w:rFonts w:ascii="Times New Roman" w:hAnsi="Times New Roman" w:cs="Times New Roman"/>
          <w:sz w:val="24"/>
          <w:szCs w:val="24"/>
        </w:rPr>
        <w:t xml:space="preserve">) γ-ray spectrometry to measure the concentrations of 226Ra, 232Th, 40K, and 137Cs radionuclides in soil and tea leaves collected from several major tea gardens (including the </w:t>
      </w:r>
      <w:proofErr w:type="spellStart"/>
      <w:r w:rsidRPr="001D4411">
        <w:rPr>
          <w:rFonts w:ascii="Times New Roman" w:hAnsi="Times New Roman" w:cs="Times New Roman"/>
          <w:sz w:val="24"/>
          <w:szCs w:val="24"/>
        </w:rPr>
        <w:t>Malnicherra</w:t>
      </w:r>
      <w:proofErr w:type="spellEnd"/>
      <w:r w:rsidRPr="001D4411">
        <w:rPr>
          <w:rFonts w:ascii="Times New Roman" w:hAnsi="Times New Roman" w:cs="Times New Roman"/>
          <w:sz w:val="24"/>
          <w:szCs w:val="24"/>
        </w:rPr>
        <w:t xml:space="preserve"> tea garden which is the largest and first established tea garden in the Indian subcontinent) situated in Sylhet, Bangladesh. Although nearly all soil samples showed the presence of 137Cs (with a maximum activity of 6.5 ± 1.31 </w:t>
      </w:r>
      <w:proofErr w:type="spellStart"/>
      <w:r w:rsidRPr="001D4411">
        <w:rPr>
          <w:rFonts w:ascii="Times New Roman" w:hAnsi="Times New Roman" w:cs="Times New Roman"/>
          <w:sz w:val="24"/>
          <w:szCs w:val="24"/>
        </w:rPr>
        <w:t>Bq</w:t>
      </w:r>
      <w:proofErr w:type="spellEnd"/>
      <w:r w:rsidRPr="001D4411">
        <w:rPr>
          <w:rFonts w:ascii="Times New Roman" w:hAnsi="Times New Roman" w:cs="Times New Roman"/>
          <w:sz w:val="24"/>
          <w:szCs w:val="24"/>
        </w:rPr>
        <w:t>/kg), none of the analyzed tea leaf samples exhibited its presence, which can be attributed to its restricted transferability from soil to plants. The range of transfer factors for 226Ra, 232Th and 40K from soil to tea leaves was calculated to be (0.39–0.54), (0.25–0.46) and (1.39–3.03), respectively. The heightened concentrations of 40K identified in the tea leaf samples can be mainly ascribed to specific metabolic processes associated with potassium, along with the heightened utilization of potassium chloride-based fertilizers aimed at enhancing tea production. The examination of hazard parameters, including the estimated committed effective dose and the excess lifetime cancer risk associated with tea consumption, reveals values that are comparatively lower than the recommended limits. Consequently, the radiation exposure from tea consumption does not present a significant radiological health concern for the general population.</w:t>
      </w:r>
    </w:p>
    <w:p w14:paraId="319FA02A" w14:textId="77777777" w:rsidR="000E03F6" w:rsidRPr="001D4411" w:rsidRDefault="000E03F6" w:rsidP="001D4411">
      <w:pPr>
        <w:jc w:val="both"/>
        <w:rPr>
          <w:rFonts w:ascii="Times New Roman" w:hAnsi="Times New Roman" w:cs="Times New Roman"/>
          <w:b/>
          <w:bCs/>
          <w:sz w:val="24"/>
          <w:szCs w:val="24"/>
        </w:rPr>
      </w:pPr>
    </w:p>
    <w:p w14:paraId="7091CC9A" w14:textId="464E157F" w:rsidR="000E03F6" w:rsidRPr="001D4411" w:rsidRDefault="000E03F6" w:rsidP="001D4411">
      <w:pPr>
        <w:jc w:val="both"/>
        <w:rPr>
          <w:rFonts w:ascii="Times New Roman" w:hAnsi="Times New Roman" w:cs="Times New Roman"/>
          <w:b/>
          <w:bCs/>
          <w:sz w:val="24"/>
          <w:szCs w:val="24"/>
        </w:rPr>
      </w:pPr>
      <w:r w:rsidRPr="001D4411">
        <w:rPr>
          <w:rFonts w:ascii="Times New Roman" w:hAnsi="Times New Roman" w:cs="Times New Roman"/>
          <w:b/>
          <w:bCs/>
          <w:sz w:val="24"/>
          <w:szCs w:val="24"/>
        </w:rPr>
        <w:t>Conference / Journal Link</w:t>
      </w:r>
      <w:r w:rsidR="003A4568" w:rsidRPr="001D4411">
        <w:rPr>
          <w:rFonts w:ascii="Times New Roman" w:hAnsi="Times New Roman" w:cs="Times New Roman"/>
          <w:b/>
          <w:bCs/>
          <w:sz w:val="24"/>
          <w:szCs w:val="24"/>
        </w:rPr>
        <w:t xml:space="preserve">: </w:t>
      </w:r>
    </w:p>
    <w:bookmarkStart w:id="0" w:name="cj_link"/>
    <w:p w14:paraId="35895C28" w14:textId="1610DC13" w:rsidR="003A4568" w:rsidRPr="001D4411" w:rsidRDefault="001D4411" w:rsidP="001D4411">
      <w:pPr>
        <w:jc w:val="both"/>
        <w:rPr>
          <w:rFonts w:ascii="Times New Roman" w:hAnsi="Times New Roman" w:cs="Times New Roman"/>
          <w:sz w:val="24"/>
          <w:szCs w:val="24"/>
        </w:rPr>
      </w:pPr>
      <w:r w:rsidRPr="001D4411">
        <w:rPr>
          <w:rFonts w:ascii="Times New Roman" w:hAnsi="Times New Roman" w:cs="Times New Roman"/>
          <w:sz w:val="24"/>
          <w:szCs w:val="24"/>
        </w:rPr>
        <w:fldChar w:fldCharType="begin"/>
      </w:r>
      <w:r w:rsidRPr="001D4411">
        <w:rPr>
          <w:rFonts w:ascii="Times New Roman" w:hAnsi="Times New Roman" w:cs="Times New Roman"/>
          <w:sz w:val="24"/>
          <w:szCs w:val="24"/>
        </w:rPr>
        <w:instrText>HYPERLINK "https://www.tandfonline.com/doi/full/10.1080/15320383.2024.2353629" \t "_blank"</w:instrText>
      </w:r>
      <w:r w:rsidRPr="001D4411">
        <w:rPr>
          <w:rFonts w:ascii="Times New Roman" w:hAnsi="Times New Roman" w:cs="Times New Roman"/>
          <w:sz w:val="24"/>
          <w:szCs w:val="24"/>
        </w:rPr>
      </w:r>
      <w:r w:rsidRPr="001D4411">
        <w:rPr>
          <w:rFonts w:ascii="Times New Roman" w:hAnsi="Times New Roman" w:cs="Times New Roman"/>
          <w:sz w:val="24"/>
          <w:szCs w:val="24"/>
        </w:rPr>
        <w:fldChar w:fldCharType="separate"/>
      </w:r>
      <w:r w:rsidRPr="001D4411">
        <w:rPr>
          <w:rStyle w:val="Hyperlink"/>
          <w:rFonts w:ascii="Times New Roman" w:hAnsi="Times New Roman" w:cs="Times New Roman"/>
          <w:sz w:val="24"/>
          <w:szCs w:val="24"/>
          <w:u w:val="none"/>
        </w:rPr>
        <w:t>https://www.tandfonline.com/doi/full/10.1080/15320383.2024.2353629</w:t>
      </w:r>
      <w:r w:rsidRPr="001D4411">
        <w:rPr>
          <w:rFonts w:ascii="Times New Roman" w:hAnsi="Times New Roman" w:cs="Times New Roman"/>
          <w:sz w:val="24"/>
          <w:szCs w:val="24"/>
        </w:rPr>
        <w:fldChar w:fldCharType="end"/>
      </w:r>
      <w:bookmarkEnd w:id="0"/>
    </w:p>
    <w:p w14:paraId="2CD9F643" w14:textId="77777777" w:rsidR="000E03F6" w:rsidRPr="001D4411" w:rsidRDefault="000E03F6" w:rsidP="001D4411">
      <w:pPr>
        <w:jc w:val="both"/>
        <w:rPr>
          <w:rFonts w:ascii="Times New Roman" w:hAnsi="Times New Roman" w:cs="Times New Roman"/>
          <w:b/>
          <w:bCs/>
          <w:sz w:val="24"/>
          <w:szCs w:val="24"/>
        </w:rPr>
      </w:pPr>
      <w:r w:rsidRPr="001D4411">
        <w:rPr>
          <w:rFonts w:ascii="Times New Roman" w:hAnsi="Times New Roman" w:cs="Times New Roman"/>
          <w:b/>
          <w:bCs/>
          <w:sz w:val="24"/>
          <w:szCs w:val="24"/>
        </w:rPr>
        <w:t>DOI:</w:t>
      </w:r>
    </w:p>
    <w:p w14:paraId="669ABC6B" w14:textId="500881FB" w:rsidR="001D4411" w:rsidRPr="001D4411" w:rsidRDefault="001D4411" w:rsidP="001D4411">
      <w:pPr>
        <w:jc w:val="both"/>
        <w:rPr>
          <w:rFonts w:ascii="Times New Roman" w:hAnsi="Times New Roman" w:cs="Times New Roman"/>
          <w:sz w:val="24"/>
          <w:szCs w:val="24"/>
        </w:rPr>
      </w:pPr>
      <w:hyperlink r:id="rId11" w:history="1">
        <w:r w:rsidRPr="001D4411">
          <w:rPr>
            <w:rStyle w:val="Hyperlink"/>
            <w:rFonts w:ascii="Times New Roman" w:hAnsi="Times New Roman" w:cs="Times New Roman"/>
            <w:sz w:val="24"/>
            <w:szCs w:val="24"/>
            <w:u w:val="none"/>
          </w:rPr>
          <w:t>https://doi.org/10.1080/15320383.2024.2353629</w:t>
        </w:r>
      </w:hyperlink>
    </w:p>
    <w:p w14:paraId="3310F6D4" w14:textId="77777777" w:rsidR="000E03F6" w:rsidRPr="001D4411" w:rsidRDefault="000E03F6" w:rsidP="001D4411">
      <w:pPr>
        <w:jc w:val="both"/>
        <w:rPr>
          <w:rFonts w:ascii="Times New Roman" w:hAnsi="Times New Roman" w:cs="Times New Roman"/>
          <w:sz w:val="24"/>
          <w:szCs w:val="24"/>
        </w:rPr>
      </w:pPr>
    </w:p>
    <w:sectPr w:rsidR="000E03F6" w:rsidRPr="001D44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B18CD"/>
    <w:multiLevelType w:val="multilevel"/>
    <w:tmpl w:val="4C58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248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1D4411"/>
    <w:rsid w:val="00203F90"/>
    <w:rsid w:val="00236291"/>
    <w:rsid w:val="00345481"/>
    <w:rsid w:val="0038571D"/>
    <w:rsid w:val="003A4568"/>
    <w:rsid w:val="003D234A"/>
    <w:rsid w:val="004A52EF"/>
    <w:rsid w:val="00526E52"/>
    <w:rsid w:val="00531238"/>
    <w:rsid w:val="005533FA"/>
    <w:rsid w:val="005B6EB4"/>
    <w:rsid w:val="005B71EB"/>
    <w:rsid w:val="005C6CCD"/>
    <w:rsid w:val="00697B2D"/>
    <w:rsid w:val="006B03C3"/>
    <w:rsid w:val="006E52C3"/>
    <w:rsid w:val="0081562C"/>
    <w:rsid w:val="00833493"/>
    <w:rsid w:val="008F7173"/>
    <w:rsid w:val="00911FC3"/>
    <w:rsid w:val="00943CA4"/>
    <w:rsid w:val="00956BC6"/>
    <w:rsid w:val="00A372EC"/>
    <w:rsid w:val="00B319FA"/>
    <w:rsid w:val="00BA1D1E"/>
    <w:rsid w:val="00BF6EE0"/>
    <w:rsid w:val="00C60B17"/>
    <w:rsid w:val="00CC6951"/>
    <w:rsid w:val="00CF2D1D"/>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411"/>
    <w:rPr>
      <w:color w:val="0563C1" w:themeColor="hyperlink"/>
      <w:u w:val="single"/>
    </w:rPr>
  </w:style>
  <w:style w:type="character" w:styleId="UnresolvedMention">
    <w:name w:val="Unresolved Mention"/>
    <w:basedOn w:val="DefaultParagraphFont"/>
    <w:uiPriority w:val="99"/>
    <w:semiHidden/>
    <w:unhideWhenUsed/>
    <w:rsid w:val="001D4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589146">
      <w:bodyDiv w:val="1"/>
      <w:marLeft w:val="0"/>
      <w:marRight w:val="0"/>
      <w:marTop w:val="0"/>
      <w:marBottom w:val="0"/>
      <w:divBdr>
        <w:top w:val="none" w:sz="0" w:space="0" w:color="auto"/>
        <w:left w:val="none" w:sz="0" w:space="0" w:color="auto"/>
        <w:bottom w:val="none" w:sz="0" w:space="0" w:color="auto"/>
        <w:right w:val="none" w:sz="0" w:space="0" w:color="auto"/>
      </w:divBdr>
    </w:div>
    <w:div w:id="123882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lam%2C+Mohammad+Shafiqu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author/Khan%2C+Zulfiqar+Hasa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Kamal%2C+Md+Hossain" TargetMode="External"/><Relationship Id="rId11" Type="http://schemas.openxmlformats.org/officeDocument/2006/relationships/hyperlink" Target="https://doi.org/10.1080/15320383.2024.2353629" TargetMode="External"/><Relationship Id="rId5" Type="http://schemas.openxmlformats.org/officeDocument/2006/relationships/hyperlink" Target="https://www.tandfonline.com/author/Siraz%2C+M+M+Mahfuz" TargetMode="External"/><Relationship Id="rId10" Type="http://schemas.openxmlformats.org/officeDocument/2006/relationships/hyperlink" Target="https://www.tandfonline.com/author/Rashid%2C+Md+Bazlar" TargetMode="External"/><Relationship Id="rId4" Type="http://schemas.openxmlformats.org/officeDocument/2006/relationships/webSettings" Target="webSettings.xml"/><Relationship Id="rId9" Type="http://schemas.openxmlformats.org/officeDocument/2006/relationships/hyperlink" Target="https://www.tandfonline.com/author/al+Mahmud%2C+Jub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2024-12-17T09:39:00Z</dcterms:created>
  <dcterms:modified xsi:type="dcterms:W3CDTF">2024-12-18T06:49:00Z</dcterms:modified>
</cp:coreProperties>
</file>