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9DD206" w14:textId="55C0C939" w:rsidR="000E03F6" w:rsidRPr="00785B6D" w:rsidRDefault="00785B6D">
      <w:pPr>
        <w:rPr>
          <w:rFonts w:ascii="Times New Roman" w:hAnsi="Times New Roman" w:cs="Times New Roman"/>
          <w:sz w:val="40"/>
          <w:szCs w:val="40"/>
        </w:rPr>
      </w:pPr>
      <w:r w:rsidRPr="00785B6D">
        <w:rPr>
          <w:rFonts w:ascii="Times New Roman" w:hAnsi="Times New Roman" w:cs="Times New Roman"/>
          <w:sz w:val="40"/>
          <w:szCs w:val="40"/>
        </w:rPr>
        <w:t>Radiometric and Petrographic Characterization of El-</w:t>
      </w:r>
      <w:r w:rsidR="00D46B53">
        <w:rPr>
          <w:rFonts w:ascii="Times New Roman" w:hAnsi="Times New Roman" w:cs="Times New Roman"/>
          <w:sz w:val="40"/>
          <w:szCs w:val="40"/>
        </w:rPr>
        <w:t>Y</w:t>
      </w:r>
      <w:r w:rsidRPr="00785B6D">
        <w:rPr>
          <w:rFonts w:ascii="Times New Roman" w:hAnsi="Times New Roman" w:cs="Times New Roman"/>
          <w:sz w:val="40"/>
          <w:szCs w:val="40"/>
        </w:rPr>
        <w:t>atima Granite: Evaluating Radiological Risks and Mineralogical Features</w:t>
      </w:r>
    </w:p>
    <w:p w14:paraId="40A61456" w14:textId="77777777" w:rsidR="000E03F6" w:rsidRDefault="000E03F6">
      <w:pPr>
        <w:rPr>
          <w:rFonts w:ascii="Times New Roman" w:hAnsi="Times New Roman" w:cs="Times New Roman"/>
          <w:b/>
          <w:bCs/>
          <w:sz w:val="24"/>
          <w:szCs w:val="24"/>
        </w:rPr>
      </w:pPr>
    </w:p>
    <w:p w14:paraId="5159E62B" w14:textId="5ADBB4BA" w:rsidR="00EC166B" w:rsidRPr="00785B6D" w:rsidRDefault="000E03F6" w:rsidP="009D01D9">
      <w:pPr>
        <w:rPr>
          <w:rFonts w:ascii="Times New Roman" w:hAnsi="Times New Roman" w:cs="Times New Roman"/>
          <w:color w:val="004E9A"/>
          <w:sz w:val="24"/>
          <w:szCs w:val="24"/>
        </w:rPr>
      </w:pPr>
      <w:r w:rsidRPr="00785B6D">
        <w:rPr>
          <w:rFonts w:ascii="Times New Roman" w:hAnsi="Times New Roman" w:cs="Times New Roman"/>
          <w:b/>
          <w:bCs/>
          <w:sz w:val="24"/>
          <w:szCs w:val="24"/>
        </w:rPr>
        <w:t>Author:</w:t>
      </w:r>
      <w:r w:rsidR="00785B6D" w:rsidRPr="00785B6D">
        <w:rPr>
          <w:rFonts w:ascii="Times New Roman" w:hAnsi="Times New Roman" w:cs="Times New Roman"/>
          <w:sz w:val="24"/>
          <w:szCs w:val="24"/>
        </w:rPr>
        <w:t xml:space="preserve"> </w:t>
      </w:r>
      <w:r w:rsidR="00785B6D" w:rsidRPr="00785B6D">
        <w:rPr>
          <w:rFonts w:ascii="Times New Roman" w:hAnsi="Times New Roman" w:cs="Times New Roman"/>
          <w:color w:val="004E9A"/>
          <w:sz w:val="24"/>
          <w:szCs w:val="24"/>
        </w:rPr>
        <w:t>Hesham M.H. </w:t>
      </w:r>
      <w:proofErr w:type="spellStart"/>
      <w:r w:rsidR="00785B6D" w:rsidRPr="00785B6D">
        <w:rPr>
          <w:rFonts w:ascii="Times New Roman" w:hAnsi="Times New Roman" w:cs="Times New Roman"/>
          <w:color w:val="004E9A"/>
          <w:sz w:val="24"/>
          <w:szCs w:val="24"/>
        </w:rPr>
        <w:t>Zakaly</w:t>
      </w:r>
      <w:proofErr w:type="spellEnd"/>
      <w:r w:rsidR="00785B6D" w:rsidRPr="00785B6D">
        <w:rPr>
          <w:rFonts w:ascii="Times New Roman" w:hAnsi="Times New Roman" w:cs="Times New Roman"/>
          <w:color w:val="004E9A"/>
          <w:sz w:val="24"/>
          <w:szCs w:val="24"/>
        </w:rPr>
        <w:t>, Hamdy A. Awad, El Saeed R. Lasheen, Shams A.M. Issa, Reda </w:t>
      </w:r>
      <w:proofErr w:type="spellStart"/>
      <w:r w:rsidR="00785B6D" w:rsidRPr="00785B6D">
        <w:rPr>
          <w:rFonts w:ascii="Times New Roman" w:hAnsi="Times New Roman" w:cs="Times New Roman"/>
          <w:color w:val="004E9A"/>
          <w:sz w:val="24"/>
          <w:szCs w:val="24"/>
        </w:rPr>
        <w:t>Elsaman</w:t>
      </w:r>
      <w:proofErr w:type="spellEnd"/>
      <w:r w:rsidR="00785B6D" w:rsidRPr="00785B6D">
        <w:rPr>
          <w:rFonts w:ascii="Times New Roman" w:hAnsi="Times New Roman" w:cs="Times New Roman"/>
          <w:color w:val="004E9A"/>
          <w:sz w:val="24"/>
          <w:szCs w:val="24"/>
        </w:rPr>
        <w:t>, </w:t>
      </w:r>
      <w:proofErr w:type="spellStart"/>
      <w:r w:rsidR="00785B6D" w:rsidRPr="00785B6D">
        <w:rPr>
          <w:rFonts w:ascii="Times New Roman" w:hAnsi="Times New Roman" w:cs="Times New Roman"/>
          <w:color w:val="004E9A"/>
          <w:sz w:val="24"/>
          <w:szCs w:val="24"/>
        </w:rPr>
        <w:t>Mayeen</w:t>
      </w:r>
      <w:proofErr w:type="spellEnd"/>
      <w:r w:rsidR="00785B6D" w:rsidRPr="00785B6D">
        <w:rPr>
          <w:rFonts w:ascii="Times New Roman" w:hAnsi="Times New Roman" w:cs="Times New Roman"/>
          <w:color w:val="004E9A"/>
          <w:sz w:val="24"/>
          <w:szCs w:val="24"/>
        </w:rPr>
        <w:t xml:space="preserve"> Uddin Khandaker, </w:t>
      </w:r>
      <w:proofErr w:type="spellStart"/>
      <w:r w:rsidR="00785B6D" w:rsidRPr="00785B6D">
        <w:rPr>
          <w:rFonts w:ascii="Times New Roman" w:hAnsi="Times New Roman" w:cs="Times New Roman"/>
          <w:color w:val="004E9A"/>
          <w:sz w:val="24"/>
          <w:szCs w:val="24"/>
        </w:rPr>
        <w:t>Hezam</w:t>
      </w:r>
      <w:proofErr w:type="spellEnd"/>
      <w:r w:rsidR="00785B6D" w:rsidRPr="00785B6D">
        <w:rPr>
          <w:rFonts w:ascii="Times New Roman" w:hAnsi="Times New Roman" w:cs="Times New Roman"/>
          <w:color w:val="004E9A"/>
          <w:sz w:val="24"/>
          <w:szCs w:val="24"/>
        </w:rPr>
        <w:t> Al-</w:t>
      </w:r>
      <w:proofErr w:type="spellStart"/>
      <w:r w:rsidR="00785B6D" w:rsidRPr="00785B6D">
        <w:rPr>
          <w:rFonts w:ascii="Times New Roman" w:hAnsi="Times New Roman" w:cs="Times New Roman"/>
          <w:color w:val="004E9A"/>
          <w:sz w:val="24"/>
          <w:szCs w:val="24"/>
        </w:rPr>
        <w:t>awah</w:t>
      </w:r>
      <w:proofErr w:type="spellEnd"/>
      <w:r w:rsidR="00785B6D" w:rsidRPr="00785B6D">
        <w:rPr>
          <w:rFonts w:ascii="Times New Roman" w:hAnsi="Times New Roman" w:cs="Times New Roman"/>
          <w:color w:val="004E9A"/>
          <w:sz w:val="24"/>
          <w:szCs w:val="24"/>
        </w:rPr>
        <w:t>, Douaa Fathy, Mabrouk Sami</w:t>
      </w:r>
    </w:p>
    <w:p w14:paraId="02DA5D73" w14:textId="77777777" w:rsidR="000E03F6" w:rsidRPr="00785B6D" w:rsidRDefault="000E03F6" w:rsidP="009D01D9">
      <w:pPr>
        <w:jc w:val="both"/>
        <w:rPr>
          <w:rFonts w:ascii="Times New Roman" w:hAnsi="Times New Roman" w:cs="Times New Roman"/>
          <w:b/>
          <w:bCs/>
          <w:sz w:val="24"/>
          <w:szCs w:val="24"/>
        </w:rPr>
      </w:pPr>
    </w:p>
    <w:p w14:paraId="689221C7" w14:textId="40C93A9D" w:rsidR="000E03F6" w:rsidRPr="00785B6D" w:rsidRDefault="000E03F6" w:rsidP="009D01D9">
      <w:pPr>
        <w:jc w:val="both"/>
        <w:rPr>
          <w:rFonts w:ascii="Times New Roman" w:hAnsi="Times New Roman" w:cs="Times New Roman"/>
          <w:b/>
          <w:bCs/>
          <w:sz w:val="24"/>
          <w:szCs w:val="24"/>
        </w:rPr>
      </w:pPr>
      <w:r w:rsidRPr="00785B6D">
        <w:rPr>
          <w:rFonts w:ascii="Times New Roman" w:hAnsi="Times New Roman" w:cs="Times New Roman"/>
          <w:b/>
          <w:bCs/>
          <w:sz w:val="24"/>
          <w:szCs w:val="24"/>
        </w:rPr>
        <w:t xml:space="preserve">Abstract: </w:t>
      </w:r>
    </w:p>
    <w:p w14:paraId="3A47CD1D" w14:textId="314EA0E6" w:rsidR="000E03F6" w:rsidRPr="00785B6D" w:rsidRDefault="00785B6D" w:rsidP="009D01D9">
      <w:pPr>
        <w:jc w:val="both"/>
        <w:rPr>
          <w:rFonts w:ascii="Times New Roman" w:hAnsi="Times New Roman" w:cs="Times New Roman"/>
          <w:sz w:val="24"/>
          <w:szCs w:val="24"/>
        </w:rPr>
      </w:pPr>
      <w:r w:rsidRPr="00785B6D">
        <w:rPr>
          <w:rFonts w:ascii="Times New Roman" w:hAnsi="Times New Roman" w:cs="Times New Roman"/>
          <w:sz w:val="24"/>
          <w:szCs w:val="24"/>
        </w:rPr>
        <w:t>The current investigation aims to assess the potential of El-Yatima granitic pluton as a decorative stone by examining its </w:t>
      </w:r>
      <w:hyperlink r:id="rId4" w:tooltip="Learn more about natural radioactivity from ScienceDirect's AI-generated Topic Pages" w:history="1">
        <w:r w:rsidRPr="00785B6D">
          <w:rPr>
            <w:rStyle w:val="Hyperlink"/>
            <w:rFonts w:ascii="Times New Roman" w:hAnsi="Times New Roman" w:cs="Times New Roman"/>
            <w:sz w:val="24"/>
            <w:szCs w:val="24"/>
          </w:rPr>
          <w:t>natural radioactivity</w:t>
        </w:r>
      </w:hyperlink>
      <w:r w:rsidRPr="00785B6D">
        <w:rPr>
          <w:rFonts w:ascii="Times New Roman" w:hAnsi="Times New Roman" w:cs="Times New Roman"/>
          <w:sz w:val="24"/>
          <w:szCs w:val="24"/>
        </w:rPr>
        <w:t> and mineralogical elements. Specifically, the study aims to determine the concentrations of </w:t>
      </w:r>
      <w:hyperlink r:id="rId5" w:tooltip="Learn more about radionuclides from ScienceDirect's AI-generated Topic Pages" w:history="1">
        <w:r w:rsidRPr="00785B6D">
          <w:rPr>
            <w:rStyle w:val="Hyperlink"/>
            <w:rFonts w:ascii="Times New Roman" w:hAnsi="Times New Roman" w:cs="Times New Roman"/>
            <w:sz w:val="24"/>
            <w:szCs w:val="24"/>
          </w:rPr>
          <w:t>radionuclides</w:t>
        </w:r>
      </w:hyperlink>
      <w:r w:rsidRPr="00785B6D">
        <w:rPr>
          <w:rFonts w:ascii="Times New Roman" w:hAnsi="Times New Roman" w:cs="Times New Roman"/>
          <w:sz w:val="24"/>
          <w:szCs w:val="24"/>
        </w:rPr>
        <w:t xml:space="preserve"> 40K, 232Th, and 226Ra, perform petrographic analyses, and evaluate the associated radiological risks to determine the safety and usability of the granite in construction and decoration, as well as to assess the potential of these granitic rocks as a safe and effective decorative stone for various applications. It has a 12 km2 surface area of 812 m above sea level. It is situated in the Eastern Central Desert. Its </w:t>
      </w:r>
      <w:proofErr w:type="spellStart"/>
      <w:r w:rsidRPr="00785B6D">
        <w:rPr>
          <w:rFonts w:ascii="Times New Roman" w:hAnsi="Times New Roman" w:cs="Times New Roman"/>
          <w:sz w:val="24"/>
          <w:szCs w:val="24"/>
        </w:rPr>
        <w:t>hypidiomorphic</w:t>
      </w:r>
      <w:proofErr w:type="spellEnd"/>
      <w:r w:rsidRPr="00785B6D">
        <w:rPr>
          <w:rFonts w:ascii="Times New Roman" w:hAnsi="Times New Roman" w:cs="Times New Roman"/>
          <w:sz w:val="24"/>
          <w:szCs w:val="24"/>
        </w:rPr>
        <w:t xml:space="preserve"> texture, medium-to-coarse grain size, and predominant composition of K-feldspars, quartz, and plagioclase are observed, along with minute amounts of </w:t>
      </w:r>
      <w:hyperlink r:id="rId6" w:tooltip="Learn more about muscovite from ScienceDirect's AI-generated Topic Pages" w:history="1">
        <w:r w:rsidRPr="00785B6D">
          <w:rPr>
            <w:rStyle w:val="Hyperlink"/>
            <w:rFonts w:ascii="Times New Roman" w:hAnsi="Times New Roman" w:cs="Times New Roman"/>
            <w:sz w:val="24"/>
            <w:szCs w:val="24"/>
          </w:rPr>
          <w:t>muscovite</w:t>
        </w:r>
      </w:hyperlink>
      <w:r w:rsidRPr="00785B6D">
        <w:rPr>
          <w:rFonts w:ascii="Times New Roman" w:hAnsi="Times New Roman" w:cs="Times New Roman"/>
          <w:sz w:val="24"/>
          <w:szCs w:val="24"/>
        </w:rPr>
        <w:t> and </w:t>
      </w:r>
      <w:hyperlink r:id="rId7" w:tooltip="Learn more about biotite from ScienceDirect's AI-generated Topic Pages" w:history="1">
        <w:r w:rsidRPr="00785B6D">
          <w:rPr>
            <w:rStyle w:val="Hyperlink"/>
            <w:rFonts w:ascii="Times New Roman" w:hAnsi="Times New Roman" w:cs="Times New Roman"/>
            <w:sz w:val="24"/>
            <w:szCs w:val="24"/>
          </w:rPr>
          <w:t>biotite</w:t>
        </w:r>
      </w:hyperlink>
      <w:r w:rsidRPr="00785B6D">
        <w:rPr>
          <w:rFonts w:ascii="Times New Roman" w:hAnsi="Times New Roman" w:cs="Times New Roman"/>
          <w:sz w:val="24"/>
          <w:szCs w:val="24"/>
        </w:rPr>
        <w:t xml:space="preserve">. By employing </w:t>
      </w:r>
      <w:proofErr w:type="spellStart"/>
      <w:r w:rsidRPr="00785B6D">
        <w:rPr>
          <w:rFonts w:ascii="Times New Roman" w:hAnsi="Times New Roman" w:cs="Times New Roman"/>
          <w:sz w:val="24"/>
          <w:szCs w:val="24"/>
        </w:rPr>
        <w:t>NaI</w:t>
      </w:r>
      <w:proofErr w:type="spellEnd"/>
      <w:r w:rsidRPr="00785B6D">
        <w:rPr>
          <w:rFonts w:ascii="Times New Roman" w:hAnsi="Times New Roman" w:cs="Times New Roman"/>
          <w:sz w:val="24"/>
          <w:szCs w:val="24"/>
        </w:rPr>
        <w:t xml:space="preserve"> (Tl) gamma-ray spectroscopy, the natural </w:t>
      </w:r>
      <w:hyperlink r:id="rId8" w:tooltip="Learn more about radionuclide from ScienceDirect's AI-generated Topic Pages" w:history="1">
        <w:r w:rsidRPr="00785B6D">
          <w:rPr>
            <w:rStyle w:val="Hyperlink"/>
            <w:rFonts w:ascii="Times New Roman" w:hAnsi="Times New Roman" w:cs="Times New Roman"/>
            <w:sz w:val="24"/>
            <w:szCs w:val="24"/>
          </w:rPr>
          <w:t>radionuclide</w:t>
        </w:r>
      </w:hyperlink>
      <w:r w:rsidRPr="00785B6D">
        <w:rPr>
          <w:rFonts w:ascii="Times New Roman" w:hAnsi="Times New Roman" w:cs="Times New Roman"/>
          <w:sz w:val="24"/>
          <w:szCs w:val="24"/>
        </w:rPr>
        <w:t> concentrations of 40K, 232Th, and 226Ra in El-Yatima granitic rocks were ascertained. Additionally, radiological concerns were identified for the materials that were examined. The average concentrations of </w:t>
      </w:r>
      <w:hyperlink r:id="rId9" w:tooltip="Learn more about radionuclides from ScienceDirect's AI-generated Topic Pages" w:history="1">
        <w:r w:rsidRPr="00785B6D">
          <w:rPr>
            <w:rStyle w:val="Hyperlink"/>
            <w:rFonts w:ascii="Times New Roman" w:hAnsi="Times New Roman" w:cs="Times New Roman"/>
            <w:sz w:val="24"/>
            <w:szCs w:val="24"/>
          </w:rPr>
          <w:t>radionuclides</w:t>
        </w:r>
      </w:hyperlink>
      <w:r w:rsidRPr="00785B6D">
        <w:rPr>
          <w:rFonts w:ascii="Times New Roman" w:hAnsi="Times New Roman" w:cs="Times New Roman"/>
          <w:sz w:val="24"/>
          <w:szCs w:val="24"/>
        </w:rPr>
        <w:t> 40K, 232Th, and 226Ra are 178 Bqkg−1, 44 Bqkg−1, and 41 Bqkg−1, respectively. The following are the computed values: 117 Bqkg−1, 0.43, 0.32, 53 nGyh−1, average radium equivalent (Raeq), hazard indices (Hin and Hex) and dose rate (D), respectively. When compared to levels typically indicated, it was discovered that its values were within the worldwide standard. The study's findings could be a starting point for radiometric data for upcoming surveillance and epidemiological research.</w:t>
      </w:r>
    </w:p>
    <w:p w14:paraId="319FA02A" w14:textId="77777777" w:rsidR="000E03F6" w:rsidRPr="00785B6D" w:rsidRDefault="000E03F6" w:rsidP="009D01D9">
      <w:pPr>
        <w:jc w:val="both"/>
        <w:rPr>
          <w:rFonts w:ascii="Times New Roman" w:hAnsi="Times New Roman" w:cs="Times New Roman"/>
          <w:b/>
          <w:bCs/>
          <w:sz w:val="24"/>
          <w:szCs w:val="24"/>
        </w:rPr>
      </w:pPr>
    </w:p>
    <w:p w14:paraId="7091CC9A" w14:textId="464E157F" w:rsidR="000E03F6" w:rsidRPr="00785B6D" w:rsidRDefault="000E03F6" w:rsidP="009D01D9">
      <w:pPr>
        <w:jc w:val="both"/>
        <w:rPr>
          <w:rFonts w:ascii="Times New Roman" w:hAnsi="Times New Roman" w:cs="Times New Roman"/>
          <w:b/>
          <w:bCs/>
          <w:sz w:val="24"/>
          <w:szCs w:val="24"/>
        </w:rPr>
      </w:pPr>
      <w:r w:rsidRPr="00785B6D">
        <w:rPr>
          <w:rFonts w:ascii="Times New Roman" w:hAnsi="Times New Roman" w:cs="Times New Roman"/>
          <w:b/>
          <w:bCs/>
          <w:sz w:val="24"/>
          <w:szCs w:val="24"/>
        </w:rPr>
        <w:t>Conference / Journal Link</w:t>
      </w:r>
      <w:r w:rsidR="003A4568" w:rsidRPr="00785B6D">
        <w:rPr>
          <w:rFonts w:ascii="Times New Roman" w:hAnsi="Times New Roman" w:cs="Times New Roman"/>
          <w:b/>
          <w:bCs/>
          <w:sz w:val="24"/>
          <w:szCs w:val="24"/>
        </w:rPr>
        <w:t xml:space="preserve">: </w:t>
      </w:r>
    </w:p>
    <w:bookmarkStart w:id="0" w:name="cj_link"/>
    <w:p w14:paraId="35895C28" w14:textId="5C7BD250" w:rsidR="003A4568" w:rsidRPr="00785B6D" w:rsidRDefault="00785B6D" w:rsidP="009D01D9">
      <w:pPr>
        <w:jc w:val="both"/>
        <w:rPr>
          <w:rFonts w:ascii="Times New Roman" w:hAnsi="Times New Roman" w:cs="Times New Roman"/>
          <w:sz w:val="24"/>
          <w:szCs w:val="24"/>
        </w:rPr>
      </w:pPr>
      <w:r w:rsidRPr="00785B6D">
        <w:rPr>
          <w:rFonts w:ascii="Times New Roman" w:hAnsi="Times New Roman" w:cs="Times New Roman"/>
          <w:sz w:val="24"/>
          <w:szCs w:val="24"/>
        </w:rPr>
        <w:fldChar w:fldCharType="begin"/>
      </w:r>
      <w:r w:rsidRPr="00785B6D">
        <w:rPr>
          <w:rFonts w:ascii="Times New Roman" w:hAnsi="Times New Roman" w:cs="Times New Roman"/>
          <w:sz w:val="24"/>
          <w:szCs w:val="24"/>
        </w:rPr>
        <w:instrText>HYPERLINK "https://www.sciencedirect.com/science/article/abs/pii/S0969806X24004845" \t "_blank"</w:instrText>
      </w:r>
      <w:r w:rsidRPr="00785B6D">
        <w:rPr>
          <w:rFonts w:ascii="Times New Roman" w:hAnsi="Times New Roman" w:cs="Times New Roman"/>
          <w:sz w:val="24"/>
          <w:szCs w:val="24"/>
        </w:rPr>
      </w:r>
      <w:r w:rsidRPr="00785B6D">
        <w:rPr>
          <w:rFonts w:ascii="Times New Roman" w:hAnsi="Times New Roman" w:cs="Times New Roman"/>
          <w:sz w:val="24"/>
          <w:szCs w:val="24"/>
        </w:rPr>
        <w:fldChar w:fldCharType="separate"/>
      </w:r>
      <w:r w:rsidRPr="00785B6D">
        <w:rPr>
          <w:rStyle w:val="Hyperlink"/>
          <w:rFonts w:ascii="Times New Roman" w:hAnsi="Times New Roman" w:cs="Times New Roman"/>
          <w:sz w:val="24"/>
          <w:szCs w:val="24"/>
          <w:u w:val="none"/>
        </w:rPr>
        <w:t>https://www.sciencedirect.com/science/article/abs/pii/S0969806X24004845</w:t>
      </w:r>
      <w:r w:rsidRPr="00785B6D">
        <w:rPr>
          <w:rFonts w:ascii="Times New Roman" w:hAnsi="Times New Roman" w:cs="Times New Roman"/>
          <w:sz w:val="24"/>
          <w:szCs w:val="24"/>
        </w:rPr>
        <w:fldChar w:fldCharType="end"/>
      </w:r>
      <w:bookmarkEnd w:id="0"/>
    </w:p>
    <w:p w14:paraId="2CD9F643" w14:textId="77777777" w:rsidR="000E03F6" w:rsidRPr="00785B6D" w:rsidRDefault="000E03F6" w:rsidP="009D01D9">
      <w:pPr>
        <w:jc w:val="both"/>
        <w:rPr>
          <w:rFonts w:ascii="Times New Roman" w:hAnsi="Times New Roman" w:cs="Times New Roman"/>
          <w:b/>
          <w:bCs/>
          <w:sz w:val="24"/>
          <w:szCs w:val="24"/>
        </w:rPr>
      </w:pPr>
      <w:r w:rsidRPr="00785B6D">
        <w:rPr>
          <w:rFonts w:ascii="Times New Roman" w:hAnsi="Times New Roman" w:cs="Times New Roman"/>
          <w:b/>
          <w:bCs/>
          <w:sz w:val="24"/>
          <w:szCs w:val="24"/>
        </w:rPr>
        <w:t>DOI:</w:t>
      </w:r>
    </w:p>
    <w:p w14:paraId="3310F6D4" w14:textId="30BC8A8A" w:rsidR="000E03F6" w:rsidRPr="00785B6D" w:rsidRDefault="00785B6D" w:rsidP="009D01D9">
      <w:pPr>
        <w:jc w:val="both"/>
        <w:rPr>
          <w:rFonts w:ascii="Times New Roman" w:hAnsi="Times New Roman" w:cs="Times New Roman"/>
          <w:sz w:val="24"/>
          <w:szCs w:val="24"/>
        </w:rPr>
      </w:pPr>
      <w:hyperlink r:id="rId10" w:tgtFrame="_blank" w:tooltip="Persistent link using digital object identifier" w:history="1">
        <w:r w:rsidRPr="00785B6D">
          <w:rPr>
            <w:rStyle w:val="Hyperlink"/>
            <w:rFonts w:ascii="Times New Roman" w:hAnsi="Times New Roman" w:cs="Times New Roman"/>
            <w:sz w:val="24"/>
            <w:szCs w:val="24"/>
            <w:u w:val="none"/>
          </w:rPr>
          <w:t>https://doi.org/10.1016/j.radphyschem.2024.111992</w:t>
        </w:r>
      </w:hyperlink>
    </w:p>
    <w:sectPr w:rsidR="000E03F6" w:rsidRPr="00785B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E03F6"/>
    <w:rsid w:val="001753C9"/>
    <w:rsid w:val="00203F90"/>
    <w:rsid w:val="00236291"/>
    <w:rsid w:val="0038571D"/>
    <w:rsid w:val="003A4568"/>
    <w:rsid w:val="003F401D"/>
    <w:rsid w:val="00526E52"/>
    <w:rsid w:val="00531238"/>
    <w:rsid w:val="005533FA"/>
    <w:rsid w:val="005B71EB"/>
    <w:rsid w:val="005C6CCD"/>
    <w:rsid w:val="00697B2D"/>
    <w:rsid w:val="006B03C3"/>
    <w:rsid w:val="006E52C3"/>
    <w:rsid w:val="00785B6D"/>
    <w:rsid w:val="0081562C"/>
    <w:rsid w:val="008F7173"/>
    <w:rsid w:val="00911FC3"/>
    <w:rsid w:val="00943CA4"/>
    <w:rsid w:val="009D01D9"/>
    <w:rsid w:val="00B319FA"/>
    <w:rsid w:val="00BA1D1E"/>
    <w:rsid w:val="00BF6EE0"/>
    <w:rsid w:val="00C60B17"/>
    <w:rsid w:val="00CC6951"/>
    <w:rsid w:val="00D26E3D"/>
    <w:rsid w:val="00D46B53"/>
    <w:rsid w:val="00DB6083"/>
    <w:rsid w:val="00DC372F"/>
    <w:rsid w:val="00EC166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5B6D"/>
    <w:rPr>
      <w:color w:val="0563C1" w:themeColor="hyperlink"/>
      <w:u w:val="single"/>
    </w:rPr>
  </w:style>
  <w:style w:type="character" w:styleId="UnresolvedMention">
    <w:name w:val="Unresolved Mention"/>
    <w:basedOn w:val="DefaultParagraphFont"/>
    <w:uiPriority w:val="99"/>
    <w:semiHidden/>
    <w:unhideWhenUsed/>
    <w:rsid w:val="00785B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earth-and-planetary-sciences/radionuclide" TargetMode="External"/><Relationship Id="rId3" Type="http://schemas.openxmlformats.org/officeDocument/2006/relationships/webSettings" Target="webSettings.xml"/><Relationship Id="rId7" Type="http://schemas.openxmlformats.org/officeDocument/2006/relationships/hyperlink" Target="https://www.sciencedirect.com/topics/earth-and-planetary-sciences/peridotit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earth-and-planetary-sciences/muscovite" TargetMode="External"/><Relationship Id="rId11" Type="http://schemas.openxmlformats.org/officeDocument/2006/relationships/fontTable" Target="fontTable.xml"/><Relationship Id="rId5" Type="http://schemas.openxmlformats.org/officeDocument/2006/relationships/hyperlink" Target="https://www.sciencedirect.com/topics/earth-and-planetary-sciences/radioactive-isotope" TargetMode="External"/><Relationship Id="rId10" Type="http://schemas.openxmlformats.org/officeDocument/2006/relationships/hyperlink" Target="https://doi.org/10.1016/j.radphyschem.2024.111992" TargetMode="External"/><Relationship Id="rId4" Type="http://schemas.openxmlformats.org/officeDocument/2006/relationships/hyperlink" Target="https://www.sciencedirect.com/topics/earth-and-planetary-sciences/natural-radioactivity" TargetMode="External"/><Relationship Id="rId9" Type="http://schemas.openxmlformats.org/officeDocument/2006/relationships/hyperlink" Target="https://www.sciencedirect.com/topics/earth-and-planetary-sciences/radioactive-isot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505</Words>
  <Characters>2882</Characters>
  <Application>Microsoft Office Word</Application>
  <DocSecurity>0</DocSecurity>
  <Lines>24</Lines>
  <Paragraphs>6</Paragraphs>
  <ScaleCrop>false</ScaleCrop>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11</cp:revision>
  <dcterms:created xsi:type="dcterms:W3CDTF">2024-12-08T09:19:00Z</dcterms:created>
  <dcterms:modified xsi:type="dcterms:W3CDTF">2024-12-19T03:12:00Z</dcterms:modified>
</cp:coreProperties>
</file>