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57A3D05D" w:rsidR="000E03F6" w:rsidRPr="00957823" w:rsidRDefault="00957823">
      <w:pPr>
        <w:rPr>
          <w:rFonts w:ascii="Times New Roman" w:hAnsi="Times New Roman" w:cs="Times New Roman"/>
          <w:sz w:val="40"/>
          <w:szCs w:val="40"/>
        </w:rPr>
      </w:pPr>
      <w:r w:rsidRPr="00957823">
        <w:rPr>
          <w:rFonts w:ascii="Times New Roman" w:hAnsi="Times New Roman" w:cs="Times New Roman"/>
          <w:sz w:val="40"/>
          <w:szCs w:val="40"/>
        </w:rPr>
        <w:t>Radiation Dose Assessment: Establishment of Local Diagnostic Reference Levels for Selected Radiography Examinations Across Three Prominent Hospitals in Sudan</w:t>
      </w:r>
    </w:p>
    <w:p w14:paraId="40A61456" w14:textId="77777777" w:rsidR="000E03F6" w:rsidRPr="00957823" w:rsidRDefault="000E03F6">
      <w:pPr>
        <w:rPr>
          <w:rFonts w:ascii="Times New Roman" w:hAnsi="Times New Roman" w:cs="Times New Roman"/>
          <w:sz w:val="24"/>
          <w:szCs w:val="24"/>
        </w:rPr>
      </w:pPr>
    </w:p>
    <w:p w14:paraId="5159E62B" w14:textId="15DA8AE4" w:rsidR="00EC166B" w:rsidRPr="00957823" w:rsidRDefault="000E03F6" w:rsidP="00957823">
      <w:pPr>
        <w:rPr>
          <w:rFonts w:ascii="Times New Roman" w:hAnsi="Times New Roman" w:cs="Times New Roman"/>
          <w:b/>
          <w:bCs/>
          <w:sz w:val="24"/>
          <w:szCs w:val="24"/>
        </w:rPr>
      </w:pPr>
      <w:r w:rsidRPr="00957823">
        <w:rPr>
          <w:rFonts w:ascii="Times New Roman" w:hAnsi="Times New Roman" w:cs="Times New Roman"/>
          <w:b/>
          <w:bCs/>
          <w:sz w:val="24"/>
          <w:szCs w:val="24"/>
        </w:rPr>
        <w:t>Author:</w:t>
      </w:r>
      <w:r w:rsidR="00957823" w:rsidRPr="00957823">
        <w:rPr>
          <w:rFonts w:ascii="Times New Roman" w:hAnsi="Times New Roman" w:cs="Times New Roman"/>
          <w:b/>
          <w:bCs/>
          <w:sz w:val="24"/>
          <w:szCs w:val="24"/>
        </w:rPr>
        <w:t xml:space="preserve"> </w:t>
      </w:r>
      <w:r w:rsidR="00957823" w:rsidRPr="00957823">
        <w:rPr>
          <w:rFonts w:ascii="Times New Roman" w:hAnsi="Times New Roman" w:cs="Times New Roman"/>
          <w:color w:val="004E9A"/>
          <w:sz w:val="24"/>
          <w:szCs w:val="24"/>
        </w:rPr>
        <w:t>Hamid Osman, Amna Mohamed Ahmed, Alamin Musa, Afaf </w:t>
      </w:r>
      <w:proofErr w:type="spellStart"/>
      <w:r w:rsidR="00957823" w:rsidRPr="00957823">
        <w:rPr>
          <w:rFonts w:ascii="Times New Roman" w:hAnsi="Times New Roman" w:cs="Times New Roman"/>
          <w:color w:val="004E9A"/>
          <w:sz w:val="24"/>
          <w:szCs w:val="24"/>
        </w:rPr>
        <w:t>Medani</w:t>
      </w:r>
      <w:proofErr w:type="spellEnd"/>
      <w:r w:rsidR="00957823" w:rsidRPr="00957823">
        <w:rPr>
          <w:rFonts w:ascii="Times New Roman" w:hAnsi="Times New Roman" w:cs="Times New Roman"/>
          <w:color w:val="004E9A"/>
          <w:sz w:val="24"/>
          <w:szCs w:val="24"/>
        </w:rPr>
        <w:t>, Raga Ahmed Abouraida, Magbool Alelyani, Sultan Alamri, </w:t>
      </w:r>
      <w:proofErr w:type="spellStart"/>
      <w:r w:rsidR="00957823" w:rsidRPr="00957823">
        <w:rPr>
          <w:rFonts w:ascii="Times New Roman" w:hAnsi="Times New Roman" w:cs="Times New Roman"/>
          <w:color w:val="004E9A"/>
          <w:sz w:val="24"/>
          <w:szCs w:val="24"/>
        </w:rPr>
        <w:t>Elrashed</w:t>
      </w:r>
      <w:proofErr w:type="spellEnd"/>
      <w:r w:rsidR="00957823" w:rsidRPr="00957823">
        <w:rPr>
          <w:rFonts w:ascii="Times New Roman" w:hAnsi="Times New Roman" w:cs="Times New Roman"/>
          <w:color w:val="004E9A"/>
          <w:sz w:val="24"/>
          <w:szCs w:val="24"/>
        </w:rPr>
        <w:t> AbdElrahim, WB Hassan, Nahla L. </w:t>
      </w:r>
      <w:proofErr w:type="spellStart"/>
      <w:r w:rsidR="00957823" w:rsidRPr="00957823">
        <w:rPr>
          <w:rFonts w:ascii="Times New Roman" w:hAnsi="Times New Roman" w:cs="Times New Roman"/>
          <w:color w:val="004E9A"/>
          <w:sz w:val="24"/>
          <w:szCs w:val="24"/>
        </w:rPr>
        <w:t>Faizo</w:t>
      </w:r>
      <w:proofErr w:type="spellEnd"/>
      <w:r w:rsidR="00957823" w:rsidRPr="00957823">
        <w:rPr>
          <w:rFonts w:ascii="Times New Roman" w:hAnsi="Times New Roman" w:cs="Times New Roman"/>
          <w:color w:val="004E9A"/>
          <w:sz w:val="24"/>
          <w:szCs w:val="24"/>
        </w:rPr>
        <w:t>, Sahal Alotaibi, </w:t>
      </w:r>
      <w:proofErr w:type="spellStart"/>
      <w:r w:rsidR="00957823" w:rsidRPr="00957823">
        <w:rPr>
          <w:rFonts w:ascii="Times New Roman" w:hAnsi="Times New Roman" w:cs="Times New Roman"/>
          <w:color w:val="004E9A"/>
          <w:sz w:val="24"/>
          <w:szCs w:val="24"/>
        </w:rPr>
        <w:t>Mayeen</w:t>
      </w:r>
      <w:proofErr w:type="spellEnd"/>
      <w:r w:rsidR="00957823" w:rsidRPr="00957823">
        <w:rPr>
          <w:rFonts w:ascii="Times New Roman" w:hAnsi="Times New Roman" w:cs="Times New Roman"/>
          <w:color w:val="004E9A"/>
          <w:sz w:val="24"/>
          <w:szCs w:val="24"/>
        </w:rPr>
        <w:t xml:space="preserve"> Uddin Khandaker, </w:t>
      </w:r>
      <w:proofErr w:type="spellStart"/>
      <w:r w:rsidR="00957823" w:rsidRPr="00957823">
        <w:rPr>
          <w:rFonts w:ascii="Times New Roman" w:hAnsi="Times New Roman" w:cs="Times New Roman"/>
          <w:color w:val="004E9A"/>
          <w:sz w:val="24"/>
          <w:szCs w:val="24"/>
        </w:rPr>
        <w:t>Abdelmoneim</w:t>
      </w:r>
      <w:proofErr w:type="spellEnd"/>
      <w:r w:rsidR="00957823" w:rsidRPr="00957823">
        <w:rPr>
          <w:rFonts w:ascii="Times New Roman" w:hAnsi="Times New Roman" w:cs="Times New Roman"/>
          <w:color w:val="004E9A"/>
          <w:sz w:val="24"/>
          <w:szCs w:val="24"/>
        </w:rPr>
        <w:t> Sulieman, Awatif M. Omer, Babiker A. Awadallah</w:t>
      </w:r>
    </w:p>
    <w:p w14:paraId="02DA5D73" w14:textId="77777777" w:rsidR="000E03F6" w:rsidRPr="00957823" w:rsidRDefault="000E03F6" w:rsidP="00957823">
      <w:pPr>
        <w:jc w:val="both"/>
        <w:rPr>
          <w:rFonts w:ascii="Times New Roman" w:hAnsi="Times New Roman" w:cs="Times New Roman"/>
          <w:b/>
          <w:bCs/>
          <w:sz w:val="24"/>
          <w:szCs w:val="24"/>
        </w:rPr>
      </w:pPr>
    </w:p>
    <w:p w14:paraId="689221C7" w14:textId="40C93A9D" w:rsidR="000E03F6" w:rsidRPr="00957823" w:rsidRDefault="000E03F6" w:rsidP="00957823">
      <w:pPr>
        <w:jc w:val="both"/>
        <w:rPr>
          <w:rFonts w:ascii="Times New Roman" w:hAnsi="Times New Roman" w:cs="Times New Roman"/>
          <w:b/>
          <w:bCs/>
          <w:sz w:val="24"/>
          <w:szCs w:val="24"/>
        </w:rPr>
      </w:pPr>
      <w:r w:rsidRPr="00957823">
        <w:rPr>
          <w:rFonts w:ascii="Times New Roman" w:hAnsi="Times New Roman" w:cs="Times New Roman"/>
          <w:b/>
          <w:bCs/>
          <w:sz w:val="24"/>
          <w:szCs w:val="24"/>
        </w:rPr>
        <w:t xml:space="preserve">Abstract: </w:t>
      </w:r>
    </w:p>
    <w:p w14:paraId="3A47CD1D" w14:textId="140F8217" w:rsidR="000E03F6" w:rsidRPr="00957823" w:rsidRDefault="00957823" w:rsidP="00957823">
      <w:pPr>
        <w:jc w:val="both"/>
        <w:rPr>
          <w:rFonts w:ascii="Times New Roman" w:hAnsi="Times New Roman" w:cs="Times New Roman"/>
          <w:sz w:val="24"/>
          <w:szCs w:val="24"/>
        </w:rPr>
      </w:pPr>
      <w:r w:rsidRPr="00957823">
        <w:rPr>
          <w:rFonts w:ascii="Times New Roman" w:hAnsi="Times New Roman" w:cs="Times New Roman"/>
          <w:sz w:val="24"/>
          <w:szCs w:val="24"/>
        </w:rPr>
        <w:t>Due to variation among radiographers’ practice, and the importance of unifying practice during radiography for optimizing radiation level and image quality, the current manuscript aims to assess the radiation dose level and propose local diagnostic reference levels (LDRL) for posterior-anterior (PA) chest, antero-posterior (AP) abdomen, and pelvis examinations in two hospitals in Khartoum (‘K’) and one hospital in Wad-</w:t>
      </w:r>
      <w:proofErr w:type="spellStart"/>
      <w:r w:rsidRPr="00957823">
        <w:rPr>
          <w:rFonts w:ascii="Times New Roman" w:hAnsi="Times New Roman" w:cs="Times New Roman"/>
          <w:sz w:val="24"/>
          <w:szCs w:val="24"/>
        </w:rPr>
        <w:t>Medani</w:t>
      </w:r>
      <w:proofErr w:type="spellEnd"/>
      <w:r w:rsidRPr="00957823">
        <w:rPr>
          <w:rFonts w:ascii="Times New Roman" w:hAnsi="Times New Roman" w:cs="Times New Roman"/>
          <w:sz w:val="24"/>
          <w:szCs w:val="24"/>
        </w:rPr>
        <w:t xml:space="preserve"> (‘M’) cities, Sudan. Along with patient demographics like height and weight, the radiation exposure parameters including tube potential, current, and radiation duration were documented. This included 732 patients whose tests were conducted at one of three departments located in two different cities. The </w:t>
      </w:r>
      <w:proofErr w:type="spellStart"/>
      <w:r w:rsidRPr="00957823">
        <w:rPr>
          <w:rFonts w:ascii="Times New Roman" w:hAnsi="Times New Roman" w:cs="Times New Roman"/>
          <w:sz w:val="24"/>
          <w:szCs w:val="24"/>
        </w:rPr>
        <w:t>entrane</w:t>
      </w:r>
      <w:proofErr w:type="spellEnd"/>
      <w:r w:rsidRPr="00957823">
        <w:rPr>
          <w:rFonts w:ascii="Times New Roman" w:hAnsi="Times New Roman" w:cs="Times New Roman"/>
          <w:sz w:val="24"/>
          <w:szCs w:val="24"/>
        </w:rPr>
        <w:t xml:space="preserve"> surface air </w:t>
      </w:r>
      <w:proofErr w:type="spellStart"/>
      <w:r w:rsidRPr="00957823">
        <w:rPr>
          <w:rFonts w:ascii="Times New Roman" w:hAnsi="Times New Roman" w:cs="Times New Roman"/>
          <w:sz w:val="24"/>
          <w:szCs w:val="24"/>
        </w:rPr>
        <w:t>kerma</w:t>
      </w:r>
      <w:proofErr w:type="spellEnd"/>
      <w:r w:rsidRPr="00957823">
        <w:rPr>
          <w:rFonts w:ascii="Times New Roman" w:hAnsi="Times New Roman" w:cs="Times New Roman"/>
          <w:sz w:val="24"/>
          <w:szCs w:val="24"/>
        </w:rPr>
        <w:t xml:space="preserve"> (ESAK) was calculated using </w:t>
      </w:r>
      <w:proofErr w:type="spellStart"/>
      <w:r w:rsidRPr="00957823">
        <w:rPr>
          <w:rFonts w:ascii="Times New Roman" w:hAnsi="Times New Roman" w:cs="Times New Roman"/>
          <w:sz w:val="24"/>
          <w:szCs w:val="24"/>
        </w:rPr>
        <w:t>DosCal</w:t>
      </w:r>
      <w:proofErr w:type="spellEnd"/>
      <w:r w:rsidRPr="00957823">
        <w:rPr>
          <w:rFonts w:ascii="Times New Roman" w:hAnsi="Times New Roman" w:cs="Times New Roman"/>
          <w:sz w:val="24"/>
          <w:szCs w:val="24"/>
        </w:rPr>
        <w:t xml:space="preserve"> software and an </w:t>
      </w:r>
      <w:proofErr w:type="spellStart"/>
      <w:r w:rsidRPr="00957823">
        <w:rPr>
          <w:rFonts w:ascii="Times New Roman" w:hAnsi="Times New Roman" w:cs="Times New Roman"/>
          <w:sz w:val="24"/>
          <w:szCs w:val="24"/>
        </w:rPr>
        <w:t>Unfors</w:t>
      </w:r>
      <w:proofErr w:type="spellEnd"/>
      <w:r w:rsidRPr="00957823">
        <w:rPr>
          <w:rFonts w:ascii="Times New Roman" w:hAnsi="Times New Roman" w:cs="Times New Roman"/>
          <w:sz w:val="24"/>
          <w:szCs w:val="24"/>
        </w:rPr>
        <w:t xml:space="preserve"> -Xi-meter. The average ESAK for an X-ray of the chest was 0.18 </w:t>
      </w:r>
      <w:proofErr w:type="spellStart"/>
      <w:r w:rsidRPr="00957823">
        <w:rPr>
          <w:rFonts w:ascii="Times New Roman" w:hAnsi="Times New Roman" w:cs="Times New Roman"/>
          <w:sz w:val="24"/>
          <w:szCs w:val="24"/>
        </w:rPr>
        <w:t>mGy</w:t>
      </w:r>
      <w:proofErr w:type="spellEnd"/>
      <w:r w:rsidRPr="00957823">
        <w:rPr>
          <w:rFonts w:ascii="Times New Roman" w:hAnsi="Times New Roman" w:cs="Times New Roman"/>
          <w:sz w:val="24"/>
          <w:szCs w:val="24"/>
        </w:rPr>
        <w:t xml:space="preserve"> in M, 0.19 </w:t>
      </w:r>
      <w:proofErr w:type="spellStart"/>
      <w:r w:rsidRPr="00957823">
        <w:rPr>
          <w:rFonts w:ascii="Times New Roman" w:hAnsi="Times New Roman" w:cs="Times New Roman"/>
          <w:sz w:val="24"/>
          <w:szCs w:val="24"/>
        </w:rPr>
        <w:t>mGy</w:t>
      </w:r>
      <w:proofErr w:type="spellEnd"/>
      <w:r w:rsidRPr="00957823">
        <w:rPr>
          <w:rFonts w:ascii="Times New Roman" w:hAnsi="Times New Roman" w:cs="Times New Roman"/>
          <w:sz w:val="24"/>
          <w:szCs w:val="24"/>
        </w:rPr>
        <w:t xml:space="preserve"> in K (averaged over two hospitals in the K), for the abdomen it was 1.1 and 1.23 </w:t>
      </w:r>
      <w:proofErr w:type="spellStart"/>
      <w:r w:rsidRPr="00957823">
        <w:rPr>
          <w:rFonts w:ascii="Times New Roman" w:hAnsi="Times New Roman" w:cs="Times New Roman"/>
          <w:sz w:val="24"/>
          <w:szCs w:val="24"/>
        </w:rPr>
        <w:t>mGy</w:t>
      </w:r>
      <w:proofErr w:type="spellEnd"/>
      <w:r w:rsidRPr="00957823">
        <w:rPr>
          <w:rFonts w:ascii="Times New Roman" w:hAnsi="Times New Roman" w:cs="Times New Roman"/>
          <w:sz w:val="24"/>
          <w:szCs w:val="24"/>
        </w:rPr>
        <w:t xml:space="preserve">, and for the pelvis it was 1.8 and 01.9 </w:t>
      </w:r>
      <w:proofErr w:type="spellStart"/>
      <w:r w:rsidRPr="00957823">
        <w:rPr>
          <w:rFonts w:ascii="Times New Roman" w:hAnsi="Times New Roman" w:cs="Times New Roman"/>
          <w:sz w:val="24"/>
          <w:szCs w:val="24"/>
        </w:rPr>
        <w:t>mGy</w:t>
      </w:r>
      <w:proofErr w:type="spellEnd"/>
      <w:r w:rsidRPr="00957823">
        <w:rPr>
          <w:rFonts w:ascii="Times New Roman" w:hAnsi="Times New Roman" w:cs="Times New Roman"/>
          <w:sz w:val="24"/>
          <w:szCs w:val="24"/>
        </w:rPr>
        <w:t xml:space="preserve"> respectively. The proposed DRL was achieved from the third quartile of radiation dosage of data, and it was 0.21, 1.7 and 1.9 </w:t>
      </w:r>
      <w:proofErr w:type="spellStart"/>
      <w:r w:rsidRPr="00957823">
        <w:rPr>
          <w:rFonts w:ascii="Times New Roman" w:hAnsi="Times New Roman" w:cs="Times New Roman"/>
          <w:sz w:val="24"/>
          <w:szCs w:val="24"/>
        </w:rPr>
        <w:t>mGy</w:t>
      </w:r>
      <w:proofErr w:type="spellEnd"/>
      <w:r w:rsidRPr="00957823">
        <w:rPr>
          <w:rFonts w:ascii="Times New Roman" w:hAnsi="Times New Roman" w:cs="Times New Roman"/>
          <w:sz w:val="24"/>
          <w:szCs w:val="24"/>
        </w:rPr>
        <w:t xml:space="preserve"> for the chest, abdomen and pelvis respectively. There was a wide variation in dosage levels among the three hospitals. The current proposed DRL was lower than most literature for the chest, abdomen and pelvis. More studies are recommended for other examinations such as skull and contrast media studies.</w:t>
      </w:r>
    </w:p>
    <w:p w14:paraId="319FA02A" w14:textId="77777777" w:rsidR="000E03F6" w:rsidRPr="00957823" w:rsidRDefault="000E03F6" w:rsidP="00957823">
      <w:pPr>
        <w:jc w:val="both"/>
        <w:rPr>
          <w:rFonts w:ascii="Times New Roman" w:hAnsi="Times New Roman" w:cs="Times New Roman"/>
          <w:sz w:val="24"/>
          <w:szCs w:val="24"/>
        </w:rPr>
      </w:pPr>
    </w:p>
    <w:p w14:paraId="7091CC9A" w14:textId="464E157F" w:rsidR="000E03F6" w:rsidRPr="00957823" w:rsidRDefault="000E03F6" w:rsidP="00957823">
      <w:pPr>
        <w:jc w:val="both"/>
        <w:rPr>
          <w:rFonts w:ascii="Times New Roman" w:hAnsi="Times New Roman" w:cs="Times New Roman"/>
          <w:b/>
          <w:bCs/>
          <w:sz w:val="24"/>
          <w:szCs w:val="24"/>
        </w:rPr>
      </w:pPr>
      <w:r w:rsidRPr="00957823">
        <w:rPr>
          <w:rFonts w:ascii="Times New Roman" w:hAnsi="Times New Roman" w:cs="Times New Roman"/>
          <w:b/>
          <w:bCs/>
          <w:sz w:val="24"/>
          <w:szCs w:val="24"/>
        </w:rPr>
        <w:t>Conference / Journal Link</w:t>
      </w:r>
      <w:r w:rsidR="003A4568" w:rsidRPr="00957823">
        <w:rPr>
          <w:rFonts w:ascii="Times New Roman" w:hAnsi="Times New Roman" w:cs="Times New Roman"/>
          <w:b/>
          <w:bCs/>
          <w:sz w:val="24"/>
          <w:szCs w:val="24"/>
        </w:rPr>
        <w:t xml:space="preserve">: </w:t>
      </w:r>
    </w:p>
    <w:bookmarkStart w:id="0" w:name="cj_link"/>
    <w:p w14:paraId="35895C28" w14:textId="08BEB32C" w:rsidR="003A4568" w:rsidRPr="00957823" w:rsidRDefault="00957823" w:rsidP="00957823">
      <w:pPr>
        <w:jc w:val="both"/>
        <w:rPr>
          <w:rFonts w:ascii="Times New Roman" w:hAnsi="Times New Roman" w:cs="Times New Roman"/>
          <w:sz w:val="24"/>
          <w:szCs w:val="24"/>
        </w:rPr>
      </w:pPr>
      <w:r w:rsidRPr="00957823">
        <w:rPr>
          <w:rFonts w:ascii="Times New Roman" w:hAnsi="Times New Roman" w:cs="Times New Roman"/>
          <w:sz w:val="24"/>
          <w:szCs w:val="24"/>
        </w:rPr>
        <w:fldChar w:fldCharType="begin"/>
      </w:r>
      <w:r w:rsidRPr="00957823">
        <w:rPr>
          <w:rFonts w:ascii="Times New Roman" w:hAnsi="Times New Roman" w:cs="Times New Roman"/>
          <w:sz w:val="24"/>
          <w:szCs w:val="24"/>
        </w:rPr>
        <w:instrText>HYPERLINK "https://www.sciencedirect.com/science/article/abs/pii/S0969806X23007284" \t "_blank"</w:instrText>
      </w:r>
      <w:r w:rsidRPr="00957823">
        <w:rPr>
          <w:rFonts w:ascii="Times New Roman" w:hAnsi="Times New Roman" w:cs="Times New Roman"/>
          <w:sz w:val="24"/>
          <w:szCs w:val="24"/>
        </w:rPr>
      </w:r>
      <w:r w:rsidRPr="00957823">
        <w:rPr>
          <w:rFonts w:ascii="Times New Roman" w:hAnsi="Times New Roman" w:cs="Times New Roman"/>
          <w:sz w:val="24"/>
          <w:szCs w:val="24"/>
        </w:rPr>
        <w:fldChar w:fldCharType="separate"/>
      </w:r>
      <w:r w:rsidRPr="00957823">
        <w:rPr>
          <w:rStyle w:val="Hyperlink"/>
          <w:rFonts w:ascii="Times New Roman" w:hAnsi="Times New Roman" w:cs="Times New Roman"/>
          <w:sz w:val="24"/>
          <w:szCs w:val="24"/>
          <w:u w:val="none"/>
        </w:rPr>
        <w:t>https://www.sciencedirect.com/science/article/abs/pii/S0969806X23007284</w:t>
      </w:r>
      <w:r w:rsidRPr="00957823">
        <w:rPr>
          <w:rFonts w:ascii="Times New Roman" w:hAnsi="Times New Roman" w:cs="Times New Roman"/>
          <w:sz w:val="24"/>
          <w:szCs w:val="24"/>
        </w:rPr>
        <w:fldChar w:fldCharType="end"/>
      </w:r>
      <w:bookmarkEnd w:id="0"/>
    </w:p>
    <w:p w14:paraId="2CD9F643" w14:textId="77777777" w:rsidR="000E03F6" w:rsidRPr="00957823" w:rsidRDefault="000E03F6" w:rsidP="00957823">
      <w:pPr>
        <w:jc w:val="both"/>
        <w:rPr>
          <w:rFonts w:ascii="Times New Roman" w:hAnsi="Times New Roman" w:cs="Times New Roman"/>
          <w:b/>
          <w:bCs/>
          <w:sz w:val="24"/>
          <w:szCs w:val="24"/>
        </w:rPr>
      </w:pPr>
      <w:r w:rsidRPr="00957823">
        <w:rPr>
          <w:rFonts w:ascii="Times New Roman" w:hAnsi="Times New Roman" w:cs="Times New Roman"/>
          <w:b/>
          <w:bCs/>
          <w:sz w:val="24"/>
          <w:szCs w:val="24"/>
        </w:rPr>
        <w:t>DOI:</w:t>
      </w:r>
    </w:p>
    <w:p w14:paraId="3310F6D4" w14:textId="18E6846F" w:rsidR="000E03F6" w:rsidRPr="00957823" w:rsidRDefault="00957823" w:rsidP="00957823">
      <w:pPr>
        <w:jc w:val="both"/>
      </w:pPr>
      <w:hyperlink r:id="rId4" w:tgtFrame="_blank" w:tooltip="Persistent link using digital object identifier" w:history="1">
        <w:r w:rsidRPr="00957823">
          <w:rPr>
            <w:rStyle w:val="Hyperlink"/>
            <w:rFonts w:ascii="Times New Roman" w:hAnsi="Times New Roman" w:cs="Times New Roman"/>
            <w:sz w:val="24"/>
            <w:szCs w:val="24"/>
            <w:u w:val="none"/>
          </w:rPr>
          <w:t>https://doi.org/10.1016/j.radphyschem.2023.111482</w:t>
        </w:r>
      </w:hyperlink>
    </w:p>
    <w:sectPr w:rsidR="000E03F6" w:rsidRPr="009578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38571D"/>
    <w:rsid w:val="0039720D"/>
    <w:rsid w:val="003A4568"/>
    <w:rsid w:val="003D234A"/>
    <w:rsid w:val="00526E52"/>
    <w:rsid w:val="00531238"/>
    <w:rsid w:val="005533FA"/>
    <w:rsid w:val="005B6EB4"/>
    <w:rsid w:val="005B71EB"/>
    <w:rsid w:val="005C6CCD"/>
    <w:rsid w:val="00697B2D"/>
    <w:rsid w:val="006B03C3"/>
    <w:rsid w:val="006E52C3"/>
    <w:rsid w:val="0081562C"/>
    <w:rsid w:val="008F7173"/>
    <w:rsid w:val="00911FC3"/>
    <w:rsid w:val="00943CA4"/>
    <w:rsid w:val="00957823"/>
    <w:rsid w:val="00B319FA"/>
    <w:rsid w:val="00BA1D1E"/>
    <w:rsid w:val="00BF6EE0"/>
    <w:rsid w:val="00C60B17"/>
    <w:rsid w:val="00CC6951"/>
    <w:rsid w:val="00CF2D1D"/>
    <w:rsid w:val="00D26E3D"/>
    <w:rsid w:val="00DB6083"/>
    <w:rsid w:val="00DC372F"/>
    <w:rsid w:val="00EC166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7823"/>
    <w:rPr>
      <w:color w:val="0563C1" w:themeColor="hyperlink"/>
      <w:u w:val="single"/>
    </w:rPr>
  </w:style>
  <w:style w:type="character" w:styleId="UnresolvedMention">
    <w:name w:val="Unresolved Mention"/>
    <w:basedOn w:val="DefaultParagraphFont"/>
    <w:uiPriority w:val="99"/>
    <w:semiHidden/>
    <w:unhideWhenUsed/>
    <w:rsid w:val="00957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radphyschem.2023.1114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2024-12-17T09:38:00Z</dcterms:created>
  <dcterms:modified xsi:type="dcterms:W3CDTF">2024-12-19T03:32:00Z</dcterms:modified>
</cp:coreProperties>
</file>