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45920A4E" w:rsidR="00734803" w:rsidRDefault="00D22734" w:rsidP="00734803">
      <w:pPr>
        <w:jc w:val="both"/>
        <w:rPr>
          <w:rFonts w:ascii="Times New Roman" w:hAnsi="Times New Roman" w:cs="Times New Roman"/>
          <w:sz w:val="40"/>
          <w:szCs w:val="40"/>
        </w:rPr>
      </w:pPr>
      <w:r w:rsidRPr="00D22734">
        <w:rPr>
          <w:rFonts w:ascii="Times New Roman" w:hAnsi="Times New Roman" w:cs="Times New Roman"/>
          <w:sz w:val="40"/>
          <w:szCs w:val="40"/>
        </w:rPr>
        <w:t xml:space="preserve">Feasibility Study of Floating Solar Photovoltaic Systems Using Techno-economic Assessment and Multi-criteria Decision-making Method: A Case Study of Bangladesh </w:t>
      </w:r>
      <w:r w:rsidR="00734803">
        <w:rPr>
          <w:rFonts w:ascii="Times New Roman" w:hAnsi="Times New Roman" w:cs="Times New Roman"/>
          <w:sz w:val="40"/>
          <w:szCs w:val="40"/>
        </w:rPr>
        <w:t xml:space="preserve"> </w:t>
      </w:r>
    </w:p>
    <w:p w14:paraId="400FB382" w14:textId="77777777" w:rsidR="00D22734" w:rsidRDefault="00D22734" w:rsidP="00D22734">
      <w:pPr>
        <w:jc w:val="both"/>
        <w:rPr>
          <w:rFonts w:ascii="Times New Roman" w:hAnsi="Times New Roman" w:cs="Times New Roman"/>
          <w:b/>
          <w:bCs/>
          <w:sz w:val="24"/>
          <w:szCs w:val="24"/>
        </w:rPr>
      </w:pPr>
    </w:p>
    <w:p w14:paraId="7EF886D8" w14:textId="4D689457" w:rsidR="00D22734" w:rsidRPr="009650AA" w:rsidRDefault="00D22734" w:rsidP="00D22734">
      <w:pPr>
        <w:jc w:val="both"/>
        <w:rPr>
          <w:rFonts w:ascii="Times New Roman" w:hAnsi="Times New Roman" w:cs="Times New Roman"/>
          <w:sz w:val="24"/>
          <w:szCs w:val="24"/>
        </w:rPr>
      </w:pPr>
      <w:r w:rsidRPr="009650AA">
        <w:rPr>
          <w:rFonts w:ascii="Times New Roman" w:hAnsi="Times New Roman" w:cs="Times New Roman"/>
          <w:b/>
          <w:bCs/>
          <w:sz w:val="24"/>
          <w:szCs w:val="24"/>
        </w:rPr>
        <w:t>Author:</w:t>
      </w:r>
    </w:p>
    <w:p w14:paraId="6286188C" w14:textId="77777777" w:rsidR="00D22734" w:rsidRPr="009650AA" w:rsidRDefault="00D22734" w:rsidP="00734803">
      <w:pPr>
        <w:jc w:val="both"/>
        <w:rPr>
          <w:rFonts w:ascii="Times New Roman" w:hAnsi="Times New Roman" w:cs="Times New Roman"/>
          <w:sz w:val="24"/>
          <w:szCs w:val="24"/>
        </w:rPr>
      </w:pPr>
      <w:r w:rsidRPr="009650AA">
        <w:rPr>
          <w:rFonts w:ascii="Times New Roman" w:hAnsi="Times New Roman" w:cs="Times New Roman"/>
          <w:sz w:val="24"/>
          <w:szCs w:val="24"/>
        </w:rPr>
        <w:t xml:space="preserve">Mahmood </w:t>
      </w:r>
      <w:proofErr w:type="spellStart"/>
      <w:r w:rsidRPr="009650AA">
        <w:rPr>
          <w:rFonts w:ascii="Times New Roman" w:hAnsi="Times New Roman" w:cs="Times New Roman"/>
          <w:sz w:val="24"/>
          <w:szCs w:val="24"/>
        </w:rPr>
        <w:t>Reaz</w:t>
      </w:r>
      <w:proofErr w:type="spellEnd"/>
      <w:r w:rsidRPr="009650AA">
        <w:rPr>
          <w:rFonts w:ascii="Times New Roman" w:hAnsi="Times New Roman" w:cs="Times New Roman"/>
          <w:sz w:val="24"/>
          <w:szCs w:val="24"/>
        </w:rPr>
        <w:t xml:space="preserve"> Sunny, Md Ahsan Kabir, Md </w:t>
      </w:r>
      <w:proofErr w:type="spellStart"/>
      <w:r w:rsidRPr="009650AA">
        <w:rPr>
          <w:rFonts w:ascii="Times New Roman" w:hAnsi="Times New Roman" w:cs="Times New Roman"/>
          <w:sz w:val="24"/>
          <w:szCs w:val="24"/>
        </w:rPr>
        <w:t>Shakowat</w:t>
      </w:r>
      <w:proofErr w:type="spellEnd"/>
      <w:r w:rsidRPr="009650AA">
        <w:rPr>
          <w:rFonts w:ascii="Times New Roman" w:hAnsi="Times New Roman" w:cs="Times New Roman"/>
          <w:sz w:val="24"/>
          <w:szCs w:val="24"/>
        </w:rPr>
        <w:t xml:space="preserve"> Zaman Sarker, </w:t>
      </w:r>
      <w:proofErr w:type="spellStart"/>
      <w:r w:rsidRPr="009650AA">
        <w:rPr>
          <w:rFonts w:ascii="Times New Roman" w:hAnsi="Times New Roman" w:cs="Times New Roman"/>
          <w:sz w:val="24"/>
          <w:szCs w:val="24"/>
        </w:rPr>
        <w:t>Kamaleddin</w:t>
      </w:r>
      <w:proofErr w:type="spellEnd"/>
      <w:r w:rsidRPr="009650AA">
        <w:rPr>
          <w:rFonts w:ascii="Times New Roman" w:hAnsi="Times New Roman" w:cs="Times New Roman"/>
          <w:sz w:val="24"/>
          <w:szCs w:val="24"/>
        </w:rPr>
        <w:t> </w:t>
      </w:r>
      <w:proofErr w:type="spellStart"/>
      <w:r w:rsidRPr="009650AA">
        <w:rPr>
          <w:rFonts w:ascii="Times New Roman" w:hAnsi="Times New Roman" w:cs="Times New Roman"/>
          <w:sz w:val="24"/>
          <w:szCs w:val="24"/>
        </w:rPr>
        <w:t>Aghaloo</w:t>
      </w:r>
      <w:proofErr w:type="spellEnd"/>
      <w:r w:rsidRPr="009650AA">
        <w:rPr>
          <w:rFonts w:ascii="Times New Roman" w:hAnsi="Times New Roman" w:cs="Times New Roman"/>
          <w:sz w:val="24"/>
          <w:szCs w:val="24"/>
        </w:rPr>
        <w:t>, Tausif Ali </w:t>
      </w:r>
    </w:p>
    <w:p w14:paraId="3314C7C8" w14:textId="77777777" w:rsidR="00D22734" w:rsidRPr="009650AA" w:rsidRDefault="00D22734" w:rsidP="00734803">
      <w:pPr>
        <w:jc w:val="both"/>
        <w:rPr>
          <w:rFonts w:ascii="Times New Roman" w:hAnsi="Times New Roman" w:cs="Times New Roman"/>
          <w:b/>
          <w:bCs/>
          <w:sz w:val="24"/>
          <w:szCs w:val="24"/>
        </w:rPr>
      </w:pPr>
    </w:p>
    <w:p w14:paraId="6A1B47AE" w14:textId="35665D44" w:rsidR="00734803" w:rsidRPr="009650AA" w:rsidRDefault="00734803" w:rsidP="00734803">
      <w:pPr>
        <w:jc w:val="both"/>
        <w:rPr>
          <w:rFonts w:ascii="Times New Roman" w:hAnsi="Times New Roman" w:cs="Times New Roman"/>
          <w:sz w:val="24"/>
          <w:szCs w:val="24"/>
        </w:rPr>
      </w:pPr>
      <w:r w:rsidRPr="009650AA">
        <w:rPr>
          <w:rFonts w:ascii="Times New Roman" w:hAnsi="Times New Roman" w:cs="Times New Roman"/>
          <w:b/>
          <w:bCs/>
          <w:sz w:val="24"/>
          <w:szCs w:val="24"/>
        </w:rPr>
        <w:t xml:space="preserve">Abstract: </w:t>
      </w:r>
    </w:p>
    <w:p w14:paraId="2C44D03D" w14:textId="6D78F00E" w:rsidR="00734803" w:rsidRPr="009650AA" w:rsidRDefault="00D22734" w:rsidP="00734803">
      <w:pPr>
        <w:spacing w:after="75" w:line="240" w:lineRule="auto"/>
        <w:jc w:val="both"/>
        <w:rPr>
          <w:rFonts w:ascii="Times New Roman" w:hAnsi="Times New Roman" w:cs="Times New Roman"/>
          <w:b/>
          <w:bCs/>
          <w:sz w:val="24"/>
          <w:szCs w:val="24"/>
        </w:rPr>
      </w:pPr>
      <w:r w:rsidRPr="009650AA">
        <w:rPr>
          <w:rFonts w:ascii="Times New Roman" w:eastAsia="Times New Roman" w:hAnsi="Times New Roman" w:cs="Times New Roman"/>
          <w:color w:val="222222"/>
          <w:sz w:val="24"/>
          <w:szCs w:val="24"/>
        </w:rPr>
        <w:t>Many developing countries with abundant solar resources and rich history of agriculture, face overpopulation and land shortage issues. Floating solar photovoltaics (FSPVs) do not compete with agriculture for land and offer higher energy potential than land-based photovoltaics (LBPVs). For feasibility and site suitability evaluation of FSPVs, this study proposes an integrated approach of techno-economic assessment (TEA) and multi-criteria decision making (MCDM), based on a case study of Bangladesh. The system advisor model (SAM) was used to conduct TEA, evaluating the potential of nine FSPV sites on a regional scale using ten criteria. Combined compromise solution (</w:t>
      </w:r>
      <w:proofErr w:type="spellStart"/>
      <w:r w:rsidRPr="009650AA">
        <w:rPr>
          <w:rFonts w:ascii="Times New Roman" w:eastAsia="Times New Roman" w:hAnsi="Times New Roman" w:cs="Times New Roman"/>
          <w:color w:val="222222"/>
          <w:sz w:val="24"/>
          <w:szCs w:val="24"/>
        </w:rPr>
        <w:t>CoCoSo</w:t>
      </w:r>
      <w:proofErr w:type="spellEnd"/>
      <w:r w:rsidRPr="009650AA">
        <w:rPr>
          <w:rFonts w:ascii="Times New Roman" w:eastAsia="Times New Roman" w:hAnsi="Times New Roman" w:cs="Times New Roman"/>
          <w:color w:val="222222"/>
          <w:sz w:val="24"/>
          <w:szCs w:val="24"/>
        </w:rPr>
        <w:t xml:space="preserve">) was implemented to determine the optimum site. </w:t>
      </w:r>
      <w:proofErr w:type="spellStart"/>
      <w:r w:rsidRPr="009650AA">
        <w:rPr>
          <w:rFonts w:ascii="Times New Roman" w:eastAsia="Times New Roman" w:hAnsi="Times New Roman" w:cs="Times New Roman"/>
          <w:color w:val="222222"/>
          <w:sz w:val="24"/>
          <w:szCs w:val="24"/>
        </w:rPr>
        <w:t>Bergobindopur</w:t>
      </w:r>
      <w:proofErr w:type="spellEnd"/>
      <w:r w:rsidRPr="009650AA">
        <w:rPr>
          <w:rFonts w:ascii="Times New Roman" w:eastAsia="Times New Roman" w:hAnsi="Times New Roman" w:cs="Times New Roman"/>
          <w:color w:val="222222"/>
          <w:sz w:val="24"/>
          <w:szCs w:val="24"/>
        </w:rPr>
        <w:t xml:space="preserve"> lake was ranked top, with the highest energy yield and lowest cost of energy of 1564 kWh/kW and $0.055/kWh respectively. Case study of </w:t>
      </w:r>
      <w:proofErr w:type="spellStart"/>
      <w:r w:rsidRPr="009650AA">
        <w:rPr>
          <w:rFonts w:ascii="Times New Roman" w:eastAsia="Times New Roman" w:hAnsi="Times New Roman" w:cs="Times New Roman"/>
          <w:color w:val="222222"/>
          <w:sz w:val="24"/>
          <w:szCs w:val="24"/>
        </w:rPr>
        <w:t>Bergobindopur</w:t>
      </w:r>
      <w:proofErr w:type="spellEnd"/>
      <w:r w:rsidRPr="009650AA">
        <w:rPr>
          <w:rFonts w:ascii="Times New Roman" w:eastAsia="Times New Roman" w:hAnsi="Times New Roman" w:cs="Times New Roman"/>
          <w:color w:val="222222"/>
          <w:sz w:val="24"/>
          <w:szCs w:val="24"/>
        </w:rPr>
        <w:t xml:space="preserve"> revealed buy-all-sell-all electricity tariff was more profitable than net billing and net metering. Energy generation was found to be influenced by tilt angle and soiling. Sensitivity analyses demonstrated the superiority of FSPVs over LBPVs for varying electricity prices, degradation and discount rates, project durations, and investor's equities. Longer project durations and lower equities resulted in higher profits for investors. The proposed approach contributes to the expansion of FSPV in land-constrained areas.</w:t>
      </w:r>
      <w:r w:rsidR="00734803" w:rsidRPr="009650AA">
        <w:rPr>
          <w:rFonts w:ascii="Times New Roman" w:eastAsia="Times New Roman" w:hAnsi="Times New Roman" w:cs="Times New Roman"/>
          <w:color w:val="222222"/>
          <w:sz w:val="24"/>
          <w:szCs w:val="24"/>
        </w:rPr>
        <w:br/>
        <w:t xml:space="preserve"> </w:t>
      </w:r>
    </w:p>
    <w:p w14:paraId="2637A08C" w14:textId="77777777" w:rsidR="00734803" w:rsidRPr="009650AA" w:rsidRDefault="00734803" w:rsidP="00734803">
      <w:pPr>
        <w:jc w:val="both"/>
        <w:rPr>
          <w:rFonts w:ascii="Times New Roman" w:hAnsi="Times New Roman" w:cs="Times New Roman"/>
          <w:b/>
          <w:bCs/>
          <w:sz w:val="24"/>
          <w:szCs w:val="24"/>
        </w:rPr>
      </w:pPr>
    </w:p>
    <w:p w14:paraId="66F589CD" w14:textId="1D2492C7" w:rsidR="00734803" w:rsidRPr="009650AA" w:rsidRDefault="00734803" w:rsidP="00734803">
      <w:pPr>
        <w:jc w:val="both"/>
        <w:rPr>
          <w:rFonts w:ascii="Times New Roman" w:hAnsi="Times New Roman" w:cs="Times New Roman"/>
          <w:b/>
          <w:bCs/>
          <w:sz w:val="24"/>
          <w:szCs w:val="24"/>
        </w:rPr>
      </w:pPr>
      <w:r w:rsidRPr="009650AA">
        <w:rPr>
          <w:rFonts w:ascii="Times New Roman" w:hAnsi="Times New Roman" w:cs="Times New Roman"/>
          <w:b/>
          <w:bCs/>
          <w:sz w:val="24"/>
          <w:szCs w:val="24"/>
        </w:rPr>
        <w:t>Conference / Journal Link:</w:t>
      </w:r>
    </w:p>
    <w:bookmarkStart w:id="0" w:name="cj_link"/>
    <w:p w14:paraId="74B46EE9" w14:textId="42EA8739" w:rsidR="00734803" w:rsidRPr="009650AA" w:rsidRDefault="00734803" w:rsidP="00734803">
      <w:pPr>
        <w:jc w:val="both"/>
        <w:rPr>
          <w:rFonts w:ascii="Times New Roman" w:hAnsi="Times New Roman" w:cs="Times New Roman"/>
          <w:sz w:val="24"/>
          <w:szCs w:val="24"/>
        </w:rPr>
      </w:pPr>
      <w:r w:rsidRPr="009650AA">
        <w:rPr>
          <w:rFonts w:ascii="Times New Roman" w:hAnsi="Times New Roman" w:cs="Times New Roman"/>
          <w:sz w:val="24"/>
          <w:szCs w:val="24"/>
        </w:rPr>
        <w:fldChar w:fldCharType="begin"/>
      </w:r>
      <w:r w:rsidRPr="009650AA">
        <w:rPr>
          <w:rFonts w:ascii="Times New Roman" w:hAnsi="Times New Roman" w:cs="Times New Roman"/>
          <w:sz w:val="24"/>
          <w:szCs w:val="24"/>
        </w:rPr>
        <w:instrText>HYPERLINK "https://link.springer.com/article/10.1007/s10772-024-10151-3" \t "_blank"</w:instrText>
      </w:r>
      <w:r w:rsidRPr="009650AA">
        <w:rPr>
          <w:rFonts w:ascii="Times New Roman" w:hAnsi="Times New Roman" w:cs="Times New Roman"/>
          <w:sz w:val="24"/>
          <w:szCs w:val="24"/>
        </w:rPr>
      </w:r>
      <w:r w:rsidRPr="009650AA">
        <w:rPr>
          <w:rFonts w:ascii="Times New Roman" w:hAnsi="Times New Roman" w:cs="Times New Roman"/>
          <w:sz w:val="24"/>
          <w:szCs w:val="24"/>
        </w:rPr>
        <w:fldChar w:fldCharType="separate"/>
      </w:r>
      <w:r w:rsidRPr="009650AA">
        <w:rPr>
          <w:rFonts w:ascii="Times New Roman" w:hAnsi="Times New Roman" w:cs="Times New Roman"/>
          <w:sz w:val="24"/>
          <w:szCs w:val="24"/>
        </w:rPr>
        <w:fldChar w:fldCharType="end"/>
      </w:r>
      <w:bookmarkEnd w:id="0"/>
      <w:r w:rsidRPr="009650AA">
        <w:rPr>
          <w:rFonts w:ascii="Times New Roman" w:hAnsi="Times New Roman" w:cs="Times New Roman"/>
          <w:sz w:val="24"/>
          <w:szCs w:val="24"/>
        </w:rPr>
        <w:t xml:space="preserve"> </w:t>
      </w:r>
      <w:hyperlink r:id="rId4" w:tgtFrame="_blank" w:history="1">
        <w:r w:rsidR="00D22734" w:rsidRPr="009650AA">
          <w:rPr>
            <w:rStyle w:val="Hyperlink"/>
            <w:rFonts w:ascii="Times New Roman" w:hAnsi="Times New Roman" w:cs="Times New Roman"/>
            <w:sz w:val="24"/>
            <w:szCs w:val="24"/>
            <w:u w:val="none"/>
          </w:rPr>
          <w:t>https://www.sciencedirect.com/science/article/abs/pii/S0360544224029773</w:t>
        </w:r>
      </w:hyperlink>
    </w:p>
    <w:p w14:paraId="13011A8F" w14:textId="77777777" w:rsidR="00D22734" w:rsidRPr="009650AA" w:rsidRDefault="00D22734" w:rsidP="00734803">
      <w:pPr>
        <w:jc w:val="both"/>
        <w:rPr>
          <w:rFonts w:ascii="Times New Roman" w:hAnsi="Times New Roman" w:cs="Times New Roman"/>
          <w:b/>
          <w:bCs/>
          <w:sz w:val="24"/>
          <w:szCs w:val="24"/>
        </w:rPr>
      </w:pPr>
    </w:p>
    <w:p w14:paraId="01377653" w14:textId="7A93CBDF" w:rsidR="00734803" w:rsidRPr="009650AA" w:rsidRDefault="00734803" w:rsidP="00734803">
      <w:pPr>
        <w:jc w:val="both"/>
        <w:rPr>
          <w:rFonts w:ascii="Times New Roman" w:hAnsi="Times New Roman" w:cs="Times New Roman"/>
          <w:b/>
          <w:bCs/>
          <w:sz w:val="24"/>
          <w:szCs w:val="24"/>
        </w:rPr>
      </w:pPr>
      <w:r w:rsidRPr="009650AA">
        <w:rPr>
          <w:rFonts w:ascii="Times New Roman" w:hAnsi="Times New Roman" w:cs="Times New Roman"/>
          <w:b/>
          <w:bCs/>
          <w:sz w:val="24"/>
          <w:szCs w:val="24"/>
        </w:rPr>
        <w:t>DOI:</w:t>
      </w:r>
    </w:p>
    <w:p w14:paraId="3D0DCCB7" w14:textId="599985DB" w:rsidR="00D22734" w:rsidRPr="009650AA" w:rsidRDefault="00D22734" w:rsidP="00734803">
      <w:pPr>
        <w:jc w:val="both"/>
        <w:rPr>
          <w:rFonts w:ascii="Times New Roman" w:hAnsi="Times New Roman" w:cs="Times New Roman"/>
          <w:sz w:val="24"/>
          <w:szCs w:val="24"/>
        </w:rPr>
      </w:pPr>
      <w:hyperlink r:id="rId5" w:tgtFrame="_blank" w:tooltip="Persistent link using digital object identifier" w:history="1">
        <w:r w:rsidRPr="009650AA">
          <w:rPr>
            <w:rStyle w:val="Hyperlink"/>
            <w:rFonts w:ascii="Times New Roman" w:hAnsi="Times New Roman" w:cs="Times New Roman"/>
            <w:sz w:val="24"/>
            <w:szCs w:val="24"/>
            <w:u w:val="none"/>
          </w:rPr>
          <w:t>https://doi.org/10.1016/j.energy.2024.133202</w:t>
        </w:r>
      </w:hyperlink>
    </w:p>
    <w:p w14:paraId="2EDB651B" w14:textId="47C2FFE8" w:rsidR="00A50000" w:rsidRPr="009650AA" w:rsidRDefault="00A50000" w:rsidP="00EF1C9E">
      <w:pPr>
        <w:jc w:val="both"/>
        <w:rPr>
          <w:rFonts w:ascii="Times New Roman" w:hAnsi="Times New Roman" w:cs="Times New Roman"/>
          <w:sz w:val="24"/>
          <w:szCs w:val="24"/>
        </w:rPr>
      </w:pPr>
    </w:p>
    <w:sectPr w:rsidR="00A50000" w:rsidRPr="009650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203F90"/>
    <w:rsid w:val="0044482B"/>
    <w:rsid w:val="005049C1"/>
    <w:rsid w:val="005533FA"/>
    <w:rsid w:val="005B71EB"/>
    <w:rsid w:val="00734803"/>
    <w:rsid w:val="009650AA"/>
    <w:rsid w:val="00A50000"/>
    <w:rsid w:val="00A52F33"/>
    <w:rsid w:val="00AD2293"/>
    <w:rsid w:val="00BA1D1E"/>
    <w:rsid w:val="00CB3937"/>
    <w:rsid w:val="00D01AB6"/>
    <w:rsid w:val="00D22734"/>
    <w:rsid w:val="00D26E3D"/>
    <w:rsid w:val="00E36692"/>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energy.2024.133202" TargetMode="External"/><Relationship Id="rId4" Type="http://schemas.openxmlformats.org/officeDocument/2006/relationships/hyperlink" Target="https://www.sciencedirect.com/science/article/abs/pii/S03605442240297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321</Words>
  <Characters>1836</Characters>
  <Application>Microsoft Office Word</Application>
  <DocSecurity>0</DocSecurity>
  <Lines>15</Lines>
  <Paragraphs>4</Paragraphs>
  <ScaleCrop>false</ScaleCrop>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9</cp:revision>
  <dcterms:created xsi:type="dcterms:W3CDTF">2025-04-05T08:09:00Z</dcterms:created>
  <dcterms:modified xsi:type="dcterms:W3CDTF">2025-06-02T09:07:00Z</dcterms:modified>
</cp:coreProperties>
</file>