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4E892A1A" w:rsidR="00734803" w:rsidRDefault="003E2FC5" w:rsidP="003E2FC5">
      <w:pPr>
        <w:rPr>
          <w:rFonts w:ascii="Times New Roman" w:hAnsi="Times New Roman" w:cs="Times New Roman"/>
          <w:sz w:val="40"/>
          <w:szCs w:val="40"/>
        </w:rPr>
      </w:pPr>
      <w:r w:rsidRPr="003E2FC5">
        <w:rPr>
          <w:rFonts w:ascii="Times New Roman" w:hAnsi="Times New Roman" w:cs="Times New Roman"/>
          <w:sz w:val="40"/>
          <w:szCs w:val="40"/>
        </w:rPr>
        <w:t xml:space="preserve">Antibiotic Use in Tertiary Care Hospitals in Bangladesh: Revealing the Extent Through a Point Prevalence Survey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73BDB796" w:rsidR="00734803" w:rsidRPr="00395202" w:rsidRDefault="00734803" w:rsidP="00395202">
      <w:pPr>
        <w:jc w:val="both"/>
        <w:rPr>
          <w:rFonts w:ascii="Times New Roman" w:hAnsi="Times New Roman" w:cs="Times New Roman"/>
          <w:color w:val="004E9A"/>
          <w:sz w:val="24"/>
          <w:szCs w:val="24"/>
        </w:rPr>
      </w:pPr>
      <w:r w:rsidRPr="00395202">
        <w:rPr>
          <w:rFonts w:ascii="Times New Roman" w:hAnsi="Times New Roman" w:cs="Times New Roman"/>
          <w:b/>
          <w:bCs/>
          <w:sz w:val="24"/>
          <w:szCs w:val="24"/>
        </w:rPr>
        <w:t xml:space="preserve">Author: </w:t>
      </w:r>
      <w:r w:rsidRPr="00395202">
        <w:rPr>
          <w:rFonts w:ascii="Times New Roman" w:hAnsi="Times New Roman" w:cs="Times New Roman"/>
          <w:sz w:val="24"/>
          <w:szCs w:val="24"/>
        </w:rPr>
        <w:t xml:space="preserve"> </w:t>
      </w:r>
      <w:proofErr w:type="spellStart"/>
      <w:r w:rsidR="003E2FC5" w:rsidRPr="00395202">
        <w:rPr>
          <w:rFonts w:ascii="Times New Roman" w:hAnsi="Times New Roman" w:cs="Times New Roman"/>
          <w:color w:val="004E9A"/>
          <w:sz w:val="24"/>
          <w:szCs w:val="24"/>
        </w:rPr>
        <w:t>Shariful</w:t>
      </w:r>
      <w:proofErr w:type="spellEnd"/>
      <w:r w:rsidR="003E2FC5" w:rsidRPr="00395202">
        <w:rPr>
          <w:rFonts w:ascii="Times New Roman" w:hAnsi="Times New Roman" w:cs="Times New Roman"/>
          <w:color w:val="004E9A"/>
          <w:sz w:val="24"/>
          <w:szCs w:val="24"/>
        </w:rPr>
        <w:t xml:space="preserve"> Amin Sumon, Supta Sarker, A.B.M. Alauddin Chowdhury, Syed Abul Hassan Md. Abdullah, Md. Shahjahan, Sabrina Sharmin, Md. Golam </w:t>
      </w:r>
      <w:proofErr w:type="spellStart"/>
      <w:r w:rsidR="003E2FC5" w:rsidRPr="00395202">
        <w:rPr>
          <w:rFonts w:ascii="Times New Roman" w:hAnsi="Times New Roman" w:cs="Times New Roman"/>
          <w:color w:val="004E9A"/>
          <w:sz w:val="24"/>
          <w:szCs w:val="24"/>
        </w:rPr>
        <w:t>Dostogir</w:t>
      </w:r>
      <w:proofErr w:type="spellEnd"/>
      <w:r w:rsidR="003E2FC5" w:rsidRPr="00395202">
        <w:rPr>
          <w:rFonts w:ascii="Times New Roman" w:hAnsi="Times New Roman" w:cs="Times New Roman"/>
          <w:color w:val="004E9A"/>
          <w:sz w:val="24"/>
          <w:szCs w:val="24"/>
        </w:rPr>
        <w:t> Harun</w:t>
      </w:r>
    </w:p>
    <w:p w14:paraId="3EDAC744" w14:textId="77777777" w:rsidR="00734803" w:rsidRPr="00395202" w:rsidRDefault="00734803" w:rsidP="00395202">
      <w:pPr>
        <w:jc w:val="both"/>
        <w:rPr>
          <w:rFonts w:ascii="Times New Roman" w:hAnsi="Times New Roman" w:cs="Times New Roman"/>
          <w:sz w:val="24"/>
          <w:szCs w:val="24"/>
        </w:rPr>
      </w:pPr>
    </w:p>
    <w:p w14:paraId="6A1B47AE" w14:textId="326394E0" w:rsidR="00734803" w:rsidRPr="00395202" w:rsidRDefault="00734803" w:rsidP="00395202">
      <w:pPr>
        <w:jc w:val="both"/>
        <w:rPr>
          <w:rFonts w:ascii="Times New Roman" w:hAnsi="Times New Roman" w:cs="Times New Roman"/>
          <w:b/>
          <w:bCs/>
          <w:sz w:val="24"/>
          <w:szCs w:val="24"/>
        </w:rPr>
      </w:pPr>
      <w:r w:rsidRPr="00395202">
        <w:rPr>
          <w:rFonts w:ascii="Times New Roman" w:hAnsi="Times New Roman" w:cs="Times New Roman"/>
          <w:b/>
          <w:bCs/>
          <w:sz w:val="24"/>
          <w:szCs w:val="24"/>
        </w:rPr>
        <w:t xml:space="preserve">Abstract: </w:t>
      </w:r>
    </w:p>
    <w:p w14:paraId="4DC96B47"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r w:rsidRPr="00395202">
        <w:rPr>
          <w:rFonts w:ascii="Times New Roman" w:eastAsia="Times New Roman" w:hAnsi="Times New Roman" w:cs="Times New Roman"/>
          <w:color w:val="222222"/>
          <w:sz w:val="24"/>
          <w:szCs w:val="24"/>
        </w:rPr>
        <w:t>"Background</w:t>
      </w:r>
    </w:p>
    <w:p w14:paraId="432565B3"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r w:rsidRPr="00395202">
        <w:rPr>
          <w:rFonts w:ascii="Times New Roman" w:eastAsia="Times New Roman" w:hAnsi="Times New Roman" w:cs="Times New Roman"/>
          <w:color w:val="222222"/>
          <w:sz w:val="24"/>
          <w:szCs w:val="24"/>
        </w:rPr>
        <w:t>Prevalent use of antibiotics in hospitals results in antimicrobial resistance (AMR), rising mortality, and substantial financial burden. This study assessed the current pattern of antibiotic use among inpatients in tertiary hospitals in Bangladesh.</w:t>
      </w:r>
    </w:p>
    <w:p w14:paraId="0CBB54E1"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p>
    <w:p w14:paraId="09B3EED8"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r w:rsidRPr="00395202">
        <w:rPr>
          <w:rFonts w:ascii="Times New Roman" w:eastAsia="Times New Roman" w:hAnsi="Times New Roman" w:cs="Times New Roman"/>
          <w:color w:val="222222"/>
          <w:sz w:val="24"/>
          <w:szCs w:val="24"/>
        </w:rPr>
        <w:t>Methods</w:t>
      </w:r>
    </w:p>
    <w:p w14:paraId="56DE834C"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r w:rsidRPr="00395202">
        <w:rPr>
          <w:rFonts w:ascii="Times New Roman" w:eastAsia="Times New Roman" w:hAnsi="Times New Roman" w:cs="Times New Roman"/>
          <w:color w:val="222222"/>
          <w:sz w:val="24"/>
          <w:szCs w:val="24"/>
        </w:rPr>
        <w:t>Between August and November 2022, we conducted a point prevalence survey in 4 tertiary hospitals in Dhaka, Bangladesh. The World Health Organization-directed point prevalence survey methodology and tools were followed for the data collection. Descriptive and multivariate statistics were performed using Stata version 15.</w:t>
      </w:r>
    </w:p>
    <w:p w14:paraId="315FE89B"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p>
    <w:p w14:paraId="476B4EA9"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r w:rsidRPr="00395202">
        <w:rPr>
          <w:rFonts w:ascii="Times New Roman" w:eastAsia="Times New Roman" w:hAnsi="Times New Roman" w:cs="Times New Roman"/>
          <w:color w:val="222222"/>
          <w:sz w:val="24"/>
          <w:szCs w:val="24"/>
        </w:rPr>
        <w:t>Results</w:t>
      </w:r>
    </w:p>
    <w:p w14:paraId="7AB586C0"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r w:rsidRPr="00395202">
        <w:rPr>
          <w:rFonts w:ascii="Times New Roman" w:eastAsia="Times New Roman" w:hAnsi="Times New Roman" w:cs="Times New Roman"/>
          <w:color w:val="222222"/>
          <w:sz w:val="24"/>
          <w:szCs w:val="24"/>
        </w:rPr>
        <w:t>Of 1,063 hospitalized patients, antibiotics were prescribed to 73.5% (781/1063, 95% confidence interval: 70.8-76.1) of patients. A total of 1,164 antibiotics were prescribed, and 49.1% of patients consumed multiple antibiotics. Only 31.4% of patients were prescribed antibiotics based on microbiology results. The reasons for antibiotic prescribing were mentioned only in 19.3% of patients. Infants (adjusted odds ratio: 8.52, P-value: &lt;.001) and neonates (adjusted odds ratio: 4.32, P-value: &lt;.001) were more likely to consume antibiotics compared to adults. Cephalosporins accounted for the majority (54.0%) of antibiotics used in hospitals. None of the hospitals had any antibiotic use guidelines.</w:t>
      </w:r>
    </w:p>
    <w:p w14:paraId="20FF8065"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p>
    <w:p w14:paraId="04ED53EC"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r w:rsidRPr="00395202">
        <w:rPr>
          <w:rFonts w:ascii="Times New Roman" w:eastAsia="Times New Roman" w:hAnsi="Times New Roman" w:cs="Times New Roman"/>
          <w:color w:val="222222"/>
          <w:sz w:val="24"/>
          <w:szCs w:val="24"/>
        </w:rPr>
        <w:t>Conclusions</w:t>
      </w:r>
    </w:p>
    <w:p w14:paraId="1FB9452D" w14:textId="77777777" w:rsidR="00395202" w:rsidRPr="00395202" w:rsidRDefault="00395202" w:rsidP="00395202">
      <w:pPr>
        <w:spacing w:after="75" w:line="240" w:lineRule="auto"/>
        <w:jc w:val="both"/>
        <w:rPr>
          <w:rFonts w:ascii="Times New Roman" w:eastAsia="Times New Roman" w:hAnsi="Times New Roman" w:cs="Times New Roman"/>
          <w:color w:val="222222"/>
          <w:sz w:val="24"/>
          <w:szCs w:val="24"/>
        </w:rPr>
      </w:pPr>
      <w:r w:rsidRPr="00395202">
        <w:rPr>
          <w:rFonts w:ascii="Times New Roman" w:eastAsia="Times New Roman" w:hAnsi="Times New Roman" w:cs="Times New Roman"/>
          <w:color w:val="222222"/>
          <w:sz w:val="24"/>
          <w:szCs w:val="24"/>
        </w:rPr>
        <w:t>Consumption of Watch group antibiotics empirically among all age groups demonstrates irrational antibiotic usage in Bangladeshi hospitals. Implementation of a tailored stewardship program, antibiotic use guidelines, and prescriber-patient awareness could improve the rational use of antibiotics."</w:t>
      </w:r>
    </w:p>
    <w:p w14:paraId="66F589CD" w14:textId="21F786C0" w:rsidR="00734803" w:rsidRPr="00395202" w:rsidRDefault="00734803" w:rsidP="00395202">
      <w:pPr>
        <w:spacing w:after="75" w:line="240" w:lineRule="auto"/>
        <w:jc w:val="both"/>
        <w:rPr>
          <w:rFonts w:ascii="Times New Roman" w:hAnsi="Times New Roman" w:cs="Times New Roman"/>
          <w:b/>
          <w:bCs/>
          <w:sz w:val="24"/>
          <w:szCs w:val="24"/>
        </w:rPr>
      </w:pPr>
      <w:r w:rsidRPr="00395202">
        <w:rPr>
          <w:rFonts w:ascii="Times New Roman" w:eastAsia="Times New Roman" w:hAnsi="Times New Roman" w:cs="Times New Roman"/>
          <w:color w:val="222222"/>
          <w:sz w:val="24"/>
          <w:szCs w:val="24"/>
        </w:rPr>
        <w:br/>
        <w:t xml:space="preserve"> </w:t>
      </w:r>
      <w:r w:rsidRPr="00395202">
        <w:rPr>
          <w:rFonts w:ascii="Times New Roman" w:hAnsi="Times New Roman" w:cs="Times New Roman"/>
          <w:b/>
          <w:bCs/>
          <w:sz w:val="24"/>
          <w:szCs w:val="24"/>
        </w:rPr>
        <w:t>Conference / Journal Link:</w:t>
      </w:r>
    </w:p>
    <w:bookmarkStart w:id="0" w:name="cj_link"/>
    <w:p w14:paraId="74B46EE9" w14:textId="36DE1C7B" w:rsidR="00734803" w:rsidRPr="00395202" w:rsidRDefault="00734803" w:rsidP="00395202">
      <w:pPr>
        <w:jc w:val="both"/>
        <w:rPr>
          <w:rFonts w:ascii="Times New Roman" w:hAnsi="Times New Roman" w:cs="Times New Roman"/>
          <w:sz w:val="24"/>
          <w:szCs w:val="24"/>
        </w:rPr>
      </w:pPr>
      <w:r w:rsidRPr="00395202">
        <w:rPr>
          <w:rFonts w:ascii="Times New Roman" w:hAnsi="Times New Roman" w:cs="Times New Roman"/>
          <w:sz w:val="24"/>
          <w:szCs w:val="24"/>
        </w:rPr>
        <w:fldChar w:fldCharType="begin"/>
      </w:r>
      <w:r w:rsidRPr="00395202">
        <w:rPr>
          <w:rFonts w:ascii="Times New Roman" w:hAnsi="Times New Roman" w:cs="Times New Roman"/>
          <w:sz w:val="24"/>
          <w:szCs w:val="24"/>
        </w:rPr>
        <w:instrText>HYPERLINK "https://link.springer.com/article/10.1007/s10772-024-10151-3" \t "_blank"</w:instrText>
      </w:r>
      <w:r w:rsidRPr="00395202">
        <w:rPr>
          <w:rFonts w:ascii="Times New Roman" w:hAnsi="Times New Roman" w:cs="Times New Roman"/>
          <w:sz w:val="24"/>
          <w:szCs w:val="24"/>
        </w:rPr>
      </w:r>
      <w:r w:rsidRPr="00395202">
        <w:rPr>
          <w:rFonts w:ascii="Times New Roman" w:hAnsi="Times New Roman" w:cs="Times New Roman"/>
          <w:sz w:val="24"/>
          <w:szCs w:val="24"/>
        </w:rPr>
        <w:fldChar w:fldCharType="separate"/>
      </w:r>
      <w:r w:rsidRPr="00395202">
        <w:rPr>
          <w:rFonts w:ascii="Times New Roman" w:hAnsi="Times New Roman" w:cs="Times New Roman"/>
          <w:sz w:val="24"/>
          <w:szCs w:val="24"/>
        </w:rPr>
        <w:fldChar w:fldCharType="end"/>
      </w:r>
      <w:bookmarkEnd w:id="0"/>
      <w:r w:rsidRPr="00395202">
        <w:rPr>
          <w:rFonts w:ascii="Times New Roman" w:hAnsi="Times New Roman" w:cs="Times New Roman"/>
          <w:sz w:val="24"/>
          <w:szCs w:val="24"/>
        </w:rPr>
        <w:t xml:space="preserve"> </w:t>
      </w:r>
    </w:p>
    <w:p w14:paraId="2EDBD729" w14:textId="77777777" w:rsidR="00395202" w:rsidRPr="00395202" w:rsidRDefault="00395202" w:rsidP="00395202">
      <w:pPr>
        <w:spacing w:before="150"/>
        <w:jc w:val="both"/>
        <w:rPr>
          <w:rFonts w:ascii="Times New Roman" w:hAnsi="Times New Roman" w:cs="Times New Roman"/>
          <w:color w:val="004E9A"/>
          <w:sz w:val="24"/>
          <w:szCs w:val="24"/>
        </w:rPr>
      </w:pPr>
      <w:hyperlink r:id="rId4" w:tgtFrame="_blank" w:history="1">
        <w:r w:rsidRPr="00395202">
          <w:rPr>
            <w:rFonts w:ascii="Times New Roman" w:hAnsi="Times New Roman" w:cs="Times New Roman"/>
            <w:color w:val="004E9A"/>
            <w:sz w:val="24"/>
            <w:szCs w:val="24"/>
          </w:rPr>
          <w:br/>
        </w:r>
        <w:r w:rsidRPr="00395202">
          <w:rPr>
            <w:rStyle w:val="Hyperlink"/>
            <w:rFonts w:ascii="Times New Roman" w:hAnsi="Times New Roman" w:cs="Times New Roman"/>
            <w:color w:val="004E9A"/>
            <w:sz w:val="24"/>
            <w:szCs w:val="24"/>
            <w:u w:val="none"/>
          </w:rPr>
          <w:t>https://www.sciencedirect.com/science/article/abs/pii/S0196655324005054</w:t>
        </w:r>
      </w:hyperlink>
    </w:p>
    <w:p w14:paraId="490FE0FF" w14:textId="77777777" w:rsidR="00734803" w:rsidRPr="00395202" w:rsidRDefault="00734803" w:rsidP="00395202">
      <w:pPr>
        <w:jc w:val="both"/>
        <w:rPr>
          <w:rFonts w:ascii="Times New Roman" w:hAnsi="Times New Roman" w:cs="Times New Roman"/>
          <w:b/>
          <w:bCs/>
          <w:sz w:val="24"/>
          <w:szCs w:val="24"/>
        </w:rPr>
      </w:pPr>
    </w:p>
    <w:p w14:paraId="01377653" w14:textId="77777777" w:rsidR="00734803" w:rsidRPr="00395202" w:rsidRDefault="00734803" w:rsidP="00395202">
      <w:pPr>
        <w:jc w:val="both"/>
        <w:rPr>
          <w:rFonts w:ascii="Times New Roman" w:hAnsi="Times New Roman" w:cs="Times New Roman"/>
          <w:b/>
          <w:bCs/>
          <w:sz w:val="24"/>
          <w:szCs w:val="24"/>
        </w:rPr>
      </w:pPr>
      <w:r w:rsidRPr="00395202">
        <w:rPr>
          <w:rFonts w:ascii="Times New Roman" w:hAnsi="Times New Roman" w:cs="Times New Roman"/>
          <w:b/>
          <w:bCs/>
          <w:sz w:val="24"/>
          <w:szCs w:val="24"/>
        </w:rPr>
        <w:t>DOI:</w:t>
      </w:r>
    </w:p>
    <w:p w14:paraId="2EDB651B" w14:textId="29F7822D" w:rsidR="00A50000" w:rsidRPr="00395202" w:rsidRDefault="00395202" w:rsidP="00395202">
      <w:pPr>
        <w:jc w:val="both"/>
        <w:rPr>
          <w:rFonts w:ascii="Times New Roman" w:hAnsi="Times New Roman" w:cs="Times New Roman"/>
          <w:sz w:val="24"/>
          <w:szCs w:val="24"/>
        </w:rPr>
      </w:pPr>
      <w:hyperlink r:id="rId5" w:tgtFrame="_blank" w:tooltip="Persistent link using digital object identifier" w:history="1">
        <w:r w:rsidRPr="00395202">
          <w:rPr>
            <w:rStyle w:val="Hyperlink"/>
            <w:rFonts w:ascii="Times New Roman" w:hAnsi="Times New Roman" w:cs="Times New Roman"/>
            <w:sz w:val="24"/>
            <w:szCs w:val="24"/>
            <w:u w:val="none"/>
          </w:rPr>
          <w:t>https://doi.org/10.1016/j.ajic.2024.05.013</w:t>
        </w:r>
      </w:hyperlink>
    </w:p>
    <w:sectPr w:rsidR="00A50000" w:rsidRPr="00395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395202"/>
    <w:rsid w:val="003C1BC7"/>
    <w:rsid w:val="003D6DE4"/>
    <w:rsid w:val="003E2FC5"/>
    <w:rsid w:val="00517FC7"/>
    <w:rsid w:val="005533FA"/>
    <w:rsid w:val="00592CEC"/>
    <w:rsid w:val="005B71EB"/>
    <w:rsid w:val="006259CA"/>
    <w:rsid w:val="00734803"/>
    <w:rsid w:val="00821417"/>
    <w:rsid w:val="0092191A"/>
    <w:rsid w:val="00A50000"/>
    <w:rsid w:val="00A52F33"/>
    <w:rsid w:val="00AB021F"/>
    <w:rsid w:val="00AB3D55"/>
    <w:rsid w:val="00AD2293"/>
    <w:rsid w:val="00BA1D1E"/>
    <w:rsid w:val="00C22DEA"/>
    <w:rsid w:val="00CB3937"/>
    <w:rsid w:val="00D01AB6"/>
    <w:rsid w:val="00D26E3D"/>
    <w:rsid w:val="00DC617C"/>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970903">
      <w:bodyDiv w:val="1"/>
      <w:marLeft w:val="0"/>
      <w:marRight w:val="0"/>
      <w:marTop w:val="0"/>
      <w:marBottom w:val="0"/>
      <w:divBdr>
        <w:top w:val="none" w:sz="0" w:space="0" w:color="auto"/>
        <w:left w:val="none" w:sz="0" w:space="0" w:color="auto"/>
        <w:bottom w:val="none" w:sz="0" w:space="0" w:color="auto"/>
        <w:right w:val="none" w:sz="0" w:space="0" w:color="auto"/>
      </w:divBdr>
    </w:div>
    <w:div w:id="638341498">
      <w:bodyDiv w:val="1"/>
      <w:marLeft w:val="0"/>
      <w:marRight w:val="0"/>
      <w:marTop w:val="0"/>
      <w:marBottom w:val="0"/>
      <w:divBdr>
        <w:top w:val="none" w:sz="0" w:space="0" w:color="auto"/>
        <w:left w:val="none" w:sz="0" w:space="0" w:color="auto"/>
        <w:bottom w:val="none" w:sz="0" w:space="0" w:color="auto"/>
        <w:right w:val="none" w:sz="0" w:space="0" w:color="auto"/>
      </w:divBdr>
    </w:div>
    <w:div w:id="172355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ajic.2024.05.013" TargetMode="External"/><Relationship Id="rId4" Type="http://schemas.openxmlformats.org/officeDocument/2006/relationships/hyperlink" Target="https://www.sciencedirect.com/science/article/abs/pii/S01966553240050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8</cp:revision>
  <dcterms:created xsi:type="dcterms:W3CDTF">2025-07-26T03:51:00Z</dcterms:created>
  <dcterms:modified xsi:type="dcterms:W3CDTF">2025-07-26T04:02:00Z</dcterms:modified>
</cp:coreProperties>
</file>