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9E322" w14:textId="735C8670" w:rsidR="00734803" w:rsidRDefault="009269F0" w:rsidP="009269F0">
      <w:pPr>
        <w:rPr>
          <w:rFonts w:ascii="Times New Roman" w:hAnsi="Times New Roman" w:cs="Times New Roman"/>
          <w:sz w:val="40"/>
          <w:szCs w:val="40"/>
        </w:rPr>
      </w:pPr>
      <w:r w:rsidRPr="009269F0">
        <w:rPr>
          <w:rFonts w:ascii="Times New Roman" w:hAnsi="Times New Roman" w:cs="Times New Roman"/>
          <w:sz w:val="40"/>
          <w:szCs w:val="40"/>
        </w:rPr>
        <w:t>Thermoluminescence Dosimetry and Microstructural Characteristics of Gamma-irradiated Natural Flake Graphite</w:t>
      </w:r>
      <w:r w:rsidR="00734803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7F6720D5" w14:textId="77777777" w:rsidR="00734803" w:rsidRDefault="00734803" w:rsidP="00734803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1D64CB5F" w14:textId="23836430" w:rsidR="00734803" w:rsidRPr="00647A1C" w:rsidRDefault="00734803" w:rsidP="00734803">
      <w:pPr>
        <w:jc w:val="both"/>
        <w:rPr>
          <w:rFonts w:ascii="Times New Roman" w:hAnsi="Times New Roman" w:cs="Times New Roman"/>
          <w:color w:val="004E9A"/>
          <w:sz w:val="24"/>
          <w:szCs w:val="24"/>
        </w:rPr>
      </w:pPr>
      <w:r w:rsidRPr="00647A1C">
        <w:rPr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Pr="00647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9F0" w:rsidRPr="00647A1C">
        <w:rPr>
          <w:rFonts w:ascii="Times New Roman" w:hAnsi="Times New Roman" w:cs="Times New Roman"/>
          <w:color w:val="004E9A"/>
          <w:sz w:val="24"/>
          <w:szCs w:val="24"/>
        </w:rPr>
        <w:t>Mayeen</w:t>
      </w:r>
      <w:proofErr w:type="spellEnd"/>
      <w:r w:rsidR="009269F0" w:rsidRPr="00647A1C">
        <w:rPr>
          <w:rFonts w:ascii="Times New Roman" w:hAnsi="Times New Roman" w:cs="Times New Roman"/>
          <w:color w:val="004E9A"/>
          <w:sz w:val="24"/>
          <w:szCs w:val="24"/>
        </w:rPr>
        <w:t xml:space="preserve"> Uddin Khandake</w:t>
      </w:r>
      <w:r w:rsidR="009269F0" w:rsidRPr="00647A1C">
        <w:rPr>
          <w:rFonts w:ascii="Times New Roman" w:hAnsi="Times New Roman" w:cs="Times New Roman"/>
          <w:color w:val="004E9A"/>
          <w:sz w:val="24"/>
          <w:szCs w:val="24"/>
        </w:rPr>
        <w:t>r</w:t>
      </w:r>
      <w:r w:rsidR="009269F0" w:rsidRPr="00647A1C">
        <w:rPr>
          <w:rFonts w:ascii="Times New Roman" w:hAnsi="Times New Roman" w:cs="Times New Roman"/>
          <w:color w:val="004E9A"/>
          <w:sz w:val="24"/>
          <w:szCs w:val="24"/>
        </w:rPr>
        <w:t xml:space="preserve">, Siok Ee Lam, Amirul Najman Ariff Bin Md Daud, Siti </w:t>
      </w:r>
      <w:proofErr w:type="spellStart"/>
      <w:r w:rsidR="009269F0" w:rsidRPr="00647A1C">
        <w:rPr>
          <w:rFonts w:ascii="Times New Roman" w:hAnsi="Times New Roman" w:cs="Times New Roman"/>
          <w:color w:val="004E9A"/>
          <w:sz w:val="24"/>
          <w:szCs w:val="24"/>
        </w:rPr>
        <w:t>Fairus</w:t>
      </w:r>
      <w:proofErr w:type="spellEnd"/>
      <w:r w:rsidR="009269F0" w:rsidRPr="00647A1C">
        <w:rPr>
          <w:rFonts w:ascii="Times New Roman" w:hAnsi="Times New Roman" w:cs="Times New Roman"/>
          <w:color w:val="004E9A"/>
          <w:sz w:val="24"/>
          <w:szCs w:val="24"/>
        </w:rPr>
        <w:t xml:space="preserve"> Abdul Sani, David Andrew Bradley, Khalid S. </w:t>
      </w:r>
      <w:proofErr w:type="spellStart"/>
      <w:proofErr w:type="gramStart"/>
      <w:r w:rsidR="009269F0" w:rsidRPr="00647A1C">
        <w:rPr>
          <w:rFonts w:ascii="Times New Roman" w:hAnsi="Times New Roman" w:cs="Times New Roman"/>
          <w:color w:val="004E9A"/>
          <w:sz w:val="24"/>
          <w:szCs w:val="24"/>
        </w:rPr>
        <w:t>Alzimami</w:t>
      </w:r>
      <w:proofErr w:type="spellEnd"/>
      <w:r w:rsidR="009269F0" w:rsidRPr="00647A1C">
        <w:rPr>
          <w:rFonts w:ascii="Times New Roman" w:hAnsi="Times New Roman" w:cs="Times New Roman"/>
          <w:color w:val="004E9A"/>
          <w:sz w:val="24"/>
          <w:szCs w:val="24"/>
        </w:rPr>
        <w:t>,  Huda</w:t>
      </w:r>
      <w:proofErr w:type="gramEnd"/>
      <w:r w:rsidR="009269F0" w:rsidRPr="00647A1C">
        <w:rPr>
          <w:rFonts w:ascii="Times New Roman" w:hAnsi="Times New Roman" w:cs="Times New Roman"/>
          <w:color w:val="004E9A"/>
          <w:sz w:val="24"/>
          <w:szCs w:val="24"/>
        </w:rPr>
        <w:t xml:space="preserve"> I. </w:t>
      </w:r>
      <w:proofErr w:type="spellStart"/>
      <w:proofErr w:type="gramStart"/>
      <w:r w:rsidR="009269F0" w:rsidRPr="00647A1C">
        <w:rPr>
          <w:rFonts w:ascii="Times New Roman" w:hAnsi="Times New Roman" w:cs="Times New Roman"/>
          <w:color w:val="004E9A"/>
          <w:sz w:val="24"/>
          <w:szCs w:val="24"/>
        </w:rPr>
        <w:t>Almohammed</w:t>
      </w:r>
      <w:proofErr w:type="spellEnd"/>
      <w:r w:rsidR="009269F0" w:rsidRPr="00647A1C">
        <w:rPr>
          <w:rFonts w:ascii="Times New Roman" w:hAnsi="Times New Roman" w:cs="Times New Roman"/>
          <w:color w:val="004E9A"/>
          <w:sz w:val="24"/>
          <w:szCs w:val="24"/>
        </w:rPr>
        <w:t>,  Zuhal</w:t>
      </w:r>
      <w:proofErr w:type="gramEnd"/>
      <w:r w:rsidR="009269F0" w:rsidRPr="00647A1C">
        <w:rPr>
          <w:rFonts w:ascii="Times New Roman" w:hAnsi="Times New Roman" w:cs="Times New Roman"/>
          <w:color w:val="004E9A"/>
          <w:sz w:val="24"/>
          <w:szCs w:val="24"/>
        </w:rPr>
        <w:t xml:space="preserve"> Y. </w:t>
      </w:r>
      <w:proofErr w:type="gramStart"/>
      <w:r w:rsidR="009269F0" w:rsidRPr="00647A1C">
        <w:rPr>
          <w:rFonts w:ascii="Times New Roman" w:hAnsi="Times New Roman" w:cs="Times New Roman"/>
          <w:color w:val="004E9A"/>
          <w:sz w:val="24"/>
          <w:szCs w:val="24"/>
        </w:rPr>
        <w:t>Hamd ,</w:t>
      </w:r>
      <w:proofErr w:type="gramEnd"/>
      <w:r w:rsidR="009269F0" w:rsidRPr="00647A1C">
        <w:rPr>
          <w:rFonts w:ascii="Times New Roman" w:hAnsi="Times New Roman" w:cs="Times New Roman"/>
          <w:color w:val="004E9A"/>
          <w:sz w:val="24"/>
          <w:szCs w:val="24"/>
        </w:rPr>
        <w:t xml:space="preserve"> Hamid Osman</w:t>
      </w:r>
    </w:p>
    <w:p w14:paraId="3EDAC744" w14:textId="77777777" w:rsidR="00734803" w:rsidRPr="00647A1C" w:rsidRDefault="00734803" w:rsidP="007348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1B47AE" w14:textId="326394E0" w:rsidR="00734803" w:rsidRPr="00647A1C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7A1C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2C44D03D" w14:textId="3E629C3E" w:rsidR="00734803" w:rsidRPr="00647A1C" w:rsidRDefault="00647A1C" w:rsidP="00734803">
      <w:pPr>
        <w:spacing w:after="75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7A1C">
        <w:rPr>
          <w:rFonts w:ascii="Times New Roman" w:eastAsia="Times New Roman" w:hAnsi="Times New Roman" w:cs="Times New Roman"/>
          <w:color w:val="222222"/>
          <w:sz w:val="24"/>
          <w:szCs w:val="24"/>
        </w:rPr>
        <w:t>Thermoluminescence (TL) and microstructural analysis were conducted on natural flake graphite (NFG) to assess its suitability for radiotherapeutic x-ray dose measurements. The investigations encompassed the examination of TL glow curves, linearity, sensitivity, signal decay, and repeatability. NFG samples were exposed to 60Co gamma radiation doses ranging from 2 Gy to 20 Gy. The microstructure of the irradiated NFG was probed using a 532 nm laser Raman spectrometer. Promisingly, the NFG exhibited remarkable characteristics, including a moderately higher response to dose (R2 of about 96%), increased sensitivity at lower doses, and good repeatability (</w:t>
      </w:r>
      <w:r w:rsidRPr="00647A1C">
        <w:rPr>
          <w:rFonts w:ascii="Cambria Math" w:eastAsia="Times New Roman" w:hAnsi="Cambria Math" w:cs="Cambria Math"/>
          <w:color w:val="222222"/>
          <w:sz w:val="24"/>
          <w:szCs w:val="24"/>
        </w:rPr>
        <w:t>∼</w:t>
      </w:r>
      <w:r w:rsidRPr="00647A1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4%). Nevertheless, its fading rate reached about 80% after 14 days of irradiation. Additionally, the NFG intensity ratios of defect (D) to graphite (G), denoted as ID/IG, closely mirrored the oscillatory pattern observed in 50 </w:t>
      </w:r>
      <w:proofErr w:type="spellStart"/>
      <w:r w:rsidRPr="00647A1C">
        <w:rPr>
          <w:rFonts w:ascii="Times New Roman" w:eastAsia="Times New Roman" w:hAnsi="Times New Roman" w:cs="Times New Roman"/>
          <w:color w:val="222222"/>
          <w:sz w:val="24"/>
          <w:szCs w:val="24"/>
        </w:rPr>
        <w:t>μm</w:t>
      </w:r>
      <w:proofErr w:type="spellEnd"/>
      <w:r w:rsidRPr="00647A1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thick graphite sheets and were approximately 1.6 times lower than those of similar graphite sheets with comparable carbon content (about 98% carbon). These findings suggest that NFG holds potential for the development of an affordable, non-hygroscopic, and tissue-equivalent TL dosimeter, with possible applications in the medical field.</w:t>
      </w:r>
      <w:r w:rsidR="00734803" w:rsidRPr="00647A1C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 </w:t>
      </w:r>
    </w:p>
    <w:p w14:paraId="2637A08C" w14:textId="77777777" w:rsidR="00734803" w:rsidRPr="00647A1C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589CD" w14:textId="1D2492C7" w:rsidR="00734803" w:rsidRPr="00647A1C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7A1C">
        <w:rPr>
          <w:rFonts w:ascii="Times New Roman" w:hAnsi="Times New Roman" w:cs="Times New Roman"/>
          <w:b/>
          <w:bCs/>
          <w:sz w:val="24"/>
          <w:szCs w:val="24"/>
        </w:rPr>
        <w:t>Conference / Journal Link:</w:t>
      </w:r>
    </w:p>
    <w:bookmarkStart w:id="0" w:name="cj_link"/>
    <w:p w14:paraId="74B46EE9" w14:textId="6BA2FBA9" w:rsidR="00734803" w:rsidRPr="00647A1C" w:rsidRDefault="00647A1C" w:rsidP="00734803">
      <w:pPr>
        <w:jc w:val="both"/>
        <w:rPr>
          <w:rFonts w:ascii="Times New Roman" w:hAnsi="Times New Roman" w:cs="Times New Roman"/>
          <w:sz w:val="24"/>
          <w:szCs w:val="24"/>
        </w:rPr>
      </w:pPr>
      <w:r w:rsidRPr="00647A1C">
        <w:rPr>
          <w:rFonts w:ascii="Times New Roman" w:hAnsi="Times New Roman" w:cs="Times New Roman"/>
          <w:sz w:val="24"/>
          <w:szCs w:val="24"/>
        </w:rPr>
        <w:fldChar w:fldCharType="begin"/>
      </w:r>
      <w:r w:rsidRPr="00647A1C">
        <w:rPr>
          <w:rFonts w:ascii="Times New Roman" w:hAnsi="Times New Roman" w:cs="Times New Roman"/>
          <w:sz w:val="24"/>
          <w:szCs w:val="24"/>
        </w:rPr>
        <w:instrText>HYPERLINK "https://www.sciencedirect.com/science/article/abs/pii/S0969806X2400286X" \t "_blank"</w:instrText>
      </w:r>
      <w:r w:rsidRPr="00647A1C">
        <w:rPr>
          <w:rFonts w:ascii="Times New Roman" w:hAnsi="Times New Roman" w:cs="Times New Roman"/>
          <w:sz w:val="24"/>
          <w:szCs w:val="24"/>
        </w:rPr>
      </w:r>
      <w:r w:rsidRPr="00647A1C">
        <w:rPr>
          <w:rFonts w:ascii="Times New Roman" w:hAnsi="Times New Roman" w:cs="Times New Roman"/>
          <w:sz w:val="24"/>
          <w:szCs w:val="24"/>
        </w:rPr>
        <w:fldChar w:fldCharType="separate"/>
      </w:r>
      <w:r w:rsidRPr="00647A1C">
        <w:rPr>
          <w:rStyle w:val="Hyperlink"/>
          <w:rFonts w:ascii="Times New Roman" w:hAnsi="Times New Roman" w:cs="Times New Roman"/>
          <w:sz w:val="24"/>
          <w:szCs w:val="24"/>
          <w:u w:val="none"/>
        </w:rPr>
        <w:t>https://www.sciencedirect.com/science/article/abs/pii/S0969806X2400286X</w:t>
      </w:r>
      <w:r w:rsidRPr="00647A1C">
        <w:rPr>
          <w:rFonts w:ascii="Times New Roman" w:hAnsi="Times New Roman" w:cs="Times New Roman"/>
          <w:sz w:val="24"/>
          <w:szCs w:val="24"/>
        </w:rPr>
        <w:fldChar w:fldCharType="end"/>
      </w:r>
      <w:hyperlink r:id="rId4" w:tgtFrame="_blank" w:history="1"/>
      <w:bookmarkEnd w:id="0"/>
      <w:r w:rsidR="00734803" w:rsidRPr="00647A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0FE0FF" w14:textId="77777777" w:rsidR="00734803" w:rsidRPr="00647A1C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77653" w14:textId="77777777" w:rsidR="00734803" w:rsidRPr="00647A1C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7A1C"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14:paraId="2EDB651B" w14:textId="6E7DEC43" w:rsidR="00A50000" w:rsidRPr="00647A1C" w:rsidRDefault="00647A1C" w:rsidP="00EF1C9E">
      <w:pPr>
        <w:jc w:val="both"/>
        <w:rPr>
          <w:rFonts w:ascii="Times New Roman" w:hAnsi="Times New Roman" w:cs="Times New Roman"/>
          <w:sz w:val="24"/>
          <w:szCs w:val="24"/>
        </w:rPr>
      </w:pPr>
      <w:hyperlink r:id="rId5" w:tgtFrame="_blank" w:tooltip="Persistent link using digital object identifier" w:history="1">
        <w:r w:rsidRPr="00647A1C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https://doi.org/10.1016/j.radphyschem.2024.111794</w:t>
        </w:r>
      </w:hyperlink>
    </w:p>
    <w:sectPr w:rsidR="00A50000" w:rsidRPr="00647A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0"/>
    <w:rsid w:val="000D5DA8"/>
    <w:rsid w:val="000E4499"/>
    <w:rsid w:val="00203F90"/>
    <w:rsid w:val="002509E1"/>
    <w:rsid w:val="002D71A4"/>
    <w:rsid w:val="003C1BC7"/>
    <w:rsid w:val="003D6DE4"/>
    <w:rsid w:val="00517FC7"/>
    <w:rsid w:val="005533FA"/>
    <w:rsid w:val="00592CEC"/>
    <w:rsid w:val="005B71EB"/>
    <w:rsid w:val="006259CA"/>
    <w:rsid w:val="00647A1C"/>
    <w:rsid w:val="006D5304"/>
    <w:rsid w:val="00734803"/>
    <w:rsid w:val="00821417"/>
    <w:rsid w:val="00875F5E"/>
    <w:rsid w:val="0092191A"/>
    <w:rsid w:val="009269F0"/>
    <w:rsid w:val="00A50000"/>
    <w:rsid w:val="00A52F33"/>
    <w:rsid w:val="00AD2293"/>
    <w:rsid w:val="00BA1D1E"/>
    <w:rsid w:val="00CB3937"/>
    <w:rsid w:val="00D01AB6"/>
    <w:rsid w:val="00D26E3D"/>
    <w:rsid w:val="00EF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B4BB"/>
  <w15:chartTrackingRefBased/>
  <w15:docId w15:val="{13CF8766-84D3-4D4D-9322-F68FBC9C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00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16/j.radphyschem.2024.111794" TargetMode="External"/><Relationship Id="rId4" Type="http://schemas.openxmlformats.org/officeDocument/2006/relationships/hyperlink" Target="https://link.springer.com/article/10.1007/s10772-024-10151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3</cp:revision>
  <dcterms:created xsi:type="dcterms:W3CDTF">2025-08-06T04:46:00Z</dcterms:created>
  <dcterms:modified xsi:type="dcterms:W3CDTF">2025-08-06T05:40:00Z</dcterms:modified>
</cp:coreProperties>
</file>