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232A5B48" w:rsidR="00734803" w:rsidRDefault="00B20754" w:rsidP="00B20754">
      <w:pPr>
        <w:rPr>
          <w:rFonts w:ascii="Times New Roman" w:hAnsi="Times New Roman" w:cs="Times New Roman"/>
          <w:sz w:val="40"/>
          <w:szCs w:val="40"/>
        </w:rPr>
      </w:pPr>
      <w:r w:rsidRPr="00B20754">
        <w:rPr>
          <w:rFonts w:ascii="Times New Roman" w:hAnsi="Times New Roman" w:cs="Times New Roman"/>
          <w:sz w:val="40"/>
          <w:szCs w:val="40"/>
        </w:rPr>
        <w:t>Effect of Core–sheath Bi-polymeric Scaffolds Fabricated from Acid-soluble Collagen and Poly</w:t>
      </w:r>
      <w:r>
        <w:rPr>
          <w:rFonts w:ascii="Times New Roman" w:hAnsi="Times New Roman" w:cs="Times New Roman"/>
          <w:sz w:val="40"/>
          <w:szCs w:val="40"/>
        </w:rPr>
        <w:t xml:space="preserve"> </w:t>
      </w:r>
      <w:r w:rsidRPr="00B20754">
        <w:rPr>
          <w:rFonts w:ascii="Times New Roman" w:hAnsi="Times New Roman" w:cs="Times New Roman"/>
          <w:sz w:val="40"/>
          <w:szCs w:val="40"/>
        </w:rPr>
        <w:t>(Lactic Acid) Derivatives on Wound Healing</w:t>
      </w:r>
      <w:r w:rsidR="00734803">
        <w:rPr>
          <w:rFonts w:ascii="Times New Roman" w:hAnsi="Times New Roman" w:cs="Times New Roman"/>
          <w:sz w:val="40"/>
          <w:szCs w:val="40"/>
        </w:rPr>
        <w:t xml:space="preserve"> </w:t>
      </w:r>
    </w:p>
    <w:p w14:paraId="7F6720D5" w14:textId="77777777" w:rsidR="00734803" w:rsidRDefault="00734803" w:rsidP="00B20754">
      <w:pPr>
        <w:rPr>
          <w:rFonts w:ascii="Times New Roman" w:hAnsi="Times New Roman" w:cs="Times New Roman"/>
          <w:sz w:val="40"/>
          <w:szCs w:val="40"/>
        </w:rPr>
      </w:pPr>
    </w:p>
    <w:p w14:paraId="1D64CB5F" w14:textId="61C2EEAD" w:rsidR="00734803" w:rsidRPr="00734803" w:rsidRDefault="00734803" w:rsidP="00F00E51">
      <w:pPr>
        <w:rPr>
          <w:rFonts w:ascii="Times New Roman" w:hAnsi="Times New Roman" w:cs="Times New Roman"/>
          <w:sz w:val="40"/>
          <w:szCs w:val="40"/>
        </w:rPr>
      </w:pPr>
      <w:r w:rsidRPr="00BB30E0">
        <w:rPr>
          <w:rFonts w:ascii="Times New Roman" w:hAnsi="Times New Roman" w:cs="Times New Roman"/>
          <w:b/>
          <w:bCs/>
          <w:sz w:val="24"/>
          <w:szCs w:val="24"/>
        </w:rPr>
        <w:t xml:space="preserve">Author: </w:t>
      </w:r>
      <w:r>
        <w:t xml:space="preserve"> </w:t>
      </w:r>
      <w:r w:rsidR="00F00E51" w:rsidRPr="00F00E51">
        <w:rPr>
          <w:color w:val="004E9A"/>
        </w:rPr>
        <w:t>Nasima Akter Mukta</w:t>
      </w:r>
      <w:r w:rsidR="00F00E51">
        <w:rPr>
          <w:color w:val="004E9A"/>
        </w:rPr>
        <w:t xml:space="preserve">, </w:t>
      </w:r>
      <w:r w:rsidR="00F00E51" w:rsidRPr="00F00E51">
        <w:rPr>
          <w:color w:val="004E9A"/>
        </w:rPr>
        <w:t>Samina Ahmed</w:t>
      </w:r>
      <w:r w:rsidR="00F00E51">
        <w:rPr>
          <w:color w:val="004E9A"/>
        </w:rPr>
        <w:t xml:space="preserve">, </w:t>
      </w:r>
      <w:r w:rsidR="00F00E51" w:rsidRPr="00F00E51">
        <w:rPr>
          <w:color w:val="004E9A"/>
        </w:rPr>
        <w:t xml:space="preserve">A. M. </w:t>
      </w:r>
      <w:proofErr w:type="spellStart"/>
      <w:r w:rsidR="00F00E51" w:rsidRPr="00F00E51">
        <w:rPr>
          <w:color w:val="004E9A"/>
        </w:rPr>
        <w:t>Sarwaruddin</w:t>
      </w:r>
      <w:proofErr w:type="spellEnd"/>
      <w:r w:rsidR="00F00E51" w:rsidRPr="00F00E51">
        <w:rPr>
          <w:color w:val="004E9A"/>
        </w:rPr>
        <w:t xml:space="preserve"> Chowdhury</w:t>
      </w:r>
      <w:r w:rsidR="00F00E51">
        <w:rPr>
          <w:color w:val="004E9A"/>
        </w:rPr>
        <w:t xml:space="preserve">, </w:t>
      </w:r>
      <w:r w:rsidR="00F00E51" w:rsidRPr="00F00E51">
        <w:rPr>
          <w:color w:val="004E9A"/>
        </w:rPr>
        <w:t>Shafi M. Tareq</w:t>
      </w:r>
      <w:r w:rsidR="00F00E51">
        <w:rPr>
          <w:color w:val="004E9A"/>
        </w:rPr>
        <w:t xml:space="preserve">, </w:t>
      </w:r>
      <w:r w:rsidR="00F00E51" w:rsidRPr="00F00E51">
        <w:rPr>
          <w:color w:val="004E9A"/>
        </w:rPr>
        <w:t xml:space="preserve">Abu </w:t>
      </w:r>
      <w:proofErr w:type="spellStart"/>
      <w:r w:rsidR="00F00E51" w:rsidRPr="00F00E51">
        <w:rPr>
          <w:color w:val="004E9A"/>
        </w:rPr>
        <w:t>Ashfaqur</w:t>
      </w:r>
      <w:proofErr w:type="spellEnd"/>
      <w:r w:rsidR="00F00E51" w:rsidRPr="00F00E51">
        <w:rPr>
          <w:color w:val="004E9A"/>
        </w:rPr>
        <w:t xml:space="preserve"> Sajib</w:t>
      </w:r>
      <w:r w:rsidR="00F00E51">
        <w:rPr>
          <w:color w:val="004E9A"/>
        </w:rPr>
        <w:t xml:space="preserve">, </w:t>
      </w:r>
      <w:r w:rsidR="00F00E51" w:rsidRPr="00F00E51">
        <w:rPr>
          <w:color w:val="004E9A"/>
        </w:rPr>
        <w:t>M. S. Bashar</w:t>
      </w:r>
      <w:r w:rsidR="00F00E51">
        <w:rPr>
          <w:color w:val="004E9A"/>
        </w:rPr>
        <w:t xml:space="preserve">, </w:t>
      </w:r>
      <w:r w:rsidR="00F00E51" w:rsidRPr="00F00E51">
        <w:rPr>
          <w:color w:val="004E9A"/>
        </w:rPr>
        <w:t>Papia Haque</w:t>
      </w:r>
    </w:p>
    <w:p w14:paraId="718D91BC" w14:textId="77777777" w:rsidR="00F00E51" w:rsidRDefault="00F00E51" w:rsidP="00734803">
      <w:pPr>
        <w:jc w:val="both"/>
        <w:rPr>
          <w:rFonts w:ascii="Times New Roman" w:hAnsi="Times New Roman" w:cs="Times New Roman"/>
          <w:b/>
          <w:bCs/>
          <w:sz w:val="24"/>
          <w:szCs w:val="24"/>
        </w:rPr>
      </w:pPr>
    </w:p>
    <w:p w14:paraId="6A1B47AE" w14:textId="3B8B7ED5"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26BABBA4" w:rsidR="00734803" w:rsidRPr="00BB30E0" w:rsidRDefault="00F00E51" w:rsidP="00734803">
      <w:pPr>
        <w:spacing w:after="75" w:line="240" w:lineRule="auto"/>
        <w:jc w:val="both"/>
        <w:rPr>
          <w:rFonts w:ascii="Times New Roman" w:hAnsi="Times New Roman" w:cs="Times New Roman"/>
          <w:b/>
          <w:bCs/>
          <w:sz w:val="24"/>
          <w:szCs w:val="24"/>
        </w:rPr>
      </w:pPr>
      <w:r w:rsidRPr="00F00E51">
        <w:rPr>
          <w:rFonts w:ascii="Times New Roman" w:eastAsia="Times New Roman" w:hAnsi="Times New Roman" w:cs="Times New Roman"/>
          <w:color w:val="222222"/>
          <w:sz w:val="24"/>
          <w:szCs w:val="24"/>
        </w:rPr>
        <w:t xml:space="preserve">The core–sheath bi-polymeric scaffold has been proven as an encouraging material based on the requirement of scaffolds. This study aims to prepare </w:t>
      </w:r>
      <w:proofErr w:type="spellStart"/>
      <w:r w:rsidRPr="00F00E51">
        <w:rPr>
          <w:rFonts w:ascii="Times New Roman" w:eastAsia="Times New Roman" w:hAnsi="Times New Roman" w:cs="Times New Roman"/>
          <w:color w:val="222222"/>
          <w:sz w:val="24"/>
          <w:szCs w:val="24"/>
        </w:rPr>
        <w:t>electrospun</w:t>
      </w:r>
      <w:proofErr w:type="spellEnd"/>
      <w:r w:rsidRPr="00F00E51">
        <w:rPr>
          <w:rFonts w:ascii="Times New Roman" w:eastAsia="Times New Roman" w:hAnsi="Times New Roman" w:cs="Times New Roman"/>
          <w:color w:val="222222"/>
          <w:sz w:val="24"/>
          <w:szCs w:val="24"/>
        </w:rPr>
        <w:t xml:space="preserve"> core–sheath scaffolds by using acid-soluble collagen (ASC) as core material and </w:t>
      </w:r>
      <w:proofErr w:type="gramStart"/>
      <w:r w:rsidRPr="00F00E51">
        <w:rPr>
          <w:rFonts w:ascii="Times New Roman" w:eastAsia="Times New Roman" w:hAnsi="Times New Roman" w:cs="Times New Roman"/>
          <w:color w:val="222222"/>
          <w:sz w:val="24"/>
          <w:szCs w:val="24"/>
        </w:rPr>
        <w:t>poly(</w:t>
      </w:r>
      <w:proofErr w:type="gramEnd"/>
      <w:r w:rsidRPr="00F00E51">
        <w:rPr>
          <w:rFonts w:ascii="Times New Roman" w:eastAsia="Times New Roman" w:hAnsi="Times New Roman" w:cs="Times New Roman"/>
          <w:color w:val="222222"/>
          <w:sz w:val="24"/>
          <w:szCs w:val="24"/>
        </w:rPr>
        <w:t>lactic acid) (PLA) or PLA-g-</w:t>
      </w:r>
      <w:proofErr w:type="spellStart"/>
      <w:r w:rsidRPr="00F00E51">
        <w:rPr>
          <w:rFonts w:ascii="Times New Roman" w:eastAsia="Times New Roman" w:hAnsi="Times New Roman" w:cs="Times New Roman"/>
          <w:color w:val="222222"/>
          <w:sz w:val="24"/>
          <w:szCs w:val="24"/>
        </w:rPr>
        <w:t>VAc</w:t>
      </w:r>
      <w:proofErr w:type="spellEnd"/>
      <w:r w:rsidRPr="00F00E51">
        <w:rPr>
          <w:rFonts w:ascii="Times New Roman" w:eastAsia="Times New Roman" w:hAnsi="Times New Roman" w:cs="Times New Roman"/>
          <w:color w:val="222222"/>
          <w:sz w:val="24"/>
          <w:szCs w:val="24"/>
        </w:rPr>
        <w:t xml:space="preserve"> as sheath material to get the most in combination from a hydrophilic and a hydrophobic polymer. ASC is extracted from waste Tilapia fish skin conserving the triple helix structure of the α1 (130 </w:t>
      </w:r>
      <w:proofErr w:type="spellStart"/>
      <w:r w:rsidRPr="00F00E51">
        <w:rPr>
          <w:rFonts w:ascii="Times New Roman" w:eastAsia="Times New Roman" w:hAnsi="Times New Roman" w:cs="Times New Roman"/>
          <w:color w:val="222222"/>
          <w:sz w:val="24"/>
          <w:szCs w:val="24"/>
        </w:rPr>
        <w:t>kDa</w:t>
      </w:r>
      <w:proofErr w:type="spellEnd"/>
      <w:r w:rsidRPr="00F00E51">
        <w:rPr>
          <w:rFonts w:ascii="Times New Roman" w:eastAsia="Times New Roman" w:hAnsi="Times New Roman" w:cs="Times New Roman"/>
          <w:color w:val="222222"/>
          <w:sz w:val="24"/>
          <w:szCs w:val="24"/>
        </w:rPr>
        <w:t>) chain, and a α2 (120 </w:t>
      </w:r>
      <w:proofErr w:type="spellStart"/>
      <w:r w:rsidRPr="00F00E51">
        <w:rPr>
          <w:rFonts w:ascii="Times New Roman" w:eastAsia="Times New Roman" w:hAnsi="Times New Roman" w:cs="Times New Roman"/>
          <w:color w:val="222222"/>
          <w:sz w:val="24"/>
          <w:szCs w:val="24"/>
        </w:rPr>
        <w:t>kDa</w:t>
      </w:r>
      <w:proofErr w:type="spellEnd"/>
      <w:r w:rsidRPr="00F00E51">
        <w:rPr>
          <w:rFonts w:ascii="Times New Roman" w:eastAsia="Times New Roman" w:hAnsi="Times New Roman" w:cs="Times New Roman"/>
          <w:color w:val="222222"/>
          <w:sz w:val="24"/>
          <w:szCs w:val="24"/>
        </w:rPr>
        <w:t>) chain cross-linked with the β (280 </w:t>
      </w:r>
      <w:proofErr w:type="spellStart"/>
      <w:r w:rsidRPr="00F00E51">
        <w:rPr>
          <w:rFonts w:ascii="Times New Roman" w:eastAsia="Times New Roman" w:hAnsi="Times New Roman" w:cs="Times New Roman"/>
          <w:color w:val="222222"/>
          <w:sz w:val="24"/>
          <w:szCs w:val="24"/>
        </w:rPr>
        <w:t>kDa</w:t>
      </w:r>
      <w:proofErr w:type="spellEnd"/>
      <w:r w:rsidRPr="00F00E51">
        <w:rPr>
          <w:rFonts w:ascii="Times New Roman" w:eastAsia="Times New Roman" w:hAnsi="Times New Roman" w:cs="Times New Roman"/>
          <w:color w:val="222222"/>
          <w:sz w:val="24"/>
          <w:szCs w:val="24"/>
        </w:rPr>
        <w:t>) chain confirmed by amino acid profile, sodium dodecyl sulphate-polyacrylamide gel electrophoresis. PLA-g-</w:t>
      </w:r>
      <w:proofErr w:type="spellStart"/>
      <w:r w:rsidRPr="00F00E51">
        <w:rPr>
          <w:rFonts w:ascii="Times New Roman" w:eastAsia="Times New Roman" w:hAnsi="Times New Roman" w:cs="Times New Roman"/>
          <w:color w:val="222222"/>
          <w:sz w:val="24"/>
          <w:szCs w:val="24"/>
        </w:rPr>
        <w:t>VAc</w:t>
      </w:r>
      <w:proofErr w:type="spellEnd"/>
      <w:r w:rsidRPr="00F00E51">
        <w:rPr>
          <w:rFonts w:ascii="Times New Roman" w:eastAsia="Times New Roman" w:hAnsi="Times New Roman" w:cs="Times New Roman"/>
          <w:color w:val="222222"/>
          <w:sz w:val="24"/>
          <w:szCs w:val="24"/>
        </w:rPr>
        <w:t xml:space="preserve"> is prepared by grafting vinyl acetate (</w:t>
      </w:r>
      <w:proofErr w:type="spellStart"/>
      <w:r w:rsidRPr="00F00E51">
        <w:rPr>
          <w:rFonts w:ascii="Times New Roman" w:eastAsia="Times New Roman" w:hAnsi="Times New Roman" w:cs="Times New Roman"/>
          <w:color w:val="222222"/>
          <w:sz w:val="24"/>
          <w:szCs w:val="24"/>
        </w:rPr>
        <w:t>VAc</w:t>
      </w:r>
      <w:proofErr w:type="spellEnd"/>
      <w:r w:rsidRPr="00F00E51">
        <w:rPr>
          <w:rFonts w:ascii="Times New Roman" w:eastAsia="Times New Roman" w:hAnsi="Times New Roman" w:cs="Times New Roman"/>
          <w:color w:val="222222"/>
          <w:sz w:val="24"/>
          <w:szCs w:val="24"/>
        </w:rPr>
        <w:t>) onto the PLA chain using benzoyl peroxide as the initiator. FT-IR, 1H NMR, and 13C NMR of PLA-g-</w:t>
      </w:r>
      <w:proofErr w:type="spellStart"/>
      <w:r w:rsidRPr="00F00E51">
        <w:rPr>
          <w:rFonts w:ascii="Times New Roman" w:eastAsia="Times New Roman" w:hAnsi="Times New Roman" w:cs="Times New Roman"/>
          <w:color w:val="222222"/>
          <w:sz w:val="24"/>
          <w:szCs w:val="24"/>
        </w:rPr>
        <w:t>VAc</w:t>
      </w:r>
      <w:proofErr w:type="spellEnd"/>
      <w:r w:rsidRPr="00F00E51">
        <w:rPr>
          <w:rFonts w:ascii="Times New Roman" w:eastAsia="Times New Roman" w:hAnsi="Times New Roman" w:cs="Times New Roman"/>
          <w:color w:val="222222"/>
          <w:sz w:val="24"/>
          <w:szCs w:val="24"/>
        </w:rPr>
        <w:t xml:space="preserve"> reveal that grafting occurs between the double bond of </w:t>
      </w:r>
      <w:proofErr w:type="spellStart"/>
      <w:r w:rsidRPr="00F00E51">
        <w:rPr>
          <w:rFonts w:ascii="Times New Roman" w:eastAsia="Times New Roman" w:hAnsi="Times New Roman" w:cs="Times New Roman"/>
          <w:color w:val="222222"/>
          <w:sz w:val="24"/>
          <w:szCs w:val="24"/>
        </w:rPr>
        <w:t>VAc</w:t>
      </w:r>
      <w:proofErr w:type="spellEnd"/>
      <w:r w:rsidRPr="00F00E51">
        <w:rPr>
          <w:rFonts w:ascii="Times New Roman" w:eastAsia="Times New Roman" w:hAnsi="Times New Roman" w:cs="Times New Roman"/>
          <w:color w:val="222222"/>
          <w:sz w:val="24"/>
          <w:szCs w:val="24"/>
        </w:rPr>
        <w:t xml:space="preserve"> and the methine group of </w:t>
      </w:r>
      <w:proofErr w:type="gramStart"/>
      <w:r w:rsidRPr="00F00E51">
        <w:rPr>
          <w:rFonts w:ascii="Times New Roman" w:eastAsia="Times New Roman" w:hAnsi="Times New Roman" w:cs="Times New Roman"/>
          <w:color w:val="222222"/>
          <w:sz w:val="24"/>
          <w:szCs w:val="24"/>
        </w:rPr>
        <w:t>PLA</w:t>
      </w:r>
      <w:proofErr w:type="gramEnd"/>
      <w:r w:rsidRPr="00F00E51">
        <w:rPr>
          <w:rFonts w:ascii="Times New Roman" w:eastAsia="Times New Roman" w:hAnsi="Times New Roman" w:cs="Times New Roman"/>
          <w:color w:val="222222"/>
          <w:sz w:val="24"/>
          <w:szCs w:val="24"/>
        </w:rPr>
        <w:t>. The morphology of the scaffolds is determined by the field emission scanning electron microscope. FT-IR, thermogravimetric analysis, differential scanning calorimetry, XRD, and water contact angle measurements are used for further characterization of scaffolds. In vivo, cytotoxicity analysis on the Vero cell line exposes that scaffolds are biocompatible. Application of scaffolds to the surgically produced wounding of skin in a rat model followed by histological assay indicates the enhanced properties of core–sheath scaffolds rather than the single polymeric scaffolds.</w:t>
      </w:r>
      <w:r w:rsidR="00734803" w:rsidRPr="00BB30E0">
        <w:rPr>
          <w:rFonts w:ascii="Times New Roman" w:eastAsia="Times New Roman" w:hAnsi="Times New Roman" w:cs="Times New Roman"/>
          <w:color w:val="222222"/>
          <w:sz w:val="24"/>
          <w:szCs w:val="24"/>
        </w:rPr>
        <w:br/>
      </w:r>
      <w:r w:rsidR="00734803">
        <w:rPr>
          <w:rFonts w:ascii="Times New Roman" w:eastAsia="Times New Roman" w:hAnsi="Times New Roman" w:cs="Times New Roman"/>
          <w:color w:val="222222"/>
          <w:sz w:val="24"/>
          <w:szCs w:val="24"/>
        </w:rPr>
        <w:t xml:space="preserve"> </w:t>
      </w:r>
    </w:p>
    <w:p w14:paraId="2F615D0D" w14:textId="77777777" w:rsidR="00F00E51" w:rsidRDefault="00F00E51" w:rsidP="00734803">
      <w:pPr>
        <w:jc w:val="both"/>
        <w:rPr>
          <w:rFonts w:ascii="Times New Roman" w:hAnsi="Times New Roman" w:cs="Times New Roman"/>
          <w:b/>
          <w:bCs/>
          <w:sz w:val="24"/>
          <w:szCs w:val="24"/>
        </w:rPr>
      </w:pPr>
    </w:p>
    <w:p w14:paraId="66F589CD" w14:textId="1A2F9B31"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74B46EE9" w14:textId="3014A121" w:rsidR="00734803" w:rsidRPr="00F00E51" w:rsidRDefault="00734803" w:rsidP="00734803">
      <w:pPr>
        <w:jc w:val="both"/>
        <w:rPr>
          <w:rFonts w:ascii="Times New Roman" w:hAnsi="Times New Roman" w:cs="Times New Roman"/>
          <w:sz w:val="24"/>
          <w:szCs w:val="24"/>
        </w:rPr>
      </w:pPr>
      <w:r w:rsidRPr="00F00E51">
        <w:rPr>
          <w:rFonts w:ascii="Times New Roman" w:hAnsi="Times New Roman" w:cs="Times New Roman"/>
          <w:sz w:val="24"/>
          <w:szCs w:val="24"/>
        </w:rPr>
        <w:fldChar w:fldCharType="begin"/>
      </w:r>
      <w:r w:rsidRPr="00F00E51">
        <w:rPr>
          <w:rFonts w:ascii="Times New Roman" w:hAnsi="Times New Roman" w:cs="Times New Roman"/>
          <w:sz w:val="24"/>
          <w:szCs w:val="24"/>
        </w:rPr>
        <w:instrText>HYPERLINK "https://link.springer.com/article/10.1007/s10772-024-10151-3" \t "_blank"</w:instrText>
      </w:r>
      <w:r w:rsidRPr="00F00E51">
        <w:rPr>
          <w:rFonts w:ascii="Times New Roman" w:hAnsi="Times New Roman" w:cs="Times New Roman"/>
          <w:sz w:val="24"/>
          <w:szCs w:val="24"/>
        </w:rPr>
      </w:r>
      <w:r w:rsidRPr="00F00E51">
        <w:rPr>
          <w:rFonts w:ascii="Times New Roman" w:hAnsi="Times New Roman" w:cs="Times New Roman"/>
          <w:sz w:val="24"/>
          <w:szCs w:val="24"/>
        </w:rPr>
        <w:fldChar w:fldCharType="separate"/>
      </w:r>
      <w:r w:rsidRPr="00F00E51">
        <w:rPr>
          <w:rFonts w:ascii="Times New Roman" w:hAnsi="Times New Roman" w:cs="Times New Roman"/>
          <w:sz w:val="24"/>
          <w:szCs w:val="24"/>
        </w:rPr>
        <w:fldChar w:fldCharType="end"/>
      </w:r>
      <w:bookmarkEnd w:id="0"/>
      <w:r w:rsidRPr="00F00E51">
        <w:rPr>
          <w:rFonts w:ascii="Times New Roman" w:hAnsi="Times New Roman" w:cs="Times New Roman"/>
          <w:sz w:val="24"/>
          <w:szCs w:val="24"/>
        </w:rPr>
        <w:t xml:space="preserve"> </w:t>
      </w:r>
      <w:hyperlink r:id="rId4" w:tgtFrame="_blank" w:history="1">
        <w:r w:rsidR="00F00E51" w:rsidRPr="00F00E51">
          <w:rPr>
            <w:rStyle w:val="Hyperlink"/>
            <w:rFonts w:ascii="Times New Roman" w:hAnsi="Times New Roman" w:cs="Times New Roman"/>
            <w:sz w:val="24"/>
            <w:szCs w:val="24"/>
            <w:u w:val="none"/>
          </w:rPr>
          <w:t>https://www.researchgate.net/publication/380300881_Effect_of_core-sheath_b</w:t>
        </w:r>
      </w:hyperlink>
    </w:p>
    <w:p w14:paraId="01377653" w14:textId="7777777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644D18EC" w14:textId="373DE846" w:rsidR="00F00E51" w:rsidRPr="00F00E51" w:rsidRDefault="00F00E51" w:rsidP="00F00E51">
      <w:pPr>
        <w:jc w:val="both"/>
        <w:rPr>
          <w:rFonts w:ascii="Times New Roman" w:hAnsi="Times New Roman" w:cs="Times New Roman"/>
          <w:sz w:val="24"/>
          <w:szCs w:val="24"/>
        </w:rPr>
      </w:pPr>
      <w:r w:rsidRPr="00F00E51">
        <w:rPr>
          <w:rFonts w:ascii="Times New Roman" w:hAnsi="Times New Roman" w:cs="Times New Roman"/>
          <w:sz w:val="24"/>
          <w:szCs w:val="24"/>
        </w:rPr>
        <w:t> </w:t>
      </w:r>
      <w:hyperlink r:id="rId5" w:history="1">
        <w:r w:rsidRPr="00F00E51">
          <w:rPr>
            <w:rStyle w:val="Hyperlink"/>
            <w:rFonts w:ascii="Times New Roman" w:hAnsi="Times New Roman" w:cs="Times New Roman"/>
            <w:sz w:val="24"/>
            <w:szCs w:val="24"/>
            <w:u w:val="none"/>
          </w:rPr>
          <w:t>https://doi.org/10.1002/app.55636</w:t>
        </w:r>
      </w:hyperlink>
    </w:p>
    <w:p w14:paraId="2EDB651B" w14:textId="47C2FFE8" w:rsidR="00A50000" w:rsidRPr="00A50000" w:rsidRDefault="00A50000" w:rsidP="00EF1C9E">
      <w:pPr>
        <w:jc w:val="both"/>
        <w:rPr>
          <w:rFonts w:ascii="Times New Roman" w:hAnsi="Times New Roman" w:cs="Times New Roman"/>
          <w:sz w:val="24"/>
          <w:szCs w:val="24"/>
        </w:rPr>
      </w:pPr>
    </w:p>
    <w:sectPr w:rsidR="00A50000" w:rsidRPr="00A5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203F90"/>
    <w:rsid w:val="002509E1"/>
    <w:rsid w:val="003C1BC7"/>
    <w:rsid w:val="003D6DE4"/>
    <w:rsid w:val="00517FC7"/>
    <w:rsid w:val="005315A8"/>
    <w:rsid w:val="005533FA"/>
    <w:rsid w:val="00592CEC"/>
    <w:rsid w:val="00593393"/>
    <w:rsid w:val="005B71EB"/>
    <w:rsid w:val="006259CA"/>
    <w:rsid w:val="00734803"/>
    <w:rsid w:val="00821417"/>
    <w:rsid w:val="00880542"/>
    <w:rsid w:val="00885BF3"/>
    <w:rsid w:val="0092191A"/>
    <w:rsid w:val="00A50000"/>
    <w:rsid w:val="00A52F33"/>
    <w:rsid w:val="00AD2293"/>
    <w:rsid w:val="00B20754"/>
    <w:rsid w:val="00BA1D1E"/>
    <w:rsid w:val="00CB3937"/>
    <w:rsid w:val="00D01AB6"/>
    <w:rsid w:val="00D26E3D"/>
    <w:rsid w:val="00D422AF"/>
    <w:rsid w:val="00EF1C9E"/>
    <w:rsid w:val="00F00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02/app.55636" TargetMode="External"/><Relationship Id="rId4" Type="http://schemas.openxmlformats.org/officeDocument/2006/relationships/hyperlink" Target="https://www.researchgate.net/publication/380300881_Effect_of_core-sheath_bi-polymeric_scaffolds_fabricated_from_acid-soluble_collagen_and_polylactic_acid_derivatives_on_wound_hea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5</cp:revision>
  <dcterms:created xsi:type="dcterms:W3CDTF">2025-08-11T06:01:00Z</dcterms:created>
  <dcterms:modified xsi:type="dcterms:W3CDTF">2025-08-11T07:19:00Z</dcterms:modified>
</cp:coreProperties>
</file>