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1AF" w:rsidRDefault="00602675">
      <w:pPr>
        <w:pStyle w:val="BodyText"/>
        <w:ind w:left="2012"/>
        <w:rPr>
          <w:sz w:val="20"/>
        </w:rPr>
      </w:pPr>
      <w:r>
        <w:rPr>
          <w:noProof/>
          <w:sz w:val="20"/>
        </w:rPr>
        <w:drawing>
          <wp:inline distT="0" distB="0" distL="0" distR="0">
            <wp:extent cx="3505200" cy="9429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3505200" cy="942975"/>
                    </a:xfrm>
                    <a:prstGeom prst="rect">
                      <a:avLst/>
                    </a:prstGeom>
                  </pic:spPr>
                </pic:pic>
              </a:graphicData>
            </a:graphic>
          </wp:inline>
        </w:drawing>
      </w:r>
    </w:p>
    <w:p w:rsidR="00B801AF" w:rsidRDefault="00B801AF">
      <w:pPr>
        <w:pStyle w:val="BodyText"/>
        <w:rPr>
          <w:sz w:val="20"/>
        </w:rPr>
      </w:pPr>
    </w:p>
    <w:p w:rsidR="00B801AF" w:rsidRDefault="00B801AF">
      <w:pPr>
        <w:pStyle w:val="BodyText"/>
        <w:rPr>
          <w:sz w:val="20"/>
        </w:rPr>
      </w:pPr>
    </w:p>
    <w:p w:rsidR="00B801AF" w:rsidRDefault="00602675">
      <w:pPr>
        <w:pStyle w:val="Heading2"/>
        <w:spacing w:before="89"/>
        <w:ind w:left="561" w:right="380" w:firstLine="0"/>
        <w:jc w:val="center"/>
      </w:pPr>
      <w:r>
        <w:t>INTERNSHIP REPORT</w:t>
      </w:r>
    </w:p>
    <w:p w:rsidR="00B801AF" w:rsidRDefault="00602675">
      <w:pPr>
        <w:spacing w:before="208"/>
        <w:ind w:left="561" w:right="345"/>
        <w:jc w:val="center"/>
        <w:rPr>
          <w:b/>
          <w:sz w:val="28"/>
        </w:rPr>
      </w:pPr>
      <w:r>
        <w:rPr>
          <w:b/>
          <w:sz w:val="28"/>
        </w:rPr>
        <w:t>On</w:t>
      </w:r>
    </w:p>
    <w:p w:rsidR="00B801AF" w:rsidRDefault="00602675">
      <w:pPr>
        <w:spacing w:before="214" w:line="237" w:lineRule="auto"/>
        <w:ind w:left="561" w:right="482"/>
        <w:jc w:val="center"/>
        <w:rPr>
          <w:b/>
          <w:sz w:val="28"/>
        </w:rPr>
      </w:pPr>
      <w:r>
        <w:rPr>
          <w:b/>
          <w:sz w:val="28"/>
        </w:rPr>
        <w:t>PERFORMANCE EVALUATION: A STUDY ON SOUTHEAST BANK LIMITED</w:t>
      </w:r>
    </w:p>
    <w:p w:rsidR="00B801AF" w:rsidRDefault="00B801AF">
      <w:pPr>
        <w:pStyle w:val="BodyText"/>
        <w:rPr>
          <w:b/>
          <w:sz w:val="30"/>
        </w:rPr>
      </w:pPr>
    </w:p>
    <w:p w:rsidR="00B801AF" w:rsidRDefault="00B801AF">
      <w:pPr>
        <w:pStyle w:val="BodyText"/>
        <w:rPr>
          <w:b/>
          <w:sz w:val="43"/>
        </w:rPr>
      </w:pPr>
    </w:p>
    <w:p w:rsidR="00B801AF" w:rsidRDefault="00602675">
      <w:pPr>
        <w:ind w:left="561" w:right="384"/>
        <w:jc w:val="center"/>
        <w:rPr>
          <w:b/>
          <w:sz w:val="32"/>
        </w:rPr>
      </w:pPr>
      <w:r>
        <w:rPr>
          <w:b/>
          <w:sz w:val="32"/>
        </w:rPr>
        <w:t>Submitted To</w:t>
      </w:r>
    </w:p>
    <w:p w:rsidR="00B801AF" w:rsidRDefault="00B801AF">
      <w:pPr>
        <w:pStyle w:val="BodyText"/>
        <w:rPr>
          <w:b/>
          <w:sz w:val="34"/>
        </w:rPr>
      </w:pPr>
    </w:p>
    <w:p w:rsidR="00B801AF" w:rsidRDefault="00B801AF">
      <w:pPr>
        <w:pStyle w:val="BodyText"/>
        <w:spacing w:before="2"/>
        <w:rPr>
          <w:b/>
          <w:sz w:val="30"/>
        </w:rPr>
      </w:pPr>
    </w:p>
    <w:p w:rsidR="00B801AF" w:rsidRDefault="00602675">
      <w:pPr>
        <w:pStyle w:val="Heading3"/>
        <w:spacing w:line="393" w:lineRule="auto"/>
        <w:ind w:left="3537" w:right="3356"/>
      </w:pPr>
      <w:r>
        <w:t>Md. Anhar Sharif Mollah Assistant Professor</w:t>
      </w:r>
    </w:p>
    <w:p w:rsidR="00B801AF" w:rsidRDefault="00602675">
      <w:pPr>
        <w:spacing w:before="2" w:line="393" w:lineRule="auto"/>
        <w:ind w:left="2721" w:right="2542" w:firstLine="2"/>
        <w:jc w:val="center"/>
        <w:rPr>
          <w:sz w:val="28"/>
        </w:rPr>
      </w:pPr>
      <w:r>
        <w:rPr>
          <w:sz w:val="28"/>
        </w:rPr>
        <w:t>Faculty of Business Administration Faculty of Business &amp; Entrepreneurship</w:t>
      </w:r>
    </w:p>
    <w:p w:rsidR="00B801AF" w:rsidRDefault="00B801AF">
      <w:pPr>
        <w:pStyle w:val="BodyText"/>
        <w:rPr>
          <w:sz w:val="30"/>
        </w:rPr>
      </w:pPr>
    </w:p>
    <w:p w:rsidR="00B801AF" w:rsidRDefault="00B801AF">
      <w:pPr>
        <w:pStyle w:val="BodyText"/>
        <w:rPr>
          <w:sz w:val="30"/>
        </w:rPr>
      </w:pPr>
    </w:p>
    <w:p w:rsidR="00B801AF" w:rsidRDefault="00B801AF">
      <w:pPr>
        <w:pStyle w:val="BodyText"/>
        <w:rPr>
          <w:sz w:val="43"/>
        </w:rPr>
      </w:pPr>
    </w:p>
    <w:p w:rsidR="00B801AF" w:rsidRDefault="00602675">
      <w:pPr>
        <w:ind w:left="543" w:right="482"/>
        <w:jc w:val="center"/>
        <w:rPr>
          <w:b/>
          <w:sz w:val="32"/>
        </w:rPr>
      </w:pPr>
      <w:r>
        <w:rPr>
          <w:b/>
          <w:sz w:val="32"/>
        </w:rPr>
        <w:t>Submitted By</w:t>
      </w:r>
    </w:p>
    <w:p w:rsidR="00B801AF" w:rsidRDefault="00B801AF">
      <w:pPr>
        <w:pStyle w:val="BodyText"/>
        <w:rPr>
          <w:b/>
          <w:sz w:val="34"/>
        </w:rPr>
      </w:pPr>
    </w:p>
    <w:p w:rsidR="00B801AF" w:rsidRDefault="00B801AF">
      <w:pPr>
        <w:pStyle w:val="BodyText"/>
        <w:spacing w:before="9"/>
        <w:rPr>
          <w:b/>
          <w:sz w:val="29"/>
        </w:rPr>
      </w:pPr>
    </w:p>
    <w:p w:rsidR="00B801AF" w:rsidRDefault="00602675">
      <w:pPr>
        <w:spacing w:line="357" w:lineRule="auto"/>
        <w:ind w:left="3619" w:right="3556"/>
        <w:jc w:val="center"/>
        <w:rPr>
          <w:sz w:val="28"/>
        </w:rPr>
      </w:pPr>
      <w:r>
        <w:rPr>
          <w:sz w:val="28"/>
        </w:rPr>
        <w:t>Rumman Hasan Fahim ID:161-11-273</w:t>
      </w:r>
    </w:p>
    <w:p w:rsidR="00B801AF" w:rsidRDefault="00602675">
      <w:pPr>
        <w:spacing w:before="5" w:line="360" w:lineRule="auto"/>
        <w:ind w:left="2661" w:right="2602" w:firstLine="2"/>
        <w:jc w:val="center"/>
        <w:rPr>
          <w:sz w:val="28"/>
        </w:rPr>
      </w:pPr>
      <w:r>
        <w:rPr>
          <w:sz w:val="28"/>
        </w:rPr>
        <w:t>Faculty of Business Administration Faculty of Business &amp; Entrepreneurship Daffodil International University</w:t>
      </w: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12"/>
        </w:rPr>
      </w:pPr>
    </w:p>
    <w:tbl>
      <w:tblPr>
        <w:tblW w:w="0" w:type="auto"/>
        <w:tblInd w:w="207" w:type="dxa"/>
        <w:tblLayout w:type="fixed"/>
        <w:tblCellMar>
          <w:left w:w="0" w:type="dxa"/>
          <w:right w:w="0" w:type="dxa"/>
        </w:tblCellMar>
        <w:tblLook w:val="01E0" w:firstRow="1" w:lastRow="1" w:firstColumn="1" w:lastColumn="1" w:noHBand="0" w:noVBand="0"/>
      </w:tblPr>
      <w:tblGrid>
        <w:gridCol w:w="6056"/>
        <w:gridCol w:w="3023"/>
      </w:tblGrid>
      <w:tr w:rsidR="00B801AF">
        <w:trPr>
          <w:trHeight w:val="251"/>
        </w:trPr>
        <w:tc>
          <w:tcPr>
            <w:tcW w:w="6056" w:type="dxa"/>
          </w:tcPr>
          <w:p w:rsidR="00B801AF" w:rsidRDefault="00602675" w:rsidP="00602675">
            <w:pPr>
              <w:pStyle w:val="TableParagraph"/>
              <w:spacing w:line="232" w:lineRule="exact"/>
              <w:ind w:left="200"/>
              <w:jc w:val="center"/>
              <w:rPr>
                <w:rFonts w:ascii="Carlito" w:hAnsi="Carlito"/>
                <w:i/>
              </w:rPr>
            </w:pPr>
            <w:r>
              <w:rPr>
                <w:i/>
              </w:rPr>
              <w:t xml:space="preserve">© </w:t>
            </w:r>
            <w:r>
              <w:rPr>
                <w:rFonts w:ascii="Carlito" w:hAnsi="Carlito"/>
                <w:i/>
              </w:rPr>
              <w:t>Daffodil International University</w:t>
            </w:r>
          </w:p>
        </w:tc>
        <w:tc>
          <w:tcPr>
            <w:tcW w:w="3023" w:type="dxa"/>
          </w:tcPr>
          <w:p w:rsidR="00B801AF" w:rsidRDefault="00B801AF">
            <w:pPr>
              <w:pStyle w:val="TableParagraph"/>
              <w:spacing w:before="22" w:line="210" w:lineRule="exact"/>
              <w:ind w:right="198"/>
              <w:jc w:val="right"/>
              <w:rPr>
                <w:sz w:val="20"/>
              </w:rPr>
            </w:pPr>
          </w:p>
        </w:tc>
      </w:tr>
    </w:tbl>
    <w:p w:rsidR="00B801AF" w:rsidRDefault="00B801AF">
      <w:pPr>
        <w:spacing w:line="210" w:lineRule="exact"/>
        <w:jc w:val="right"/>
        <w:rPr>
          <w:sz w:val="20"/>
        </w:rPr>
        <w:sectPr w:rsidR="00B801AF">
          <w:type w:val="continuous"/>
          <w:pgSz w:w="11900" w:h="16840"/>
          <w:pgMar w:top="1560" w:right="1100" w:bottom="280" w:left="1040" w:header="720" w:footer="720" w:gutter="0"/>
          <w:cols w:space="720"/>
        </w:sectPr>
      </w:pPr>
    </w:p>
    <w:p w:rsidR="00B801AF" w:rsidRDefault="00602675">
      <w:pPr>
        <w:spacing w:before="58" w:line="365" w:lineRule="exact"/>
        <w:ind w:left="538" w:right="482"/>
        <w:jc w:val="center"/>
        <w:rPr>
          <w:b/>
          <w:sz w:val="32"/>
        </w:rPr>
      </w:pPr>
      <w:r>
        <w:rPr>
          <w:b/>
          <w:sz w:val="32"/>
        </w:rPr>
        <w:lastRenderedPageBreak/>
        <w:t>LETTER OF TRANSMITTAL</w:t>
      </w:r>
    </w:p>
    <w:p w:rsidR="00B801AF" w:rsidRDefault="00602675">
      <w:pPr>
        <w:pStyle w:val="BodyText"/>
        <w:spacing w:line="410" w:lineRule="auto"/>
        <w:ind w:left="400" w:right="7453"/>
      </w:pPr>
      <w:r>
        <w:t>27 December, 2019 To,</w:t>
      </w:r>
    </w:p>
    <w:p w:rsidR="00B801AF" w:rsidRDefault="00602675">
      <w:pPr>
        <w:pStyle w:val="BodyText"/>
        <w:spacing w:before="6" w:line="276" w:lineRule="auto"/>
        <w:ind w:left="400" w:right="6906"/>
        <w:jc w:val="both"/>
      </w:pPr>
      <w:r>
        <w:t>Md. Anhar Sharif Mollah Assistant Professor</w:t>
      </w:r>
    </w:p>
    <w:p w:rsidR="00B801AF" w:rsidRDefault="00602675">
      <w:pPr>
        <w:pStyle w:val="BodyText"/>
        <w:spacing w:line="276" w:lineRule="auto"/>
        <w:ind w:left="400" w:right="5507"/>
        <w:jc w:val="both"/>
      </w:pPr>
      <w:r>
        <w:t>Department of Business Administration Faculty of Business &amp; Entrepreneurship Daffodil International University</w:t>
      </w:r>
    </w:p>
    <w:p w:rsidR="00B801AF" w:rsidRDefault="00B801AF">
      <w:pPr>
        <w:pStyle w:val="BodyText"/>
        <w:rPr>
          <w:sz w:val="26"/>
        </w:rPr>
      </w:pPr>
    </w:p>
    <w:p w:rsidR="00B801AF" w:rsidRDefault="00602675">
      <w:pPr>
        <w:spacing w:before="193" w:line="232" w:lineRule="auto"/>
        <w:ind w:left="400" w:right="1193"/>
        <w:rPr>
          <w:sz w:val="24"/>
        </w:rPr>
      </w:pPr>
      <w:r>
        <w:rPr>
          <w:sz w:val="24"/>
        </w:rPr>
        <w:t>Subject: Submission of internship report on “</w:t>
      </w:r>
      <w:r>
        <w:rPr>
          <w:b/>
          <w:sz w:val="24"/>
        </w:rPr>
        <w:t>Performance Evaluation: A Study on Southeast Bank Limited</w:t>
      </w:r>
      <w:r>
        <w:rPr>
          <w:sz w:val="24"/>
        </w:rPr>
        <w:t>”.</w:t>
      </w:r>
    </w:p>
    <w:p w:rsidR="00B801AF" w:rsidRDefault="00B801AF">
      <w:pPr>
        <w:pStyle w:val="BodyText"/>
        <w:rPr>
          <w:sz w:val="26"/>
        </w:rPr>
      </w:pPr>
    </w:p>
    <w:p w:rsidR="00B801AF" w:rsidRDefault="00B801AF">
      <w:pPr>
        <w:pStyle w:val="BodyText"/>
        <w:spacing w:before="10"/>
        <w:rPr>
          <w:sz w:val="37"/>
        </w:rPr>
      </w:pPr>
    </w:p>
    <w:p w:rsidR="00B801AF" w:rsidRDefault="00602675">
      <w:pPr>
        <w:pStyle w:val="BodyText"/>
        <w:ind w:left="400"/>
      </w:pPr>
      <w:r>
        <w:t>Dear Sir,</w:t>
      </w:r>
    </w:p>
    <w:p w:rsidR="00B801AF" w:rsidRDefault="00B801AF">
      <w:pPr>
        <w:pStyle w:val="BodyText"/>
        <w:rPr>
          <w:sz w:val="26"/>
        </w:rPr>
      </w:pPr>
    </w:p>
    <w:p w:rsidR="00B801AF" w:rsidRDefault="00B801AF">
      <w:pPr>
        <w:pStyle w:val="BodyText"/>
        <w:spacing w:before="3"/>
        <w:rPr>
          <w:sz w:val="33"/>
        </w:rPr>
      </w:pPr>
    </w:p>
    <w:p w:rsidR="00B801AF" w:rsidRDefault="00602675">
      <w:pPr>
        <w:pStyle w:val="BodyText"/>
        <w:spacing w:before="1" w:line="360" w:lineRule="auto"/>
        <w:ind w:left="400" w:right="327"/>
      </w:pPr>
      <w:r>
        <w:t>With due respect, The Study would like to inform you that, The Study have completed my internship report on topic: “</w:t>
      </w:r>
      <w:r>
        <w:rPr>
          <w:b/>
        </w:rPr>
        <w:t>Performance Evaluation: A Study on Southeast Bank Limited</w:t>
      </w:r>
      <w:r>
        <w:t>” . The Study have collected information from all available sources in a realistic way. While preparing report, The Study have tried to follow your instruction based on systematic manner.</w:t>
      </w:r>
    </w:p>
    <w:p w:rsidR="00B801AF" w:rsidRDefault="00602675">
      <w:pPr>
        <w:pStyle w:val="BodyText"/>
        <w:spacing w:before="172" w:line="343" w:lineRule="auto"/>
        <w:ind w:left="400" w:right="435"/>
      </w:pPr>
      <w:r>
        <w:t>I sincerely hope that this report meets your approval and also expects that The Study will get your kind consideration regarding acceptance of this report.</w:t>
      </w:r>
    </w:p>
    <w:p w:rsidR="00B801AF" w:rsidRDefault="00B801AF">
      <w:pPr>
        <w:pStyle w:val="BodyText"/>
        <w:rPr>
          <w:sz w:val="26"/>
        </w:rPr>
      </w:pPr>
    </w:p>
    <w:p w:rsidR="00B801AF" w:rsidRDefault="00B801AF">
      <w:pPr>
        <w:pStyle w:val="BodyText"/>
        <w:rPr>
          <w:sz w:val="26"/>
        </w:rPr>
      </w:pPr>
    </w:p>
    <w:p w:rsidR="00B801AF" w:rsidRDefault="00602675">
      <w:pPr>
        <w:pStyle w:val="BodyText"/>
        <w:spacing w:before="161"/>
        <w:ind w:left="400"/>
      </w:pPr>
      <w:r>
        <w:t>Sincerely Yours,</w:t>
      </w:r>
    </w:p>
    <w:p w:rsidR="00B801AF" w:rsidRDefault="00602675">
      <w:pPr>
        <w:pStyle w:val="BodyText"/>
        <w:spacing w:before="202"/>
        <w:ind w:left="400"/>
      </w:pPr>
      <w:r>
        <w:t>........................</w:t>
      </w:r>
    </w:p>
    <w:p w:rsidR="00B801AF" w:rsidRDefault="00602675">
      <w:pPr>
        <w:pStyle w:val="BodyText"/>
        <w:spacing w:before="204" w:line="271" w:lineRule="auto"/>
        <w:ind w:left="400" w:right="6867"/>
      </w:pPr>
      <w:r>
        <w:t xml:space="preserve">Rumman Hasan </w:t>
      </w:r>
      <w:r>
        <w:rPr>
          <w:spacing w:val="-4"/>
        </w:rPr>
        <w:t xml:space="preserve">Fahim </w:t>
      </w:r>
      <w:r>
        <w:t>ID:</w:t>
      </w:r>
      <w:r>
        <w:rPr>
          <w:spacing w:val="-1"/>
        </w:rPr>
        <w:t xml:space="preserve"> </w:t>
      </w:r>
      <w:r>
        <w:t>161-11-273</w:t>
      </w:r>
    </w:p>
    <w:p w:rsidR="00B801AF" w:rsidRDefault="00602675">
      <w:pPr>
        <w:pStyle w:val="BodyText"/>
        <w:spacing w:line="243" w:lineRule="exact"/>
        <w:ind w:left="400"/>
      </w:pPr>
      <w:r>
        <w:t>Major:</w:t>
      </w:r>
      <w:r>
        <w:rPr>
          <w:spacing w:val="-3"/>
        </w:rPr>
        <w:t xml:space="preserve"> </w:t>
      </w:r>
      <w:r>
        <w:t>Finance</w:t>
      </w:r>
    </w:p>
    <w:p w:rsidR="00B801AF" w:rsidRDefault="00602675">
      <w:pPr>
        <w:pStyle w:val="BodyText"/>
        <w:spacing w:before="41"/>
        <w:ind w:left="400"/>
      </w:pPr>
      <w:r>
        <w:t>Faculty of Business Administration</w:t>
      </w: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spacing w:before="4"/>
        <w:rPr>
          <w:sz w:val="26"/>
        </w:rPr>
      </w:pPr>
    </w:p>
    <w:tbl>
      <w:tblPr>
        <w:tblW w:w="0" w:type="auto"/>
        <w:tblInd w:w="207" w:type="dxa"/>
        <w:tblLayout w:type="fixed"/>
        <w:tblCellMar>
          <w:left w:w="0" w:type="dxa"/>
          <w:right w:w="0" w:type="dxa"/>
        </w:tblCellMar>
        <w:tblLook w:val="01E0" w:firstRow="1" w:lastRow="1" w:firstColumn="1" w:lastColumn="1" w:noHBand="0" w:noVBand="0"/>
      </w:tblPr>
      <w:tblGrid>
        <w:gridCol w:w="6090"/>
        <w:gridCol w:w="3112"/>
      </w:tblGrid>
      <w:tr w:rsidR="00B801AF">
        <w:trPr>
          <w:trHeight w:val="251"/>
        </w:trPr>
        <w:tc>
          <w:tcPr>
            <w:tcW w:w="6090" w:type="dxa"/>
          </w:tcPr>
          <w:p w:rsidR="00B801AF" w:rsidRDefault="00602675">
            <w:pPr>
              <w:pStyle w:val="TableParagraph"/>
              <w:spacing w:line="232" w:lineRule="exact"/>
              <w:ind w:left="200"/>
              <w:rPr>
                <w:rFonts w:ascii="Carlito" w:hAnsi="Carlito"/>
                <w:i/>
              </w:rPr>
            </w:pPr>
            <w:r>
              <w:rPr>
                <w:i/>
              </w:rPr>
              <w:t xml:space="preserve">© </w:t>
            </w:r>
            <w:r>
              <w:rPr>
                <w:rFonts w:ascii="Carlito" w:hAnsi="Carlito"/>
                <w:i/>
              </w:rPr>
              <w:t>Daffodil International University</w:t>
            </w:r>
          </w:p>
        </w:tc>
        <w:tc>
          <w:tcPr>
            <w:tcW w:w="3112" w:type="dxa"/>
          </w:tcPr>
          <w:p w:rsidR="00B801AF" w:rsidRDefault="00602675">
            <w:pPr>
              <w:pStyle w:val="TableParagraph"/>
              <w:spacing w:before="22" w:line="210" w:lineRule="exact"/>
              <w:ind w:right="197"/>
              <w:jc w:val="right"/>
              <w:rPr>
                <w:sz w:val="20"/>
              </w:rPr>
            </w:pPr>
            <w:r>
              <w:rPr>
                <w:w w:val="95"/>
                <w:sz w:val="20"/>
              </w:rPr>
              <w:t>ii</w:t>
            </w:r>
          </w:p>
        </w:tc>
      </w:tr>
    </w:tbl>
    <w:p w:rsidR="00B801AF" w:rsidRDefault="00B801AF">
      <w:pPr>
        <w:spacing w:line="210" w:lineRule="exact"/>
        <w:jc w:val="right"/>
        <w:rPr>
          <w:sz w:val="20"/>
        </w:rPr>
        <w:sectPr w:rsidR="00B801AF">
          <w:footerReference w:type="default" r:id="rId8"/>
          <w:pgSz w:w="11900" w:h="16840"/>
          <w:pgMar w:top="1360" w:right="1100" w:bottom="900" w:left="1040" w:header="0" w:footer="714" w:gutter="0"/>
          <w:cols w:space="720"/>
        </w:sectPr>
      </w:pPr>
    </w:p>
    <w:p w:rsidR="00B801AF" w:rsidRDefault="00602675">
      <w:pPr>
        <w:pStyle w:val="Heading1"/>
        <w:ind w:left="537"/>
      </w:pPr>
      <w:r>
        <w:lastRenderedPageBreak/>
        <w:t>SUPERVISOR’S DECLARATION</w:t>
      </w:r>
    </w:p>
    <w:p w:rsidR="00B801AF" w:rsidRDefault="00B801AF">
      <w:pPr>
        <w:pStyle w:val="BodyText"/>
        <w:rPr>
          <w:b/>
          <w:sz w:val="34"/>
        </w:rPr>
      </w:pPr>
    </w:p>
    <w:p w:rsidR="00B801AF" w:rsidRDefault="00B801AF">
      <w:pPr>
        <w:pStyle w:val="BodyText"/>
        <w:rPr>
          <w:b/>
          <w:sz w:val="34"/>
        </w:rPr>
      </w:pPr>
    </w:p>
    <w:p w:rsidR="00B801AF" w:rsidRDefault="00B801AF">
      <w:pPr>
        <w:pStyle w:val="BodyText"/>
        <w:spacing w:before="3"/>
        <w:rPr>
          <w:b/>
          <w:sz w:val="50"/>
        </w:rPr>
      </w:pPr>
    </w:p>
    <w:p w:rsidR="00B801AF" w:rsidRDefault="00602675">
      <w:pPr>
        <w:pStyle w:val="BodyText"/>
        <w:spacing w:before="1" w:line="357" w:lineRule="auto"/>
        <w:ind w:left="400" w:right="338"/>
        <w:jc w:val="both"/>
      </w:pPr>
      <w:r>
        <w:t>It offers me immense delight to certify that the projected record titled “</w:t>
      </w:r>
      <w:r>
        <w:rPr>
          <w:b/>
        </w:rPr>
        <w:t xml:space="preserve">Performance Evaluation: A Study on Southeast Bank Limited” </w:t>
      </w:r>
      <w:r>
        <w:t>has been finished by Rumman Hasan Fahim ID: 161-11-273, BBA program, Faculty of Business &amp; Entrepreneurship, Daffodil International University, Ashulia, Savar, Dhaka underneath my supervision and steering. As some distance asThe Studyknow, this is an authentic work, which has not been published in any journal or submitted to any group or branch for any diploma or degree.</w:t>
      </w:r>
    </w:p>
    <w:p w:rsidR="00B801AF" w:rsidRDefault="00B801AF">
      <w:pPr>
        <w:pStyle w:val="BodyText"/>
        <w:rPr>
          <w:sz w:val="26"/>
        </w:rPr>
      </w:pPr>
    </w:p>
    <w:p w:rsidR="00B801AF" w:rsidRDefault="00B801AF">
      <w:pPr>
        <w:pStyle w:val="BodyText"/>
        <w:rPr>
          <w:sz w:val="26"/>
        </w:rPr>
      </w:pPr>
    </w:p>
    <w:p w:rsidR="00B801AF" w:rsidRDefault="00B801AF">
      <w:pPr>
        <w:pStyle w:val="BodyText"/>
        <w:spacing w:before="5"/>
        <w:rPr>
          <w:sz w:val="34"/>
        </w:rPr>
      </w:pPr>
    </w:p>
    <w:p w:rsidR="00B801AF" w:rsidRDefault="00602675">
      <w:pPr>
        <w:pStyle w:val="BodyText"/>
        <w:ind w:left="400"/>
        <w:jc w:val="both"/>
      </w:pPr>
      <w:r>
        <w:t>I do hereby accept it a fully recommend Internship report for evaluation.</w:t>
      </w: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602675">
      <w:pPr>
        <w:pStyle w:val="BodyText"/>
        <w:spacing w:before="172" w:line="398" w:lineRule="auto"/>
        <w:ind w:left="400" w:right="6820"/>
      </w:pPr>
      <w:r>
        <w:t>………………………….. Md. Anhar Sharif Mollah Assistant Professor</w:t>
      </w:r>
    </w:p>
    <w:p w:rsidR="00B801AF" w:rsidRDefault="00602675">
      <w:pPr>
        <w:pStyle w:val="BodyText"/>
        <w:spacing w:before="18" w:line="278" w:lineRule="auto"/>
        <w:ind w:left="400" w:right="5507"/>
        <w:jc w:val="both"/>
      </w:pPr>
      <w:r>
        <w:t>Department of Business Administration Faculty of Business &amp; Entrepreneurship Daffodil International University</w:t>
      </w:r>
    </w:p>
    <w:p w:rsidR="00B801AF" w:rsidRDefault="00B801AF">
      <w:pPr>
        <w:spacing w:line="278" w:lineRule="auto"/>
        <w:jc w:val="both"/>
        <w:sectPr w:rsidR="00B801AF">
          <w:footerReference w:type="default" r:id="rId9"/>
          <w:pgSz w:w="11900" w:h="16840"/>
          <w:pgMar w:top="1360" w:right="1100" w:bottom="1240" w:left="1040" w:header="0" w:footer="1046" w:gutter="0"/>
          <w:pgNumType w:start="3"/>
          <w:cols w:space="720"/>
        </w:sectPr>
      </w:pPr>
    </w:p>
    <w:p w:rsidR="00B801AF" w:rsidRDefault="00602675">
      <w:pPr>
        <w:pStyle w:val="Heading1"/>
        <w:ind w:left="539"/>
      </w:pPr>
      <w:r>
        <w:lastRenderedPageBreak/>
        <w:t>STUDENT’S DECLARATION</w:t>
      </w:r>
    </w:p>
    <w:p w:rsidR="00B801AF" w:rsidRDefault="00B801AF">
      <w:pPr>
        <w:pStyle w:val="BodyText"/>
        <w:rPr>
          <w:b/>
          <w:sz w:val="34"/>
        </w:rPr>
      </w:pPr>
    </w:p>
    <w:p w:rsidR="00B801AF" w:rsidRDefault="00B801AF">
      <w:pPr>
        <w:pStyle w:val="BodyText"/>
        <w:rPr>
          <w:b/>
          <w:sz w:val="34"/>
        </w:rPr>
      </w:pPr>
    </w:p>
    <w:p w:rsidR="00B801AF" w:rsidRDefault="00B801AF">
      <w:pPr>
        <w:pStyle w:val="BodyText"/>
        <w:spacing w:before="6"/>
        <w:rPr>
          <w:b/>
          <w:sz w:val="40"/>
        </w:rPr>
      </w:pPr>
    </w:p>
    <w:p w:rsidR="00B801AF" w:rsidRDefault="00602675">
      <w:pPr>
        <w:pStyle w:val="BodyText"/>
        <w:spacing w:line="357" w:lineRule="auto"/>
        <w:ind w:left="520" w:right="339"/>
        <w:jc w:val="both"/>
      </w:pPr>
      <w:r>
        <w:t>Here by The Study declare that the work submitted in that Internship Report was done by me and was not previously submitted for academic qualification to any other University / organization. The pieces The Study have submitted do not violate existing copyrights and no part of this report has been copied from work done</w:t>
      </w:r>
      <w:r>
        <w:rPr>
          <w:spacing w:val="-2"/>
        </w:rPr>
        <w:t xml:space="preserve"> </w:t>
      </w:r>
      <w:r>
        <w:t>previously.</w:t>
      </w:r>
    </w:p>
    <w:p w:rsidR="00B801AF" w:rsidRDefault="00B801AF">
      <w:pPr>
        <w:pStyle w:val="BodyText"/>
        <w:rPr>
          <w:sz w:val="26"/>
        </w:rPr>
      </w:pPr>
    </w:p>
    <w:p w:rsidR="00B801AF" w:rsidRDefault="00B801AF">
      <w:pPr>
        <w:pStyle w:val="BodyText"/>
        <w:rPr>
          <w:sz w:val="26"/>
        </w:rPr>
      </w:pPr>
    </w:p>
    <w:p w:rsidR="00B801AF" w:rsidRDefault="00602675">
      <w:pPr>
        <w:pStyle w:val="BodyText"/>
        <w:spacing w:before="150" w:line="345" w:lineRule="auto"/>
        <w:ind w:left="520" w:right="341"/>
        <w:jc w:val="both"/>
      </w:pPr>
      <w:r>
        <w:t>I also undertake to compensate the Ministry for all losses and damages caused by violation of previous duties.</w:t>
      </w: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spacing w:before="8"/>
        <w:rPr>
          <w:sz w:val="20"/>
        </w:rPr>
      </w:pPr>
    </w:p>
    <w:p w:rsidR="00B801AF" w:rsidRDefault="00602675">
      <w:pPr>
        <w:pStyle w:val="BodyText"/>
        <w:spacing w:before="1" w:line="379" w:lineRule="auto"/>
        <w:ind w:left="520" w:right="6867"/>
      </w:pPr>
      <w:r>
        <w:t xml:space="preserve">…………………… Rumman Hasan </w:t>
      </w:r>
      <w:r>
        <w:rPr>
          <w:spacing w:val="-4"/>
        </w:rPr>
        <w:t xml:space="preserve">Fahim </w:t>
      </w:r>
      <w:r>
        <w:t>ID:</w:t>
      </w:r>
      <w:r>
        <w:rPr>
          <w:spacing w:val="-1"/>
        </w:rPr>
        <w:t xml:space="preserve"> </w:t>
      </w:r>
      <w:r>
        <w:t>161-11-273</w:t>
      </w:r>
    </w:p>
    <w:p w:rsidR="00B801AF" w:rsidRDefault="00602675">
      <w:pPr>
        <w:pStyle w:val="BodyText"/>
        <w:ind w:left="520"/>
      </w:pPr>
      <w:r>
        <w:t>Major:</w:t>
      </w:r>
      <w:r>
        <w:rPr>
          <w:spacing w:val="-3"/>
        </w:rPr>
        <w:t xml:space="preserve"> </w:t>
      </w:r>
      <w:r>
        <w:t>Finance</w:t>
      </w:r>
    </w:p>
    <w:p w:rsidR="00B801AF" w:rsidRDefault="00602675">
      <w:pPr>
        <w:pStyle w:val="BodyText"/>
        <w:spacing w:before="160" w:line="379" w:lineRule="auto"/>
        <w:ind w:left="520" w:right="5367"/>
      </w:pPr>
      <w:r>
        <w:t>Department of Business Administration Faculty of Business &amp; Entrepreneurship</w:t>
      </w:r>
    </w:p>
    <w:p w:rsidR="00B801AF" w:rsidRDefault="00B801AF">
      <w:pPr>
        <w:spacing w:line="379" w:lineRule="auto"/>
        <w:sectPr w:rsidR="00B801AF">
          <w:pgSz w:w="11900" w:h="16840"/>
          <w:pgMar w:top="1360" w:right="1100" w:bottom="1240" w:left="1040" w:header="0" w:footer="1046" w:gutter="0"/>
          <w:cols w:space="720"/>
        </w:sectPr>
      </w:pPr>
    </w:p>
    <w:p w:rsidR="00B801AF" w:rsidRDefault="00602675">
      <w:pPr>
        <w:pStyle w:val="Heading1"/>
      </w:pPr>
      <w:r>
        <w:lastRenderedPageBreak/>
        <w:t>ACKNOWLEDGEMENT</w:t>
      </w:r>
    </w:p>
    <w:p w:rsidR="00B801AF" w:rsidRDefault="00B801AF">
      <w:pPr>
        <w:pStyle w:val="BodyText"/>
        <w:spacing w:before="3"/>
        <w:rPr>
          <w:b/>
          <w:sz w:val="36"/>
        </w:rPr>
      </w:pPr>
    </w:p>
    <w:p w:rsidR="00B801AF" w:rsidRDefault="00602675">
      <w:pPr>
        <w:pStyle w:val="BodyText"/>
        <w:spacing w:line="352" w:lineRule="auto"/>
        <w:ind w:left="520" w:right="336"/>
        <w:jc w:val="both"/>
      </w:pPr>
      <w:r>
        <w:t>The opportunity has already come and gone to offer my most profound thanks and accommodation to the all-powerful Allah yet for whose help The Study would not have the capacity to finish an immense undertaking of setting up this report.</w:t>
      </w:r>
    </w:p>
    <w:p w:rsidR="00B801AF" w:rsidRDefault="00602675">
      <w:pPr>
        <w:pStyle w:val="BodyText"/>
        <w:spacing w:before="163" w:line="357" w:lineRule="auto"/>
        <w:ind w:left="520" w:right="335"/>
        <w:jc w:val="both"/>
      </w:pPr>
      <w:r>
        <w:t>I might want to express my profound feeling of thankfulness towards one of my Supervisor Md. Anhar Sharif Mollah Assistant Professor, Department of Business Administration, Faculty of Business and Entrepreneurship, Daffodil International University for allowing me a chance to finish my entry level position report on truth, no aficionado can accomplish immaculateness without the assistance of a researcher. Additionally, an understudy can never be flawless without the assistance of a decent educator. A decent educator might be a milestone for any understudy. The Study am significantly obliged to The Study might want to unequivocal my profound feeling of thankfulness towards one of my Supervisor Md. Anhar Sharif Mollah Assistant Professor, Department of Business Administration, Faculty of Business and Entrepreneurship, Daffodil International University for allowing me a chance to Complete my entry level position report and his proposals and rules Were extremely an incredible assistance to</w:t>
      </w:r>
      <w:r>
        <w:rPr>
          <w:spacing w:val="-8"/>
        </w:rPr>
        <w:t xml:space="preserve"> </w:t>
      </w:r>
      <w:r>
        <w:t>me.</w:t>
      </w:r>
    </w:p>
    <w:p w:rsidR="00B801AF" w:rsidRDefault="00602675">
      <w:pPr>
        <w:pStyle w:val="BodyText"/>
        <w:spacing w:before="176" w:line="352" w:lineRule="auto"/>
        <w:ind w:left="520" w:right="342"/>
        <w:jc w:val="both"/>
      </w:pPr>
      <w:r>
        <w:t xml:space="preserve">Especially, The Study am also thankful to who gave me the opportunity to allow me in this organizational arena. The Study would also like to express </w:t>
      </w:r>
      <w:r>
        <w:rPr>
          <w:spacing w:val="2"/>
        </w:rPr>
        <w:t xml:space="preserve">my </w:t>
      </w:r>
      <w:r>
        <w:t>heart full thanks to all officers and also my friends and Elder Brother for their excellent support and proper guidance in completing my internship</w:t>
      </w:r>
      <w:r>
        <w:rPr>
          <w:spacing w:val="-7"/>
        </w:rPr>
        <w:t xml:space="preserve"> </w:t>
      </w:r>
      <w:r>
        <w:t>report.</w:t>
      </w: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spacing w:before="3"/>
        <w:rPr>
          <w:sz w:val="17"/>
        </w:rPr>
      </w:pPr>
    </w:p>
    <w:tbl>
      <w:tblPr>
        <w:tblW w:w="0" w:type="auto"/>
        <w:tblInd w:w="207" w:type="dxa"/>
        <w:tblLayout w:type="fixed"/>
        <w:tblCellMar>
          <w:left w:w="0" w:type="dxa"/>
          <w:right w:w="0" w:type="dxa"/>
        </w:tblCellMar>
        <w:tblLook w:val="01E0" w:firstRow="1" w:lastRow="1" w:firstColumn="1" w:lastColumn="1" w:noHBand="0" w:noVBand="0"/>
      </w:tblPr>
      <w:tblGrid>
        <w:gridCol w:w="6118"/>
        <w:gridCol w:w="3129"/>
      </w:tblGrid>
      <w:tr w:rsidR="00B801AF">
        <w:trPr>
          <w:trHeight w:val="251"/>
        </w:trPr>
        <w:tc>
          <w:tcPr>
            <w:tcW w:w="6118" w:type="dxa"/>
          </w:tcPr>
          <w:p w:rsidR="00B801AF" w:rsidRDefault="00602675">
            <w:pPr>
              <w:pStyle w:val="TableParagraph"/>
              <w:spacing w:line="232" w:lineRule="exact"/>
              <w:ind w:left="200"/>
              <w:rPr>
                <w:rFonts w:ascii="Carlito" w:hAnsi="Carlito"/>
                <w:i/>
              </w:rPr>
            </w:pPr>
            <w:r>
              <w:rPr>
                <w:i/>
              </w:rPr>
              <w:t xml:space="preserve">© </w:t>
            </w:r>
            <w:r>
              <w:rPr>
                <w:rFonts w:ascii="Carlito" w:hAnsi="Carlito"/>
                <w:i/>
              </w:rPr>
              <w:t>Daffodil International University</w:t>
            </w:r>
          </w:p>
        </w:tc>
        <w:tc>
          <w:tcPr>
            <w:tcW w:w="3129" w:type="dxa"/>
          </w:tcPr>
          <w:p w:rsidR="00B801AF" w:rsidRDefault="00602675">
            <w:pPr>
              <w:pStyle w:val="TableParagraph"/>
              <w:spacing w:before="22" w:line="210" w:lineRule="exact"/>
              <w:ind w:right="197"/>
              <w:jc w:val="right"/>
              <w:rPr>
                <w:sz w:val="20"/>
              </w:rPr>
            </w:pPr>
            <w:r>
              <w:rPr>
                <w:w w:val="99"/>
                <w:sz w:val="20"/>
              </w:rPr>
              <w:t>v</w:t>
            </w:r>
          </w:p>
        </w:tc>
      </w:tr>
    </w:tbl>
    <w:p w:rsidR="00B801AF" w:rsidRDefault="00B801AF">
      <w:pPr>
        <w:spacing w:line="210" w:lineRule="exact"/>
        <w:jc w:val="right"/>
        <w:rPr>
          <w:sz w:val="20"/>
        </w:rPr>
        <w:sectPr w:rsidR="00B801AF">
          <w:footerReference w:type="default" r:id="rId10"/>
          <w:pgSz w:w="11900" w:h="16840"/>
          <w:pgMar w:top="1360" w:right="1100" w:bottom="280" w:left="1040" w:header="0" w:footer="0" w:gutter="0"/>
          <w:cols w:space="720"/>
        </w:sectPr>
      </w:pPr>
    </w:p>
    <w:p w:rsidR="00B801AF" w:rsidRDefault="00602675">
      <w:pPr>
        <w:pStyle w:val="Heading1"/>
        <w:spacing w:before="15"/>
        <w:ind w:left="144"/>
        <w:rPr>
          <w:rFonts w:ascii="Carlito"/>
        </w:rPr>
      </w:pPr>
      <w:r>
        <w:rPr>
          <w:rFonts w:ascii="Carlito"/>
        </w:rPr>
        <w:lastRenderedPageBreak/>
        <w:t>Table of Contents</w:t>
      </w:r>
    </w:p>
    <w:p w:rsidR="00B801AF" w:rsidRDefault="00B801AF">
      <w:pPr>
        <w:pStyle w:val="BodyText"/>
        <w:rPr>
          <w:rFonts w:ascii="Carlito"/>
          <w:b/>
          <w:sz w:val="20"/>
        </w:rPr>
      </w:pPr>
    </w:p>
    <w:p w:rsidR="00B801AF" w:rsidRDefault="00B801AF">
      <w:pPr>
        <w:pStyle w:val="BodyText"/>
        <w:rPr>
          <w:rFonts w:ascii="Carlito"/>
          <w:b/>
          <w:sz w:val="13"/>
        </w:rPr>
      </w:pPr>
    </w:p>
    <w:tbl>
      <w:tblPr>
        <w:tblW w:w="0" w:type="auto"/>
        <w:tblInd w:w="207" w:type="dxa"/>
        <w:tblLayout w:type="fixed"/>
        <w:tblCellMar>
          <w:left w:w="0" w:type="dxa"/>
          <w:right w:w="0" w:type="dxa"/>
        </w:tblCellMar>
        <w:tblLook w:val="01E0" w:firstRow="1" w:lastRow="1" w:firstColumn="1" w:lastColumn="1" w:noHBand="0" w:noVBand="0"/>
      </w:tblPr>
      <w:tblGrid>
        <w:gridCol w:w="8131"/>
        <w:gridCol w:w="1132"/>
      </w:tblGrid>
      <w:tr w:rsidR="00B801AF">
        <w:trPr>
          <w:trHeight w:val="249"/>
        </w:trPr>
        <w:tc>
          <w:tcPr>
            <w:tcW w:w="8131" w:type="dxa"/>
          </w:tcPr>
          <w:p w:rsidR="00B801AF" w:rsidRDefault="00602675">
            <w:pPr>
              <w:pStyle w:val="TableParagraph"/>
              <w:spacing w:line="229" w:lineRule="exact"/>
              <w:ind w:left="200"/>
              <w:rPr>
                <w:b/>
              </w:rPr>
            </w:pPr>
            <w:r>
              <w:rPr>
                <w:b/>
                <w:w w:val="90"/>
              </w:rPr>
              <w:t>LETTER OF TRANSMITTAL .....................................................................................................</w:t>
            </w:r>
          </w:p>
        </w:tc>
        <w:tc>
          <w:tcPr>
            <w:tcW w:w="1132" w:type="dxa"/>
          </w:tcPr>
          <w:p w:rsidR="00B801AF" w:rsidRDefault="00602675">
            <w:pPr>
              <w:pStyle w:val="TableParagraph"/>
              <w:spacing w:line="229" w:lineRule="exact"/>
              <w:ind w:right="287"/>
              <w:jc w:val="right"/>
              <w:rPr>
                <w:b/>
              </w:rPr>
            </w:pPr>
            <w:r>
              <w:rPr>
                <w:b/>
              </w:rPr>
              <w:t>II</w:t>
            </w:r>
          </w:p>
        </w:tc>
      </w:tr>
      <w:tr w:rsidR="00B801AF">
        <w:trPr>
          <w:trHeight w:val="254"/>
        </w:trPr>
        <w:tc>
          <w:tcPr>
            <w:tcW w:w="8131" w:type="dxa"/>
          </w:tcPr>
          <w:p w:rsidR="00B801AF" w:rsidRDefault="00602675">
            <w:pPr>
              <w:pStyle w:val="TableParagraph"/>
              <w:spacing w:line="234" w:lineRule="exact"/>
              <w:ind w:left="200"/>
              <w:rPr>
                <w:b/>
              </w:rPr>
            </w:pPr>
            <w:r>
              <w:rPr>
                <w:b/>
                <w:w w:val="90"/>
              </w:rPr>
              <w:t>SUPERVISOR’S DECLARATION .................................................................................... ..........</w:t>
            </w:r>
          </w:p>
        </w:tc>
        <w:tc>
          <w:tcPr>
            <w:tcW w:w="1132" w:type="dxa"/>
          </w:tcPr>
          <w:p w:rsidR="00B801AF" w:rsidRDefault="00602675">
            <w:pPr>
              <w:pStyle w:val="TableParagraph"/>
              <w:spacing w:line="234" w:lineRule="exact"/>
              <w:ind w:right="222"/>
              <w:jc w:val="right"/>
              <w:rPr>
                <w:b/>
              </w:rPr>
            </w:pPr>
            <w:r>
              <w:rPr>
                <w:b/>
                <w:w w:val="90"/>
              </w:rPr>
              <w:t>III</w:t>
            </w:r>
          </w:p>
        </w:tc>
      </w:tr>
      <w:tr w:rsidR="00B801AF">
        <w:trPr>
          <w:trHeight w:val="253"/>
        </w:trPr>
        <w:tc>
          <w:tcPr>
            <w:tcW w:w="8131" w:type="dxa"/>
          </w:tcPr>
          <w:p w:rsidR="00B801AF" w:rsidRDefault="00602675">
            <w:pPr>
              <w:pStyle w:val="TableParagraph"/>
              <w:spacing w:line="233" w:lineRule="exact"/>
              <w:ind w:left="200"/>
              <w:rPr>
                <w:b/>
              </w:rPr>
            </w:pPr>
            <w:r>
              <w:rPr>
                <w:b/>
                <w:w w:val="90"/>
              </w:rPr>
              <w:t>STUDENT’S DECLARATION.....................................................................................................</w:t>
            </w:r>
          </w:p>
        </w:tc>
        <w:tc>
          <w:tcPr>
            <w:tcW w:w="1132" w:type="dxa"/>
          </w:tcPr>
          <w:p w:rsidR="00B801AF" w:rsidRDefault="00602675">
            <w:pPr>
              <w:pStyle w:val="TableParagraph"/>
              <w:spacing w:line="233" w:lineRule="exact"/>
              <w:ind w:right="199"/>
              <w:jc w:val="right"/>
              <w:rPr>
                <w:b/>
              </w:rPr>
            </w:pPr>
            <w:r>
              <w:rPr>
                <w:b/>
              </w:rPr>
              <w:t>IV</w:t>
            </w:r>
          </w:p>
        </w:tc>
      </w:tr>
      <w:tr w:rsidR="00B801AF">
        <w:trPr>
          <w:trHeight w:val="252"/>
        </w:trPr>
        <w:tc>
          <w:tcPr>
            <w:tcW w:w="8131" w:type="dxa"/>
          </w:tcPr>
          <w:p w:rsidR="00B801AF" w:rsidRDefault="00602675">
            <w:pPr>
              <w:pStyle w:val="TableParagraph"/>
              <w:spacing w:line="232" w:lineRule="exact"/>
              <w:ind w:left="200"/>
              <w:rPr>
                <w:b/>
              </w:rPr>
            </w:pPr>
            <w:r>
              <w:rPr>
                <w:b/>
                <w:w w:val="90"/>
              </w:rPr>
              <w:t>ACKNOWLEDGEMENT ................................................................................................. .............</w:t>
            </w:r>
          </w:p>
        </w:tc>
        <w:tc>
          <w:tcPr>
            <w:tcW w:w="1132" w:type="dxa"/>
          </w:tcPr>
          <w:p w:rsidR="00B801AF" w:rsidRDefault="00602675">
            <w:pPr>
              <w:pStyle w:val="TableParagraph"/>
              <w:spacing w:line="232" w:lineRule="exact"/>
              <w:ind w:right="259"/>
              <w:jc w:val="right"/>
              <w:rPr>
                <w:b/>
              </w:rPr>
            </w:pPr>
            <w:r>
              <w:rPr>
                <w:b/>
              </w:rPr>
              <w:t>V</w:t>
            </w:r>
          </w:p>
        </w:tc>
      </w:tr>
      <w:tr w:rsidR="00B801AF">
        <w:trPr>
          <w:trHeight w:val="254"/>
        </w:trPr>
        <w:tc>
          <w:tcPr>
            <w:tcW w:w="8131" w:type="dxa"/>
          </w:tcPr>
          <w:p w:rsidR="00B801AF" w:rsidRDefault="00602675">
            <w:pPr>
              <w:pStyle w:val="TableParagraph"/>
              <w:spacing w:line="234" w:lineRule="exact"/>
              <w:ind w:left="200"/>
              <w:rPr>
                <w:b/>
              </w:rPr>
            </w:pPr>
            <w:r>
              <w:rPr>
                <w:b/>
              </w:rPr>
              <w:t>CHAPTER ONE</w:t>
            </w:r>
          </w:p>
        </w:tc>
        <w:tc>
          <w:tcPr>
            <w:tcW w:w="1132" w:type="dxa"/>
          </w:tcPr>
          <w:p w:rsidR="00B801AF" w:rsidRDefault="00B801AF">
            <w:pPr>
              <w:pStyle w:val="TableParagraph"/>
              <w:rPr>
                <w:sz w:val="18"/>
              </w:rPr>
            </w:pPr>
          </w:p>
        </w:tc>
      </w:tr>
      <w:tr w:rsidR="00B801AF">
        <w:trPr>
          <w:trHeight w:val="253"/>
        </w:trPr>
        <w:tc>
          <w:tcPr>
            <w:tcW w:w="8131" w:type="dxa"/>
          </w:tcPr>
          <w:p w:rsidR="00B801AF" w:rsidRDefault="00602675">
            <w:pPr>
              <w:pStyle w:val="TableParagraph"/>
              <w:spacing w:line="233" w:lineRule="exact"/>
              <w:ind w:left="200"/>
              <w:rPr>
                <w:b/>
              </w:rPr>
            </w:pPr>
            <w:r>
              <w:rPr>
                <w:b/>
                <w:w w:val="90"/>
              </w:rPr>
              <w:t>INTRODUCTION ................................................................................................................ ...........</w:t>
            </w:r>
          </w:p>
        </w:tc>
        <w:tc>
          <w:tcPr>
            <w:tcW w:w="1132" w:type="dxa"/>
          </w:tcPr>
          <w:p w:rsidR="00B801AF" w:rsidRDefault="00602675">
            <w:pPr>
              <w:pStyle w:val="TableParagraph"/>
              <w:spacing w:line="233" w:lineRule="exact"/>
              <w:ind w:right="308"/>
              <w:jc w:val="right"/>
              <w:rPr>
                <w:b/>
              </w:rPr>
            </w:pPr>
            <w:r>
              <w:rPr>
                <w:b/>
              </w:rPr>
              <w:t>1</w:t>
            </w:r>
          </w:p>
        </w:tc>
      </w:tr>
      <w:tr w:rsidR="00B801AF">
        <w:trPr>
          <w:trHeight w:val="248"/>
        </w:trPr>
        <w:tc>
          <w:tcPr>
            <w:tcW w:w="8131" w:type="dxa"/>
          </w:tcPr>
          <w:p w:rsidR="00B801AF" w:rsidRDefault="00602675">
            <w:pPr>
              <w:pStyle w:val="TableParagraph"/>
              <w:spacing w:line="228" w:lineRule="exact"/>
              <w:ind w:left="200"/>
            </w:pPr>
            <w:r>
              <w:rPr>
                <w:w w:val="90"/>
              </w:rPr>
              <w:t>1.1I</w:t>
            </w:r>
            <w:r>
              <w:rPr>
                <w:w w:val="90"/>
                <w:sz w:val="18"/>
              </w:rPr>
              <w:t xml:space="preserve">NTRODUCTION </w:t>
            </w:r>
            <w:r>
              <w:rPr>
                <w:w w:val="90"/>
              </w:rPr>
              <w:t>.........................................................................................................................</w:t>
            </w:r>
          </w:p>
        </w:tc>
        <w:tc>
          <w:tcPr>
            <w:tcW w:w="1132" w:type="dxa"/>
          </w:tcPr>
          <w:p w:rsidR="00B801AF" w:rsidRDefault="00602675">
            <w:pPr>
              <w:pStyle w:val="TableParagraph"/>
              <w:spacing w:line="228" w:lineRule="exact"/>
              <w:ind w:left="160"/>
              <w:jc w:val="center"/>
            </w:pPr>
            <w:r>
              <w:t>1</w:t>
            </w:r>
          </w:p>
        </w:tc>
      </w:tr>
      <w:tr w:rsidR="00B801AF">
        <w:trPr>
          <w:trHeight w:val="249"/>
        </w:trPr>
        <w:tc>
          <w:tcPr>
            <w:tcW w:w="8131" w:type="dxa"/>
          </w:tcPr>
          <w:p w:rsidR="00B801AF" w:rsidRDefault="00602675">
            <w:pPr>
              <w:pStyle w:val="TableParagraph"/>
              <w:spacing w:line="230" w:lineRule="exact"/>
              <w:ind w:left="200"/>
            </w:pPr>
            <w:r>
              <w:rPr>
                <w:w w:val="95"/>
              </w:rPr>
              <w:t>1.2</w:t>
            </w:r>
            <w:r>
              <w:rPr>
                <w:spacing w:val="-34"/>
                <w:w w:val="95"/>
              </w:rPr>
              <w:t xml:space="preserve"> </w:t>
            </w:r>
            <w:r>
              <w:rPr>
                <w:w w:val="95"/>
              </w:rPr>
              <w:t>R</w:t>
            </w:r>
            <w:r>
              <w:rPr>
                <w:w w:val="95"/>
                <w:sz w:val="18"/>
              </w:rPr>
              <w:t>ATIONAL</w:t>
            </w:r>
            <w:r>
              <w:rPr>
                <w:spacing w:val="-26"/>
                <w:w w:val="95"/>
                <w:sz w:val="18"/>
              </w:rPr>
              <w:t xml:space="preserve"> </w:t>
            </w:r>
            <w:r>
              <w:rPr>
                <w:spacing w:val="2"/>
                <w:w w:val="95"/>
                <w:sz w:val="18"/>
              </w:rPr>
              <w:t>OF</w:t>
            </w:r>
            <w:r>
              <w:rPr>
                <w:spacing w:val="-27"/>
                <w:w w:val="95"/>
                <w:sz w:val="18"/>
              </w:rPr>
              <w:t xml:space="preserve"> </w:t>
            </w:r>
            <w:r>
              <w:rPr>
                <w:w w:val="95"/>
                <w:sz w:val="18"/>
              </w:rPr>
              <w:t>THE</w:t>
            </w:r>
            <w:r>
              <w:rPr>
                <w:spacing w:val="-22"/>
                <w:w w:val="95"/>
                <w:sz w:val="18"/>
              </w:rPr>
              <w:t xml:space="preserve"> </w:t>
            </w:r>
            <w:r>
              <w:rPr>
                <w:w w:val="95"/>
              </w:rPr>
              <w:t>S</w:t>
            </w:r>
            <w:r>
              <w:rPr>
                <w:w w:val="95"/>
                <w:sz w:val="18"/>
              </w:rPr>
              <w:t>TUDY</w:t>
            </w:r>
            <w:r>
              <w:rPr>
                <w:w w:val="95"/>
              </w:rPr>
              <w:t>.........................................................................................................</w:t>
            </w:r>
          </w:p>
        </w:tc>
        <w:tc>
          <w:tcPr>
            <w:tcW w:w="1132" w:type="dxa"/>
          </w:tcPr>
          <w:p w:rsidR="00B801AF" w:rsidRDefault="00602675">
            <w:pPr>
              <w:pStyle w:val="TableParagraph"/>
              <w:spacing w:line="230" w:lineRule="exact"/>
              <w:ind w:left="237"/>
              <w:jc w:val="center"/>
            </w:pPr>
            <w:r>
              <w:t>2</w:t>
            </w:r>
          </w:p>
        </w:tc>
      </w:tr>
      <w:tr w:rsidR="00B801AF">
        <w:trPr>
          <w:trHeight w:val="254"/>
        </w:trPr>
        <w:tc>
          <w:tcPr>
            <w:tcW w:w="8131" w:type="dxa"/>
          </w:tcPr>
          <w:p w:rsidR="00B801AF" w:rsidRDefault="00602675">
            <w:pPr>
              <w:pStyle w:val="TableParagraph"/>
              <w:spacing w:line="234" w:lineRule="exact"/>
              <w:ind w:left="200"/>
            </w:pPr>
            <w:r>
              <w:rPr>
                <w:w w:val="95"/>
              </w:rPr>
              <w:t>1.3</w:t>
            </w:r>
            <w:r>
              <w:rPr>
                <w:spacing w:val="-35"/>
                <w:w w:val="95"/>
              </w:rPr>
              <w:t xml:space="preserve"> </w:t>
            </w:r>
            <w:r>
              <w:rPr>
                <w:spacing w:val="2"/>
                <w:w w:val="95"/>
              </w:rPr>
              <w:t>O</w:t>
            </w:r>
            <w:r>
              <w:rPr>
                <w:spacing w:val="2"/>
                <w:w w:val="95"/>
                <w:sz w:val="18"/>
              </w:rPr>
              <w:t>BJECTIVES</w:t>
            </w:r>
            <w:r>
              <w:rPr>
                <w:spacing w:val="-27"/>
                <w:w w:val="95"/>
                <w:sz w:val="18"/>
              </w:rPr>
              <w:t xml:space="preserve"> </w:t>
            </w:r>
            <w:r>
              <w:rPr>
                <w:w w:val="95"/>
                <w:sz w:val="18"/>
              </w:rPr>
              <w:t>OF</w:t>
            </w:r>
            <w:r>
              <w:rPr>
                <w:spacing w:val="-28"/>
                <w:w w:val="95"/>
                <w:sz w:val="18"/>
              </w:rPr>
              <w:t xml:space="preserve"> </w:t>
            </w:r>
            <w:r>
              <w:rPr>
                <w:spacing w:val="2"/>
                <w:w w:val="95"/>
                <w:sz w:val="18"/>
              </w:rPr>
              <w:t>THE</w:t>
            </w:r>
            <w:r>
              <w:rPr>
                <w:spacing w:val="-22"/>
                <w:w w:val="95"/>
                <w:sz w:val="18"/>
              </w:rPr>
              <w:t xml:space="preserve"> </w:t>
            </w:r>
            <w:r>
              <w:rPr>
                <w:w w:val="95"/>
              </w:rPr>
              <w:t>S</w:t>
            </w:r>
            <w:r>
              <w:rPr>
                <w:w w:val="95"/>
                <w:sz w:val="18"/>
              </w:rPr>
              <w:t>TUDY</w:t>
            </w:r>
            <w:r>
              <w:rPr>
                <w:spacing w:val="-25"/>
                <w:w w:val="95"/>
                <w:sz w:val="18"/>
              </w:rPr>
              <w:t xml:space="preserve"> </w:t>
            </w:r>
            <w:r>
              <w:rPr>
                <w:w w:val="95"/>
              </w:rPr>
              <w:t>......................................................................................................</w:t>
            </w:r>
          </w:p>
        </w:tc>
        <w:tc>
          <w:tcPr>
            <w:tcW w:w="1132" w:type="dxa"/>
          </w:tcPr>
          <w:p w:rsidR="00B801AF" w:rsidRDefault="00602675">
            <w:pPr>
              <w:pStyle w:val="TableParagraph"/>
              <w:spacing w:line="234" w:lineRule="exact"/>
              <w:ind w:right="368"/>
              <w:jc w:val="right"/>
            </w:pPr>
            <w:r>
              <w:t>2</w:t>
            </w:r>
          </w:p>
        </w:tc>
      </w:tr>
      <w:tr w:rsidR="00B801AF">
        <w:trPr>
          <w:trHeight w:val="254"/>
        </w:trPr>
        <w:tc>
          <w:tcPr>
            <w:tcW w:w="8131" w:type="dxa"/>
          </w:tcPr>
          <w:p w:rsidR="00B801AF" w:rsidRDefault="00602675">
            <w:pPr>
              <w:pStyle w:val="TableParagraph"/>
              <w:spacing w:line="235" w:lineRule="exact"/>
              <w:ind w:left="200"/>
            </w:pPr>
            <w:r>
              <w:rPr>
                <w:w w:val="90"/>
              </w:rPr>
              <w:t>1.4 M</w:t>
            </w:r>
            <w:r>
              <w:rPr>
                <w:w w:val="90"/>
                <w:sz w:val="18"/>
              </w:rPr>
              <w:t xml:space="preserve">ETHODOLOGY OF </w:t>
            </w:r>
            <w:r>
              <w:rPr>
                <w:w w:val="90"/>
              </w:rPr>
              <w:t>S</w:t>
            </w:r>
            <w:r>
              <w:rPr>
                <w:w w:val="90"/>
                <w:sz w:val="18"/>
              </w:rPr>
              <w:t xml:space="preserve">TUDY </w:t>
            </w:r>
            <w:r>
              <w:rPr>
                <w:w w:val="90"/>
              </w:rPr>
              <w:t>.......................................................................................................</w:t>
            </w:r>
          </w:p>
        </w:tc>
        <w:tc>
          <w:tcPr>
            <w:tcW w:w="1132" w:type="dxa"/>
          </w:tcPr>
          <w:p w:rsidR="00B801AF" w:rsidRDefault="00602675">
            <w:pPr>
              <w:pStyle w:val="TableParagraph"/>
              <w:spacing w:line="235" w:lineRule="exact"/>
              <w:ind w:right="368"/>
              <w:jc w:val="right"/>
            </w:pPr>
            <w:r>
              <w:t>3</w:t>
            </w:r>
          </w:p>
        </w:tc>
      </w:tr>
      <w:tr w:rsidR="00B801AF">
        <w:trPr>
          <w:trHeight w:val="253"/>
        </w:trPr>
        <w:tc>
          <w:tcPr>
            <w:tcW w:w="8131" w:type="dxa"/>
          </w:tcPr>
          <w:p w:rsidR="00B801AF" w:rsidRDefault="00602675">
            <w:pPr>
              <w:pStyle w:val="TableParagraph"/>
              <w:spacing w:line="234" w:lineRule="exact"/>
              <w:ind w:left="200"/>
              <w:rPr>
                <w:i/>
              </w:rPr>
            </w:pPr>
            <w:r>
              <w:rPr>
                <w:i/>
                <w:w w:val="95"/>
              </w:rPr>
              <w:t>1.4.1 Collection of Data: ............................................................................................................</w:t>
            </w:r>
          </w:p>
        </w:tc>
        <w:tc>
          <w:tcPr>
            <w:tcW w:w="1132" w:type="dxa"/>
          </w:tcPr>
          <w:p w:rsidR="00B801AF" w:rsidRDefault="00602675">
            <w:pPr>
              <w:pStyle w:val="TableParagraph"/>
              <w:spacing w:line="234" w:lineRule="exact"/>
              <w:ind w:right="121"/>
              <w:jc w:val="center"/>
              <w:rPr>
                <w:i/>
              </w:rPr>
            </w:pPr>
            <w:r>
              <w:rPr>
                <w:i/>
              </w:rPr>
              <w:t>3</w:t>
            </w:r>
          </w:p>
        </w:tc>
      </w:tr>
      <w:tr w:rsidR="00B801AF">
        <w:trPr>
          <w:trHeight w:val="256"/>
        </w:trPr>
        <w:tc>
          <w:tcPr>
            <w:tcW w:w="8131" w:type="dxa"/>
          </w:tcPr>
          <w:p w:rsidR="00B801AF" w:rsidRDefault="00602675">
            <w:pPr>
              <w:pStyle w:val="TableParagraph"/>
              <w:spacing w:line="237" w:lineRule="exact"/>
              <w:ind w:left="200"/>
            </w:pPr>
            <w:r>
              <w:rPr>
                <w:w w:val="95"/>
              </w:rPr>
              <w:t>1.5</w:t>
            </w:r>
            <w:r>
              <w:rPr>
                <w:spacing w:val="-34"/>
                <w:w w:val="95"/>
              </w:rPr>
              <w:t xml:space="preserve"> </w:t>
            </w:r>
            <w:r>
              <w:rPr>
                <w:spacing w:val="2"/>
                <w:w w:val="95"/>
              </w:rPr>
              <w:t>L</w:t>
            </w:r>
            <w:r>
              <w:rPr>
                <w:spacing w:val="2"/>
                <w:w w:val="95"/>
                <w:sz w:val="18"/>
              </w:rPr>
              <w:t>IMITATIONS</w:t>
            </w:r>
            <w:r>
              <w:rPr>
                <w:spacing w:val="-27"/>
                <w:w w:val="95"/>
                <w:sz w:val="18"/>
              </w:rPr>
              <w:t xml:space="preserve"> </w:t>
            </w:r>
            <w:r>
              <w:rPr>
                <w:w w:val="95"/>
                <w:sz w:val="18"/>
              </w:rPr>
              <w:t>OF</w:t>
            </w:r>
            <w:r>
              <w:rPr>
                <w:spacing w:val="-26"/>
                <w:w w:val="95"/>
                <w:sz w:val="18"/>
              </w:rPr>
              <w:t xml:space="preserve"> </w:t>
            </w:r>
            <w:r>
              <w:rPr>
                <w:spacing w:val="2"/>
                <w:w w:val="95"/>
                <w:sz w:val="18"/>
              </w:rPr>
              <w:t>THE</w:t>
            </w:r>
            <w:r>
              <w:rPr>
                <w:spacing w:val="-22"/>
                <w:w w:val="95"/>
                <w:sz w:val="18"/>
              </w:rPr>
              <w:t xml:space="preserve"> </w:t>
            </w:r>
            <w:r>
              <w:rPr>
                <w:w w:val="95"/>
              </w:rPr>
              <w:t>S</w:t>
            </w:r>
            <w:r>
              <w:rPr>
                <w:w w:val="95"/>
                <w:sz w:val="18"/>
              </w:rPr>
              <w:t>TUDY</w:t>
            </w:r>
            <w:r>
              <w:rPr>
                <w:spacing w:val="-23"/>
                <w:w w:val="95"/>
                <w:sz w:val="18"/>
              </w:rPr>
              <w:t xml:space="preserve"> </w:t>
            </w:r>
            <w:r>
              <w:rPr>
                <w:w w:val="95"/>
              </w:rPr>
              <w:t>....................................................................................................</w:t>
            </w:r>
          </w:p>
        </w:tc>
        <w:tc>
          <w:tcPr>
            <w:tcW w:w="1132" w:type="dxa"/>
          </w:tcPr>
          <w:p w:rsidR="00B801AF" w:rsidRDefault="00602675">
            <w:pPr>
              <w:pStyle w:val="TableParagraph"/>
              <w:spacing w:line="237" w:lineRule="exact"/>
              <w:ind w:left="237"/>
              <w:jc w:val="center"/>
            </w:pPr>
            <w:r>
              <w:t>3</w:t>
            </w:r>
          </w:p>
        </w:tc>
      </w:tr>
      <w:tr w:rsidR="00B801AF">
        <w:trPr>
          <w:trHeight w:val="254"/>
        </w:trPr>
        <w:tc>
          <w:tcPr>
            <w:tcW w:w="8131" w:type="dxa"/>
          </w:tcPr>
          <w:p w:rsidR="00B801AF" w:rsidRDefault="00602675">
            <w:pPr>
              <w:pStyle w:val="TableParagraph"/>
              <w:spacing w:line="234" w:lineRule="exact"/>
              <w:ind w:left="200"/>
              <w:rPr>
                <w:b/>
              </w:rPr>
            </w:pPr>
            <w:r>
              <w:rPr>
                <w:b/>
              </w:rPr>
              <w:t>CHAPTER TWO</w:t>
            </w:r>
          </w:p>
        </w:tc>
        <w:tc>
          <w:tcPr>
            <w:tcW w:w="1132" w:type="dxa"/>
          </w:tcPr>
          <w:p w:rsidR="00B801AF" w:rsidRDefault="00B801AF">
            <w:pPr>
              <w:pStyle w:val="TableParagraph"/>
              <w:rPr>
                <w:sz w:val="18"/>
              </w:rPr>
            </w:pPr>
          </w:p>
        </w:tc>
      </w:tr>
      <w:tr w:rsidR="00B801AF">
        <w:trPr>
          <w:trHeight w:val="250"/>
        </w:trPr>
        <w:tc>
          <w:tcPr>
            <w:tcW w:w="8131" w:type="dxa"/>
          </w:tcPr>
          <w:p w:rsidR="00B801AF" w:rsidRDefault="00602675">
            <w:pPr>
              <w:pStyle w:val="TableParagraph"/>
              <w:spacing w:line="231" w:lineRule="exact"/>
              <w:ind w:left="200"/>
              <w:rPr>
                <w:b/>
              </w:rPr>
            </w:pPr>
            <w:r>
              <w:rPr>
                <w:b/>
                <w:w w:val="90"/>
              </w:rPr>
              <w:t>COMPANY OVERVIEW ............................................................................................................ ...</w:t>
            </w:r>
          </w:p>
        </w:tc>
        <w:tc>
          <w:tcPr>
            <w:tcW w:w="1132" w:type="dxa"/>
          </w:tcPr>
          <w:p w:rsidR="00B801AF" w:rsidRDefault="00602675">
            <w:pPr>
              <w:pStyle w:val="TableParagraph"/>
              <w:spacing w:line="231" w:lineRule="exact"/>
              <w:ind w:right="200"/>
              <w:jc w:val="right"/>
              <w:rPr>
                <w:b/>
              </w:rPr>
            </w:pPr>
            <w:r>
              <w:rPr>
                <w:b/>
              </w:rPr>
              <w:t>4</w:t>
            </w:r>
          </w:p>
        </w:tc>
      </w:tr>
      <w:tr w:rsidR="00B801AF">
        <w:trPr>
          <w:trHeight w:val="251"/>
        </w:trPr>
        <w:tc>
          <w:tcPr>
            <w:tcW w:w="9263" w:type="dxa"/>
            <w:gridSpan w:val="2"/>
          </w:tcPr>
          <w:p w:rsidR="00B801AF" w:rsidRDefault="00602675">
            <w:pPr>
              <w:pStyle w:val="TableParagraph"/>
              <w:spacing w:line="232" w:lineRule="exact"/>
              <w:ind w:left="200"/>
            </w:pPr>
            <w:r>
              <w:t>2.1 B</w:t>
            </w:r>
            <w:r>
              <w:rPr>
                <w:sz w:val="18"/>
              </w:rPr>
              <w:t xml:space="preserve">ACKGROUND OF </w:t>
            </w:r>
            <w:r>
              <w:t>“Southeast Bank Limited.”: ...................................................................................</w:t>
            </w:r>
          </w:p>
        </w:tc>
      </w:tr>
      <w:tr w:rsidR="00B801AF">
        <w:trPr>
          <w:trHeight w:val="253"/>
        </w:trPr>
        <w:tc>
          <w:tcPr>
            <w:tcW w:w="8131" w:type="dxa"/>
          </w:tcPr>
          <w:p w:rsidR="00B801AF" w:rsidRDefault="00602675">
            <w:pPr>
              <w:pStyle w:val="TableParagraph"/>
              <w:spacing w:line="233" w:lineRule="exact"/>
              <w:ind w:left="200"/>
            </w:pPr>
            <w:r>
              <w:t>4</w:t>
            </w:r>
          </w:p>
        </w:tc>
        <w:tc>
          <w:tcPr>
            <w:tcW w:w="1132" w:type="dxa"/>
          </w:tcPr>
          <w:p w:rsidR="00B801AF" w:rsidRDefault="00B801AF">
            <w:pPr>
              <w:pStyle w:val="TableParagraph"/>
              <w:rPr>
                <w:sz w:val="18"/>
              </w:rPr>
            </w:pPr>
          </w:p>
        </w:tc>
      </w:tr>
      <w:tr w:rsidR="00B801AF">
        <w:trPr>
          <w:trHeight w:val="253"/>
        </w:trPr>
        <w:tc>
          <w:tcPr>
            <w:tcW w:w="8131" w:type="dxa"/>
          </w:tcPr>
          <w:p w:rsidR="00B801AF" w:rsidRDefault="00602675">
            <w:pPr>
              <w:pStyle w:val="TableParagraph"/>
              <w:spacing w:line="233" w:lineRule="exact"/>
              <w:ind w:left="200"/>
            </w:pPr>
            <w:r>
              <w:rPr>
                <w:w w:val="95"/>
              </w:rPr>
              <w:t>2.2 M</w:t>
            </w:r>
            <w:r>
              <w:rPr>
                <w:w w:val="95"/>
                <w:sz w:val="18"/>
              </w:rPr>
              <w:t xml:space="preserve">ISSIONS </w:t>
            </w:r>
            <w:r>
              <w:rPr>
                <w:w w:val="95"/>
              </w:rPr>
              <w:t>.................................................................................................................................</w:t>
            </w:r>
          </w:p>
        </w:tc>
        <w:tc>
          <w:tcPr>
            <w:tcW w:w="1132" w:type="dxa"/>
          </w:tcPr>
          <w:p w:rsidR="00B801AF" w:rsidRDefault="00602675">
            <w:pPr>
              <w:pStyle w:val="TableParagraph"/>
              <w:spacing w:line="233" w:lineRule="exact"/>
              <w:ind w:left="160"/>
              <w:jc w:val="center"/>
            </w:pPr>
            <w:r>
              <w:t>5</w:t>
            </w:r>
          </w:p>
        </w:tc>
      </w:tr>
      <w:tr w:rsidR="00B801AF">
        <w:trPr>
          <w:trHeight w:val="253"/>
        </w:trPr>
        <w:tc>
          <w:tcPr>
            <w:tcW w:w="8131" w:type="dxa"/>
          </w:tcPr>
          <w:p w:rsidR="00B801AF" w:rsidRDefault="00602675">
            <w:pPr>
              <w:pStyle w:val="TableParagraph"/>
              <w:spacing w:line="233" w:lineRule="exact"/>
              <w:ind w:left="200"/>
            </w:pPr>
            <w:r>
              <w:rPr>
                <w:w w:val="95"/>
              </w:rPr>
              <w:t>2.3 V</w:t>
            </w:r>
            <w:r>
              <w:rPr>
                <w:w w:val="95"/>
                <w:sz w:val="18"/>
              </w:rPr>
              <w:t xml:space="preserve">ISIONS </w:t>
            </w:r>
            <w:r>
              <w:rPr>
                <w:w w:val="95"/>
              </w:rPr>
              <w:t>...................................................................................................................................</w:t>
            </w:r>
          </w:p>
        </w:tc>
        <w:tc>
          <w:tcPr>
            <w:tcW w:w="1132" w:type="dxa"/>
          </w:tcPr>
          <w:p w:rsidR="00B801AF" w:rsidRDefault="00602675">
            <w:pPr>
              <w:pStyle w:val="TableParagraph"/>
              <w:spacing w:line="233" w:lineRule="exact"/>
              <w:ind w:left="78"/>
              <w:jc w:val="center"/>
            </w:pPr>
            <w:r>
              <w:t>5</w:t>
            </w:r>
          </w:p>
        </w:tc>
      </w:tr>
      <w:tr w:rsidR="00B801AF">
        <w:trPr>
          <w:trHeight w:val="254"/>
        </w:trPr>
        <w:tc>
          <w:tcPr>
            <w:tcW w:w="8131" w:type="dxa"/>
          </w:tcPr>
          <w:p w:rsidR="00B801AF" w:rsidRDefault="00602675">
            <w:pPr>
              <w:pStyle w:val="TableParagraph"/>
              <w:spacing w:line="234" w:lineRule="exact"/>
              <w:ind w:left="200"/>
            </w:pPr>
            <w:r>
              <w:rPr>
                <w:w w:val="90"/>
              </w:rPr>
              <w:t>2.4 F</w:t>
            </w:r>
            <w:r>
              <w:rPr>
                <w:w w:val="90"/>
                <w:sz w:val="18"/>
              </w:rPr>
              <w:t xml:space="preserve">UNCTIONS OF Southeast Bank Limited </w:t>
            </w:r>
            <w:r>
              <w:rPr>
                <w:w w:val="90"/>
              </w:rPr>
              <w:t>.............................................................................................</w:t>
            </w:r>
          </w:p>
        </w:tc>
        <w:tc>
          <w:tcPr>
            <w:tcW w:w="1132" w:type="dxa"/>
          </w:tcPr>
          <w:p w:rsidR="00B801AF" w:rsidRDefault="00602675">
            <w:pPr>
              <w:pStyle w:val="TableParagraph"/>
              <w:spacing w:line="234" w:lineRule="exact"/>
              <w:ind w:right="308"/>
              <w:jc w:val="right"/>
            </w:pPr>
            <w:r>
              <w:t>5</w:t>
            </w:r>
          </w:p>
        </w:tc>
      </w:tr>
      <w:tr w:rsidR="00B801AF">
        <w:trPr>
          <w:trHeight w:val="253"/>
        </w:trPr>
        <w:tc>
          <w:tcPr>
            <w:tcW w:w="8131" w:type="dxa"/>
          </w:tcPr>
          <w:p w:rsidR="00B801AF" w:rsidRDefault="00602675">
            <w:pPr>
              <w:pStyle w:val="TableParagraph"/>
              <w:spacing w:line="233" w:lineRule="exact"/>
              <w:ind w:left="200"/>
            </w:pPr>
            <w:r>
              <w:rPr>
                <w:w w:val="90"/>
              </w:rPr>
              <w:t>2.5 M</w:t>
            </w:r>
            <w:r>
              <w:rPr>
                <w:w w:val="90"/>
                <w:sz w:val="18"/>
              </w:rPr>
              <w:t xml:space="preserve">ANAGEMENT </w:t>
            </w:r>
            <w:r>
              <w:rPr>
                <w:w w:val="90"/>
              </w:rPr>
              <w:t>I</w:t>
            </w:r>
            <w:r>
              <w:rPr>
                <w:w w:val="90"/>
                <w:sz w:val="18"/>
              </w:rPr>
              <w:t xml:space="preserve">NFORMATION </w:t>
            </w:r>
            <w:r>
              <w:rPr>
                <w:w w:val="90"/>
              </w:rPr>
              <w:t>S</w:t>
            </w:r>
            <w:r>
              <w:rPr>
                <w:w w:val="90"/>
                <w:sz w:val="18"/>
              </w:rPr>
              <w:t xml:space="preserve">YSTEM </w:t>
            </w:r>
            <w:r>
              <w:rPr>
                <w:w w:val="90"/>
              </w:rPr>
              <w:t xml:space="preserve">(MIS) </w:t>
            </w:r>
            <w:r>
              <w:rPr>
                <w:w w:val="90"/>
                <w:sz w:val="18"/>
              </w:rPr>
              <w:t xml:space="preserve">OF </w:t>
            </w:r>
            <w:r>
              <w:rPr>
                <w:w w:val="90"/>
              </w:rPr>
              <w:t>SEBL ..............................................................</w:t>
            </w:r>
          </w:p>
        </w:tc>
        <w:tc>
          <w:tcPr>
            <w:tcW w:w="1132" w:type="dxa"/>
          </w:tcPr>
          <w:p w:rsidR="00B801AF" w:rsidRDefault="00602675">
            <w:pPr>
              <w:pStyle w:val="TableParagraph"/>
              <w:spacing w:line="233" w:lineRule="exact"/>
              <w:ind w:right="200"/>
              <w:jc w:val="right"/>
            </w:pPr>
            <w:r>
              <w:t>6</w:t>
            </w:r>
          </w:p>
        </w:tc>
      </w:tr>
      <w:tr w:rsidR="00B801AF">
        <w:trPr>
          <w:trHeight w:val="256"/>
        </w:trPr>
        <w:tc>
          <w:tcPr>
            <w:tcW w:w="8131" w:type="dxa"/>
          </w:tcPr>
          <w:p w:rsidR="00B801AF" w:rsidRDefault="00602675">
            <w:pPr>
              <w:pStyle w:val="TableParagraph"/>
              <w:spacing w:line="237" w:lineRule="exact"/>
              <w:ind w:left="200"/>
            </w:pPr>
            <w:r>
              <w:rPr>
                <w:w w:val="90"/>
              </w:rPr>
              <w:t>2.6 M</w:t>
            </w:r>
            <w:r>
              <w:rPr>
                <w:w w:val="90"/>
                <w:sz w:val="18"/>
              </w:rPr>
              <w:t xml:space="preserve">AJOR DIVISION OF </w:t>
            </w:r>
            <w:r>
              <w:rPr>
                <w:w w:val="90"/>
              </w:rPr>
              <w:t>SEBL: ........................................................................................................</w:t>
            </w:r>
          </w:p>
        </w:tc>
        <w:tc>
          <w:tcPr>
            <w:tcW w:w="1132" w:type="dxa"/>
          </w:tcPr>
          <w:p w:rsidR="00B801AF" w:rsidRDefault="00602675">
            <w:pPr>
              <w:pStyle w:val="TableParagraph"/>
              <w:spacing w:line="237" w:lineRule="exact"/>
              <w:ind w:right="270"/>
              <w:jc w:val="right"/>
            </w:pPr>
            <w:r>
              <w:t>6</w:t>
            </w:r>
          </w:p>
        </w:tc>
      </w:tr>
      <w:tr w:rsidR="00B801AF">
        <w:trPr>
          <w:trHeight w:val="257"/>
        </w:trPr>
        <w:tc>
          <w:tcPr>
            <w:tcW w:w="8131" w:type="dxa"/>
          </w:tcPr>
          <w:p w:rsidR="00B801AF" w:rsidRDefault="00602675">
            <w:pPr>
              <w:pStyle w:val="TableParagraph"/>
              <w:spacing w:line="238" w:lineRule="exact"/>
              <w:ind w:left="200"/>
              <w:rPr>
                <w:b/>
              </w:rPr>
            </w:pPr>
            <w:r>
              <w:rPr>
                <w:b/>
              </w:rPr>
              <w:t>CHAPTER THREE</w:t>
            </w:r>
          </w:p>
        </w:tc>
        <w:tc>
          <w:tcPr>
            <w:tcW w:w="1132" w:type="dxa"/>
          </w:tcPr>
          <w:p w:rsidR="00B801AF" w:rsidRDefault="00B801AF">
            <w:pPr>
              <w:pStyle w:val="TableParagraph"/>
              <w:rPr>
                <w:sz w:val="18"/>
              </w:rPr>
            </w:pPr>
          </w:p>
        </w:tc>
      </w:tr>
      <w:tr w:rsidR="00B801AF">
        <w:trPr>
          <w:trHeight w:val="252"/>
        </w:trPr>
        <w:tc>
          <w:tcPr>
            <w:tcW w:w="8131" w:type="dxa"/>
          </w:tcPr>
          <w:p w:rsidR="00B801AF" w:rsidRDefault="00602675">
            <w:pPr>
              <w:pStyle w:val="TableParagraph"/>
              <w:spacing w:line="232" w:lineRule="exact"/>
              <w:ind w:left="200"/>
              <w:rPr>
                <w:b/>
              </w:rPr>
            </w:pPr>
            <w:r>
              <w:rPr>
                <w:b/>
                <w:w w:val="90"/>
              </w:rPr>
              <w:t>LITERATURE REVIEW ........................................................................................................... ....</w:t>
            </w:r>
          </w:p>
        </w:tc>
        <w:tc>
          <w:tcPr>
            <w:tcW w:w="1132" w:type="dxa"/>
          </w:tcPr>
          <w:p w:rsidR="00B801AF" w:rsidRDefault="00602675">
            <w:pPr>
              <w:pStyle w:val="TableParagraph"/>
              <w:spacing w:line="232" w:lineRule="exact"/>
              <w:ind w:right="308"/>
              <w:jc w:val="right"/>
              <w:rPr>
                <w:b/>
              </w:rPr>
            </w:pPr>
            <w:r>
              <w:rPr>
                <w:b/>
              </w:rPr>
              <w:t>7</w:t>
            </w:r>
          </w:p>
        </w:tc>
      </w:tr>
      <w:tr w:rsidR="00B801AF">
        <w:trPr>
          <w:trHeight w:val="248"/>
        </w:trPr>
        <w:tc>
          <w:tcPr>
            <w:tcW w:w="8131" w:type="dxa"/>
          </w:tcPr>
          <w:p w:rsidR="00B801AF" w:rsidRDefault="00602675">
            <w:pPr>
              <w:pStyle w:val="TableParagraph"/>
              <w:spacing w:line="229" w:lineRule="exact"/>
              <w:ind w:left="200"/>
            </w:pPr>
            <w:r>
              <w:rPr>
                <w:w w:val="95"/>
              </w:rPr>
              <w:t>3.1 I</w:t>
            </w:r>
            <w:r>
              <w:rPr>
                <w:w w:val="95"/>
                <w:sz w:val="18"/>
              </w:rPr>
              <w:t xml:space="preserve">NTRODUCTION </w:t>
            </w:r>
            <w:r>
              <w:rPr>
                <w:w w:val="95"/>
              </w:rPr>
              <w:t>........................................................................................................................</w:t>
            </w:r>
          </w:p>
        </w:tc>
        <w:tc>
          <w:tcPr>
            <w:tcW w:w="1132" w:type="dxa"/>
          </w:tcPr>
          <w:p w:rsidR="00B801AF" w:rsidRDefault="00602675">
            <w:pPr>
              <w:pStyle w:val="TableParagraph"/>
              <w:spacing w:line="229" w:lineRule="exact"/>
              <w:ind w:left="160"/>
              <w:jc w:val="center"/>
            </w:pPr>
            <w:r>
              <w:t>7</w:t>
            </w:r>
          </w:p>
        </w:tc>
      </w:tr>
      <w:tr w:rsidR="00B801AF">
        <w:trPr>
          <w:trHeight w:val="250"/>
        </w:trPr>
        <w:tc>
          <w:tcPr>
            <w:tcW w:w="8131" w:type="dxa"/>
          </w:tcPr>
          <w:p w:rsidR="00B801AF" w:rsidRDefault="00602675">
            <w:pPr>
              <w:pStyle w:val="TableParagraph"/>
              <w:spacing w:line="231" w:lineRule="exact"/>
              <w:ind w:left="200"/>
            </w:pPr>
            <w:r>
              <w:rPr>
                <w:w w:val="95"/>
              </w:rPr>
              <w:t>3.2</w:t>
            </w:r>
            <w:r>
              <w:rPr>
                <w:spacing w:val="-36"/>
                <w:w w:val="95"/>
              </w:rPr>
              <w:t xml:space="preserve"> </w:t>
            </w:r>
            <w:r>
              <w:rPr>
                <w:w w:val="95"/>
              </w:rPr>
              <w:t>T</w:t>
            </w:r>
            <w:r>
              <w:rPr>
                <w:w w:val="95"/>
                <w:sz w:val="18"/>
              </w:rPr>
              <w:t>HEORIES</w:t>
            </w:r>
            <w:r>
              <w:rPr>
                <w:spacing w:val="-29"/>
                <w:w w:val="95"/>
                <w:sz w:val="18"/>
              </w:rPr>
              <w:t xml:space="preserve"> </w:t>
            </w:r>
            <w:r>
              <w:rPr>
                <w:w w:val="95"/>
                <w:sz w:val="18"/>
              </w:rPr>
              <w:t>OF</w:t>
            </w:r>
            <w:r>
              <w:rPr>
                <w:spacing w:val="-25"/>
                <w:w w:val="95"/>
                <w:sz w:val="18"/>
              </w:rPr>
              <w:t xml:space="preserve"> </w:t>
            </w:r>
            <w:r>
              <w:rPr>
                <w:w w:val="95"/>
              </w:rPr>
              <w:t>B</w:t>
            </w:r>
            <w:r>
              <w:rPr>
                <w:w w:val="95"/>
                <w:sz w:val="18"/>
              </w:rPr>
              <w:t>ANK</w:t>
            </w:r>
            <w:r>
              <w:rPr>
                <w:spacing w:val="-25"/>
                <w:w w:val="95"/>
                <w:sz w:val="18"/>
              </w:rPr>
              <w:t xml:space="preserve"> </w:t>
            </w:r>
            <w:r>
              <w:rPr>
                <w:w w:val="95"/>
              </w:rPr>
              <w:t>P</w:t>
            </w:r>
            <w:r>
              <w:rPr>
                <w:w w:val="95"/>
                <w:sz w:val="18"/>
              </w:rPr>
              <w:t>ROFITABILITY</w:t>
            </w:r>
            <w:r>
              <w:rPr>
                <w:spacing w:val="-25"/>
                <w:w w:val="95"/>
                <w:sz w:val="18"/>
              </w:rPr>
              <w:t xml:space="preserve"> </w:t>
            </w:r>
            <w:r>
              <w:rPr>
                <w:w w:val="95"/>
              </w:rPr>
              <w:t>.........................................................................................</w:t>
            </w:r>
          </w:p>
        </w:tc>
        <w:tc>
          <w:tcPr>
            <w:tcW w:w="1132" w:type="dxa"/>
          </w:tcPr>
          <w:p w:rsidR="00B801AF" w:rsidRDefault="00602675">
            <w:pPr>
              <w:pStyle w:val="TableParagraph"/>
              <w:spacing w:line="231" w:lineRule="exact"/>
              <w:ind w:left="117"/>
              <w:jc w:val="center"/>
            </w:pPr>
            <w:r>
              <w:t>7</w:t>
            </w:r>
          </w:p>
        </w:tc>
      </w:tr>
      <w:tr w:rsidR="00B801AF">
        <w:trPr>
          <w:trHeight w:val="254"/>
        </w:trPr>
        <w:tc>
          <w:tcPr>
            <w:tcW w:w="8131" w:type="dxa"/>
          </w:tcPr>
          <w:p w:rsidR="00B801AF" w:rsidRDefault="00602675">
            <w:pPr>
              <w:pStyle w:val="TableParagraph"/>
              <w:spacing w:line="234" w:lineRule="exact"/>
              <w:ind w:left="200"/>
            </w:pPr>
            <w:r>
              <w:rPr>
                <w:w w:val="90"/>
              </w:rPr>
              <w:t>3.3 P</w:t>
            </w:r>
            <w:r>
              <w:rPr>
                <w:w w:val="90"/>
                <w:sz w:val="18"/>
              </w:rPr>
              <w:t xml:space="preserve">ERFORMANCE </w:t>
            </w:r>
            <w:r>
              <w:rPr>
                <w:w w:val="90"/>
              </w:rPr>
              <w:t>M</w:t>
            </w:r>
            <w:r>
              <w:rPr>
                <w:w w:val="90"/>
                <w:sz w:val="18"/>
              </w:rPr>
              <w:t xml:space="preserve">EASUREMENT IN </w:t>
            </w:r>
            <w:r>
              <w:rPr>
                <w:w w:val="90"/>
              </w:rPr>
              <w:t>B</w:t>
            </w:r>
            <w:r>
              <w:rPr>
                <w:w w:val="90"/>
                <w:sz w:val="18"/>
              </w:rPr>
              <w:t>ANKS</w:t>
            </w:r>
            <w:r>
              <w:rPr>
                <w:w w:val="90"/>
              </w:rPr>
              <w:t>................................................................................</w:t>
            </w:r>
          </w:p>
        </w:tc>
        <w:tc>
          <w:tcPr>
            <w:tcW w:w="1132" w:type="dxa"/>
          </w:tcPr>
          <w:p w:rsidR="00B801AF" w:rsidRDefault="00602675">
            <w:pPr>
              <w:pStyle w:val="TableParagraph"/>
              <w:spacing w:line="234" w:lineRule="exact"/>
              <w:ind w:right="330"/>
              <w:jc w:val="right"/>
            </w:pPr>
            <w:r>
              <w:t>7</w:t>
            </w:r>
          </w:p>
        </w:tc>
      </w:tr>
      <w:tr w:rsidR="00B801AF">
        <w:trPr>
          <w:trHeight w:val="254"/>
        </w:trPr>
        <w:tc>
          <w:tcPr>
            <w:tcW w:w="8131" w:type="dxa"/>
          </w:tcPr>
          <w:p w:rsidR="00B801AF" w:rsidRDefault="00602675">
            <w:pPr>
              <w:pStyle w:val="TableParagraph"/>
              <w:spacing w:line="234" w:lineRule="exact"/>
              <w:ind w:left="200"/>
            </w:pPr>
            <w:r>
              <w:rPr>
                <w:w w:val="90"/>
              </w:rPr>
              <w:t>3.4 F</w:t>
            </w:r>
            <w:r>
              <w:rPr>
                <w:w w:val="90"/>
                <w:sz w:val="18"/>
              </w:rPr>
              <w:t xml:space="preserve">INANCIAL </w:t>
            </w:r>
            <w:r>
              <w:rPr>
                <w:w w:val="90"/>
              </w:rPr>
              <w:t>S</w:t>
            </w:r>
            <w:r>
              <w:rPr>
                <w:w w:val="90"/>
                <w:sz w:val="18"/>
              </w:rPr>
              <w:t xml:space="preserve">TATEMENTS </w:t>
            </w:r>
            <w:r>
              <w:rPr>
                <w:w w:val="90"/>
              </w:rPr>
              <w:t>A</w:t>
            </w:r>
            <w:r>
              <w:rPr>
                <w:w w:val="90"/>
                <w:sz w:val="18"/>
              </w:rPr>
              <w:t xml:space="preserve">NALYSIS </w:t>
            </w:r>
            <w:r>
              <w:rPr>
                <w:w w:val="90"/>
              </w:rPr>
              <w:t>.........................................................................................</w:t>
            </w:r>
          </w:p>
        </w:tc>
        <w:tc>
          <w:tcPr>
            <w:tcW w:w="1132" w:type="dxa"/>
          </w:tcPr>
          <w:p w:rsidR="00B801AF" w:rsidRDefault="00602675">
            <w:pPr>
              <w:pStyle w:val="TableParagraph"/>
              <w:spacing w:line="234" w:lineRule="exact"/>
              <w:ind w:right="308"/>
              <w:jc w:val="right"/>
            </w:pPr>
            <w:r>
              <w:t>9</w:t>
            </w:r>
          </w:p>
        </w:tc>
      </w:tr>
      <w:tr w:rsidR="00B801AF">
        <w:trPr>
          <w:trHeight w:val="253"/>
        </w:trPr>
        <w:tc>
          <w:tcPr>
            <w:tcW w:w="8131" w:type="dxa"/>
          </w:tcPr>
          <w:p w:rsidR="00B801AF" w:rsidRDefault="00602675">
            <w:pPr>
              <w:pStyle w:val="TableParagraph"/>
              <w:spacing w:line="233" w:lineRule="exact"/>
              <w:ind w:left="200"/>
              <w:rPr>
                <w:i/>
              </w:rPr>
            </w:pPr>
            <w:r>
              <w:rPr>
                <w:i/>
                <w:w w:val="95"/>
              </w:rPr>
              <w:t>3.4.1 Types of Financial Analysis ...............................................................................................</w:t>
            </w:r>
          </w:p>
        </w:tc>
        <w:tc>
          <w:tcPr>
            <w:tcW w:w="1132" w:type="dxa"/>
          </w:tcPr>
          <w:p w:rsidR="00B801AF" w:rsidRDefault="00602675">
            <w:pPr>
              <w:pStyle w:val="TableParagraph"/>
              <w:spacing w:line="233" w:lineRule="exact"/>
              <w:ind w:right="78"/>
              <w:jc w:val="center"/>
              <w:rPr>
                <w:i/>
              </w:rPr>
            </w:pPr>
            <w:r>
              <w:rPr>
                <w:i/>
              </w:rPr>
              <w:t>9</w:t>
            </w:r>
          </w:p>
        </w:tc>
      </w:tr>
      <w:tr w:rsidR="00B801AF">
        <w:trPr>
          <w:trHeight w:val="253"/>
        </w:trPr>
        <w:tc>
          <w:tcPr>
            <w:tcW w:w="8131" w:type="dxa"/>
          </w:tcPr>
          <w:p w:rsidR="00B801AF" w:rsidRDefault="00602675">
            <w:pPr>
              <w:pStyle w:val="TableParagraph"/>
              <w:spacing w:line="233" w:lineRule="exact"/>
              <w:ind w:left="200"/>
              <w:rPr>
                <w:i/>
              </w:rPr>
            </w:pPr>
            <w:r>
              <w:rPr>
                <w:i/>
                <w:w w:val="95"/>
              </w:rPr>
              <w:t>3.4.2 Basics of financial statements ..........................................................................................</w:t>
            </w:r>
          </w:p>
        </w:tc>
        <w:tc>
          <w:tcPr>
            <w:tcW w:w="1132" w:type="dxa"/>
          </w:tcPr>
          <w:p w:rsidR="00B801AF" w:rsidRDefault="00602675">
            <w:pPr>
              <w:pStyle w:val="TableParagraph"/>
              <w:spacing w:line="233" w:lineRule="exact"/>
              <w:ind w:left="360"/>
              <w:rPr>
                <w:i/>
              </w:rPr>
            </w:pPr>
            <w:r>
              <w:rPr>
                <w:i/>
              </w:rPr>
              <w:t>10</w:t>
            </w:r>
          </w:p>
        </w:tc>
      </w:tr>
      <w:tr w:rsidR="00B801AF">
        <w:trPr>
          <w:trHeight w:val="259"/>
        </w:trPr>
        <w:tc>
          <w:tcPr>
            <w:tcW w:w="8131" w:type="dxa"/>
          </w:tcPr>
          <w:p w:rsidR="00B801AF" w:rsidRDefault="00602675">
            <w:pPr>
              <w:pStyle w:val="TableParagraph"/>
              <w:spacing w:line="239" w:lineRule="exact"/>
              <w:ind w:left="200"/>
              <w:rPr>
                <w:i/>
              </w:rPr>
            </w:pPr>
            <w:r>
              <w:rPr>
                <w:i/>
                <w:w w:val="95"/>
              </w:rPr>
              <w:t>3.4.3 Common-size statements .................................................................................................</w:t>
            </w:r>
          </w:p>
        </w:tc>
        <w:tc>
          <w:tcPr>
            <w:tcW w:w="1132" w:type="dxa"/>
          </w:tcPr>
          <w:p w:rsidR="00B801AF" w:rsidRDefault="00602675">
            <w:pPr>
              <w:pStyle w:val="TableParagraph"/>
              <w:spacing w:line="239" w:lineRule="exact"/>
              <w:ind w:left="300"/>
              <w:rPr>
                <w:i/>
              </w:rPr>
            </w:pPr>
            <w:r>
              <w:rPr>
                <w:i/>
              </w:rPr>
              <w:t>11</w:t>
            </w:r>
          </w:p>
        </w:tc>
      </w:tr>
      <w:tr w:rsidR="00B801AF">
        <w:trPr>
          <w:trHeight w:val="257"/>
        </w:trPr>
        <w:tc>
          <w:tcPr>
            <w:tcW w:w="8131" w:type="dxa"/>
          </w:tcPr>
          <w:p w:rsidR="00B801AF" w:rsidRDefault="00602675">
            <w:pPr>
              <w:pStyle w:val="TableParagraph"/>
              <w:spacing w:before="1" w:line="237" w:lineRule="exact"/>
              <w:ind w:left="200"/>
              <w:rPr>
                <w:b/>
              </w:rPr>
            </w:pPr>
            <w:r>
              <w:rPr>
                <w:b/>
              </w:rPr>
              <w:t>CHAPTER FOUR</w:t>
            </w:r>
          </w:p>
        </w:tc>
        <w:tc>
          <w:tcPr>
            <w:tcW w:w="1132" w:type="dxa"/>
          </w:tcPr>
          <w:p w:rsidR="00B801AF" w:rsidRDefault="00B801AF">
            <w:pPr>
              <w:pStyle w:val="TableParagraph"/>
              <w:rPr>
                <w:sz w:val="18"/>
              </w:rPr>
            </w:pPr>
          </w:p>
        </w:tc>
      </w:tr>
      <w:tr w:rsidR="00B801AF">
        <w:trPr>
          <w:trHeight w:val="250"/>
        </w:trPr>
        <w:tc>
          <w:tcPr>
            <w:tcW w:w="8131" w:type="dxa"/>
          </w:tcPr>
          <w:p w:rsidR="00B801AF" w:rsidRDefault="00602675">
            <w:pPr>
              <w:pStyle w:val="TableParagraph"/>
              <w:spacing w:line="231" w:lineRule="exact"/>
              <w:ind w:left="200"/>
              <w:rPr>
                <w:b/>
              </w:rPr>
            </w:pPr>
            <w:r>
              <w:rPr>
                <w:b/>
                <w:w w:val="90"/>
              </w:rPr>
              <w:t>ANALYSES ...................................................................................................................................</w:t>
            </w:r>
          </w:p>
        </w:tc>
        <w:tc>
          <w:tcPr>
            <w:tcW w:w="1132" w:type="dxa"/>
          </w:tcPr>
          <w:p w:rsidR="00B801AF" w:rsidRDefault="00602675">
            <w:pPr>
              <w:pStyle w:val="TableParagraph"/>
              <w:spacing w:line="231" w:lineRule="exact"/>
              <w:ind w:left="569"/>
              <w:rPr>
                <w:b/>
              </w:rPr>
            </w:pPr>
            <w:r>
              <w:rPr>
                <w:b/>
              </w:rPr>
              <w:t>12</w:t>
            </w:r>
          </w:p>
        </w:tc>
      </w:tr>
      <w:tr w:rsidR="00B801AF">
        <w:trPr>
          <w:trHeight w:val="248"/>
        </w:trPr>
        <w:tc>
          <w:tcPr>
            <w:tcW w:w="8131" w:type="dxa"/>
          </w:tcPr>
          <w:p w:rsidR="00B801AF" w:rsidRDefault="00602675">
            <w:pPr>
              <w:pStyle w:val="TableParagraph"/>
              <w:spacing w:line="228" w:lineRule="exact"/>
              <w:ind w:left="200"/>
            </w:pPr>
            <w:r>
              <w:rPr>
                <w:w w:val="95"/>
              </w:rPr>
              <w:t>4.1 R</w:t>
            </w:r>
            <w:r>
              <w:rPr>
                <w:w w:val="95"/>
                <w:sz w:val="18"/>
              </w:rPr>
              <w:t xml:space="preserve">ATIO </w:t>
            </w:r>
            <w:r>
              <w:rPr>
                <w:w w:val="95"/>
              </w:rPr>
              <w:t>A</w:t>
            </w:r>
            <w:r>
              <w:rPr>
                <w:w w:val="95"/>
                <w:sz w:val="18"/>
              </w:rPr>
              <w:t xml:space="preserve">NALYSIS </w:t>
            </w:r>
            <w:r>
              <w:rPr>
                <w:w w:val="95"/>
              </w:rPr>
              <w:t>...................................................................................................................</w:t>
            </w:r>
          </w:p>
        </w:tc>
        <w:tc>
          <w:tcPr>
            <w:tcW w:w="1132" w:type="dxa"/>
          </w:tcPr>
          <w:p w:rsidR="00B801AF" w:rsidRDefault="00602675">
            <w:pPr>
              <w:pStyle w:val="TableParagraph"/>
              <w:spacing w:line="228" w:lineRule="exact"/>
              <w:ind w:left="460" w:right="411"/>
              <w:jc w:val="center"/>
            </w:pPr>
            <w:r>
              <w:t>12</w:t>
            </w:r>
          </w:p>
        </w:tc>
      </w:tr>
      <w:tr w:rsidR="00B801AF">
        <w:trPr>
          <w:trHeight w:val="251"/>
        </w:trPr>
        <w:tc>
          <w:tcPr>
            <w:tcW w:w="8131" w:type="dxa"/>
          </w:tcPr>
          <w:p w:rsidR="00B801AF" w:rsidRDefault="00602675">
            <w:pPr>
              <w:pStyle w:val="TableParagraph"/>
              <w:spacing w:line="232" w:lineRule="exact"/>
              <w:ind w:left="200"/>
              <w:rPr>
                <w:i/>
              </w:rPr>
            </w:pPr>
            <w:r>
              <w:rPr>
                <w:i/>
                <w:w w:val="95"/>
              </w:rPr>
              <w:t>4.1.1 Liquidity Ratio: ...............................................................................................................</w:t>
            </w:r>
          </w:p>
        </w:tc>
        <w:tc>
          <w:tcPr>
            <w:tcW w:w="1132" w:type="dxa"/>
          </w:tcPr>
          <w:p w:rsidR="00B801AF" w:rsidRDefault="00602675">
            <w:pPr>
              <w:pStyle w:val="TableParagraph"/>
              <w:spacing w:line="232" w:lineRule="exact"/>
              <w:ind w:left="300"/>
              <w:rPr>
                <w:i/>
              </w:rPr>
            </w:pPr>
            <w:r>
              <w:rPr>
                <w:i/>
              </w:rPr>
              <w:t>12</w:t>
            </w:r>
          </w:p>
        </w:tc>
      </w:tr>
      <w:tr w:rsidR="00B801AF">
        <w:trPr>
          <w:trHeight w:val="255"/>
        </w:trPr>
        <w:tc>
          <w:tcPr>
            <w:tcW w:w="8131" w:type="dxa"/>
          </w:tcPr>
          <w:p w:rsidR="00B801AF" w:rsidRDefault="00602675">
            <w:pPr>
              <w:pStyle w:val="TableParagraph"/>
              <w:spacing w:line="236" w:lineRule="exact"/>
              <w:ind w:left="200"/>
            </w:pPr>
            <w:r>
              <w:t>4.1.1.1 Current Ratio: ...........................................................................................................</w:t>
            </w:r>
          </w:p>
        </w:tc>
        <w:tc>
          <w:tcPr>
            <w:tcW w:w="1132" w:type="dxa"/>
          </w:tcPr>
          <w:p w:rsidR="00B801AF" w:rsidRDefault="00602675">
            <w:pPr>
              <w:pStyle w:val="TableParagraph"/>
              <w:spacing w:line="236" w:lineRule="exact"/>
              <w:ind w:left="98"/>
            </w:pPr>
            <w:r>
              <w:t>12</w:t>
            </w:r>
          </w:p>
        </w:tc>
      </w:tr>
      <w:tr w:rsidR="00B801AF">
        <w:trPr>
          <w:trHeight w:val="252"/>
        </w:trPr>
        <w:tc>
          <w:tcPr>
            <w:tcW w:w="8131" w:type="dxa"/>
          </w:tcPr>
          <w:p w:rsidR="00B801AF" w:rsidRDefault="00602675">
            <w:pPr>
              <w:pStyle w:val="TableParagraph"/>
              <w:spacing w:line="232" w:lineRule="exact"/>
              <w:ind w:left="200"/>
            </w:pPr>
            <w:r>
              <w:t>4.1.1.2 Net Working Capital.................................................................................................</w:t>
            </w:r>
          </w:p>
        </w:tc>
        <w:tc>
          <w:tcPr>
            <w:tcW w:w="1132" w:type="dxa"/>
          </w:tcPr>
          <w:p w:rsidR="00B801AF" w:rsidRDefault="00602675">
            <w:pPr>
              <w:pStyle w:val="TableParagraph"/>
              <w:spacing w:line="232" w:lineRule="exact"/>
              <w:ind w:left="81"/>
            </w:pPr>
            <w:r>
              <w:t>13</w:t>
            </w:r>
          </w:p>
        </w:tc>
      </w:tr>
      <w:tr w:rsidR="00B801AF">
        <w:trPr>
          <w:trHeight w:val="252"/>
        </w:trPr>
        <w:tc>
          <w:tcPr>
            <w:tcW w:w="8131" w:type="dxa"/>
          </w:tcPr>
          <w:p w:rsidR="00B801AF" w:rsidRDefault="00602675">
            <w:pPr>
              <w:pStyle w:val="TableParagraph"/>
              <w:spacing w:line="232" w:lineRule="exact"/>
              <w:ind w:left="200"/>
            </w:pPr>
            <w:r>
              <w:t>4.1.1.3 Acid Test Ratio: .......................................................................................................</w:t>
            </w:r>
          </w:p>
        </w:tc>
        <w:tc>
          <w:tcPr>
            <w:tcW w:w="1132" w:type="dxa"/>
          </w:tcPr>
          <w:p w:rsidR="00B801AF" w:rsidRDefault="00602675">
            <w:pPr>
              <w:pStyle w:val="TableParagraph"/>
              <w:spacing w:line="232" w:lineRule="exact"/>
              <w:ind w:left="84"/>
            </w:pPr>
            <w:r>
              <w:t>14</w:t>
            </w:r>
          </w:p>
        </w:tc>
      </w:tr>
      <w:tr w:rsidR="00B801AF">
        <w:trPr>
          <w:trHeight w:val="254"/>
        </w:trPr>
        <w:tc>
          <w:tcPr>
            <w:tcW w:w="8131" w:type="dxa"/>
          </w:tcPr>
          <w:p w:rsidR="00B801AF" w:rsidRDefault="00602675">
            <w:pPr>
              <w:pStyle w:val="TableParagraph"/>
              <w:spacing w:line="234" w:lineRule="exact"/>
              <w:ind w:left="200"/>
              <w:rPr>
                <w:i/>
              </w:rPr>
            </w:pPr>
            <w:r>
              <w:rPr>
                <w:i/>
                <w:w w:val="95"/>
              </w:rPr>
              <w:t>4.1.2 Activity Ratio: .................................................................................................................</w:t>
            </w:r>
          </w:p>
        </w:tc>
        <w:tc>
          <w:tcPr>
            <w:tcW w:w="1132" w:type="dxa"/>
          </w:tcPr>
          <w:p w:rsidR="00B801AF" w:rsidRDefault="00602675">
            <w:pPr>
              <w:pStyle w:val="TableParagraph"/>
              <w:spacing w:line="234" w:lineRule="exact"/>
              <w:ind w:left="278"/>
              <w:rPr>
                <w:i/>
              </w:rPr>
            </w:pPr>
            <w:r>
              <w:rPr>
                <w:i/>
              </w:rPr>
              <w:t>15</w:t>
            </w:r>
          </w:p>
        </w:tc>
      </w:tr>
      <w:tr w:rsidR="00B801AF">
        <w:trPr>
          <w:trHeight w:val="254"/>
        </w:trPr>
        <w:tc>
          <w:tcPr>
            <w:tcW w:w="8131" w:type="dxa"/>
          </w:tcPr>
          <w:p w:rsidR="00B801AF" w:rsidRDefault="00602675">
            <w:pPr>
              <w:pStyle w:val="TableParagraph"/>
              <w:spacing w:line="234" w:lineRule="exact"/>
              <w:ind w:left="200"/>
            </w:pPr>
            <w:r>
              <w:t>4.1.2.1 Operating Expenses to Revenue (OER):....................................................................</w:t>
            </w:r>
          </w:p>
        </w:tc>
        <w:tc>
          <w:tcPr>
            <w:tcW w:w="1132" w:type="dxa"/>
          </w:tcPr>
          <w:p w:rsidR="00B801AF" w:rsidRDefault="00602675">
            <w:pPr>
              <w:pStyle w:val="TableParagraph"/>
              <w:spacing w:line="234" w:lineRule="exact"/>
              <w:ind w:left="139"/>
            </w:pPr>
            <w:r>
              <w:t>16</w:t>
            </w:r>
          </w:p>
        </w:tc>
      </w:tr>
      <w:tr w:rsidR="00B801AF">
        <w:trPr>
          <w:trHeight w:val="253"/>
        </w:trPr>
        <w:tc>
          <w:tcPr>
            <w:tcW w:w="8131" w:type="dxa"/>
          </w:tcPr>
          <w:p w:rsidR="00B801AF" w:rsidRDefault="00602675">
            <w:pPr>
              <w:pStyle w:val="TableParagraph"/>
              <w:spacing w:line="233" w:lineRule="exact"/>
              <w:ind w:left="200"/>
            </w:pPr>
            <w:r>
              <w:t>4.1.2.2 Total Asset Turnover Ratios: ....................................................................................</w:t>
            </w:r>
          </w:p>
        </w:tc>
        <w:tc>
          <w:tcPr>
            <w:tcW w:w="1132" w:type="dxa"/>
          </w:tcPr>
          <w:p w:rsidR="00B801AF" w:rsidRDefault="00602675">
            <w:pPr>
              <w:pStyle w:val="TableParagraph"/>
              <w:spacing w:line="233" w:lineRule="exact"/>
              <w:ind w:left="120"/>
            </w:pPr>
            <w:r>
              <w:t>16</w:t>
            </w:r>
          </w:p>
        </w:tc>
      </w:tr>
      <w:tr w:rsidR="00B801AF">
        <w:trPr>
          <w:trHeight w:val="251"/>
        </w:trPr>
        <w:tc>
          <w:tcPr>
            <w:tcW w:w="8131" w:type="dxa"/>
          </w:tcPr>
          <w:p w:rsidR="00B801AF" w:rsidRDefault="00602675">
            <w:pPr>
              <w:pStyle w:val="TableParagraph"/>
              <w:spacing w:line="232" w:lineRule="exact"/>
              <w:ind w:left="200"/>
            </w:pPr>
            <w:r>
              <w:t>4.1.2.3</w:t>
            </w:r>
            <w:r>
              <w:rPr>
                <w:spacing w:val="-23"/>
              </w:rPr>
              <w:t xml:space="preserve"> </w:t>
            </w:r>
            <w:r>
              <w:t>Operating</w:t>
            </w:r>
            <w:r>
              <w:rPr>
                <w:spacing w:val="-22"/>
              </w:rPr>
              <w:t xml:space="preserve"> </w:t>
            </w:r>
            <w:r>
              <w:t>Expenses</w:t>
            </w:r>
            <w:r>
              <w:rPr>
                <w:spacing w:val="-22"/>
              </w:rPr>
              <w:t xml:space="preserve"> </w:t>
            </w:r>
            <w:r>
              <w:t>to</w:t>
            </w:r>
            <w:r>
              <w:rPr>
                <w:spacing w:val="-22"/>
              </w:rPr>
              <w:t xml:space="preserve"> </w:t>
            </w:r>
            <w:r>
              <w:t>Assets</w:t>
            </w:r>
            <w:r>
              <w:rPr>
                <w:spacing w:val="-22"/>
              </w:rPr>
              <w:t xml:space="preserve"> </w:t>
            </w:r>
            <w:r>
              <w:t>Ratio:</w:t>
            </w:r>
            <w:r>
              <w:rPr>
                <w:spacing w:val="-22"/>
              </w:rPr>
              <w:t xml:space="preserve"> </w:t>
            </w:r>
            <w:r>
              <w:t>.........................................................................</w:t>
            </w:r>
          </w:p>
        </w:tc>
        <w:tc>
          <w:tcPr>
            <w:tcW w:w="1132" w:type="dxa"/>
          </w:tcPr>
          <w:p w:rsidR="00B801AF" w:rsidRDefault="00602675">
            <w:pPr>
              <w:pStyle w:val="TableParagraph"/>
              <w:spacing w:line="232" w:lineRule="exact"/>
              <w:ind w:left="180"/>
            </w:pPr>
            <w:r>
              <w:t>17</w:t>
            </w:r>
          </w:p>
        </w:tc>
      </w:tr>
      <w:tr w:rsidR="00B801AF">
        <w:trPr>
          <w:trHeight w:val="271"/>
        </w:trPr>
        <w:tc>
          <w:tcPr>
            <w:tcW w:w="8131" w:type="dxa"/>
          </w:tcPr>
          <w:p w:rsidR="00B801AF" w:rsidRDefault="00602675">
            <w:pPr>
              <w:pStyle w:val="TableParagraph"/>
              <w:spacing w:line="248" w:lineRule="exact"/>
              <w:ind w:left="200"/>
              <w:rPr>
                <w:i/>
              </w:rPr>
            </w:pPr>
            <w:r>
              <w:rPr>
                <w:i/>
                <w:w w:val="95"/>
              </w:rPr>
              <w:t>4.1.3 Debt Ratio: .....................................................................................................................</w:t>
            </w:r>
          </w:p>
        </w:tc>
        <w:tc>
          <w:tcPr>
            <w:tcW w:w="1132" w:type="dxa"/>
          </w:tcPr>
          <w:p w:rsidR="00B801AF" w:rsidRDefault="00602675">
            <w:pPr>
              <w:pStyle w:val="TableParagraph"/>
              <w:spacing w:line="248" w:lineRule="exact"/>
              <w:ind w:left="259"/>
              <w:rPr>
                <w:i/>
              </w:rPr>
            </w:pPr>
            <w:r>
              <w:rPr>
                <w:i/>
              </w:rPr>
              <w:t>18</w:t>
            </w:r>
          </w:p>
        </w:tc>
      </w:tr>
      <w:tr w:rsidR="00B801AF">
        <w:trPr>
          <w:trHeight w:val="295"/>
        </w:trPr>
        <w:tc>
          <w:tcPr>
            <w:tcW w:w="8131" w:type="dxa"/>
          </w:tcPr>
          <w:p w:rsidR="00B801AF" w:rsidRDefault="00602675">
            <w:pPr>
              <w:pStyle w:val="TableParagraph"/>
              <w:spacing w:before="16"/>
              <w:ind w:left="200"/>
            </w:pPr>
            <w:r>
              <w:t>4.1.3.1 Debt Ratio: ...............................................................................................................</w:t>
            </w:r>
          </w:p>
        </w:tc>
        <w:tc>
          <w:tcPr>
            <w:tcW w:w="1132" w:type="dxa"/>
          </w:tcPr>
          <w:p w:rsidR="00B801AF" w:rsidRDefault="00602675">
            <w:pPr>
              <w:pStyle w:val="TableParagraph"/>
              <w:spacing w:before="13"/>
              <w:ind w:left="84"/>
              <w:rPr>
                <w:rFonts w:ascii="Arial" w:hAnsi="Arial"/>
              </w:rPr>
            </w:pPr>
            <w:r>
              <w:rPr>
                <w:w w:val="120"/>
              </w:rPr>
              <w:t xml:space="preserve">19 </w:t>
            </w:r>
            <w:r>
              <w:rPr>
                <w:rFonts w:ascii="Arial" w:hAnsi="Arial"/>
                <w:w w:val="165"/>
              </w:rPr>
              <w:t>©</w:t>
            </w:r>
          </w:p>
        </w:tc>
      </w:tr>
      <w:tr w:rsidR="00B801AF">
        <w:trPr>
          <w:trHeight w:val="246"/>
        </w:trPr>
        <w:tc>
          <w:tcPr>
            <w:tcW w:w="8131" w:type="dxa"/>
          </w:tcPr>
          <w:p w:rsidR="00B801AF" w:rsidRDefault="00602675">
            <w:pPr>
              <w:pStyle w:val="TableParagraph"/>
              <w:spacing w:line="226" w:lineRule="exact"/>
              <w:ind w:left="200"/>
              <w:rPr>
                <w:rFonts w:ascii="Carlito"/>
              </w:rPr>
            </w:pPr>
            <w:r>
              <w:rPr>
                <w:rFonts w:ascii="Carlito"/>
                <w:i/>
              </w:rPr>
              <w:t xml:space="preserve">Daffodil International University </w:t>
            </w:r>
            <w:r>
              <w:rPr>
                <w:rFonts w:ascii="Carlito"/>
              </w:rPr>
              <w:t>vii</w:t>
            </w:r>
          </w:p>
        </w:tc>
        <w:tc>
          <w:tcPr>
            <w:tcW w:w="1132" w:type="dxa"/>
          </w:tcPr>
          <w:p w:rsidR="00B801AF" w:rsidRDefault="00B801AF">
            <w:pPr>
              <w:pStyle w:val="TableParagraph"/>
              <w:rPr>
                <w:sz w:val="16"/>
              </w:rPr>
            </w:pPr>
          </w:p>
        </w:tc>
      </w:tr>
    </w:tbl>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rPr>
          <w:rFonts w:ascii="Carlito"/>
          <w:b/>
          <w:sz w:val="20"/>
        </w:rPr>
      </w:pPr>
    </w:p>
    <w:p w:rsidR="00B801AF" w:rsidRDefault="00B801AF">
      <w:pPr>
        <w:pStyle w:val="BodyText"/>
        <w:spacing w:before="4"/>
        <w:rPr>
          <w:rFonts w:ascii="Carlito"/>
          <w:b/>
          <w:sz w:val="19"/>
        </w:rPr>
      </w:pPr>
    </w:p>
    <w:tbl>
      <w:tblPr>
        <w:tblW w:w="0" w:type="auto"/>
        <w:tblInd w:w="207" w:type="dxa"/>
        <w:tblLayout w:type="fixed"/>
        <w:tblCellMar>
          <w:left w:w="0" w:type="dxa"/>
          <w:right w:w="0" w:type="dxa"/>
        </w:tblCellMar>
        <w:tblLook w:val="01E0" w:firstRow="1" w:lastRow="1" w:firstColumn="1" w:lastColumn="1" w:noHBand="0" w:noVBand="0"/>
      </w:tblPr>
      <w:tblGrid>
        <w:gridCol w:w="6092"/>
        <w:gridCol w:w="3156"/>
      </w:tblGrid>
      <w:tr w:rsidR="00B801AF">
        <w:trPr>
          <w:trHeight w:val="251"/>
        </w:trPr>
        <w:tc>
          <w:tcPr>
            <w:tcW w:w="6092" w:type="dxa"/>
          </w:tcPr>
          <w:p w:rsidR="00B801AF" w:rsidRDefault="00602675">
            <w:pPr>
              <w:pStyle w:val="TableParagraph"/>
              <w:spacing w:line="232" w:lineRule="exact"/>
              <w:ind w:left="200"/>
              <w:rPr>
                <w:rFonts w:ascii="Carlito" w:hAnsi="Carlito"/>
                <w:i/>
              </w:rPr>
            </w:pPr>
            <w:r>
              <w:rPr>
                <w:i/>
              </w:rPr>
              <w:t xml:space="preserve">© </w:t>
            </w:r>
            <w:r>
              <w:rPr>
                <w:rFonts w:ascii="Carlito" w:hAnsi="Carlito"/>
                <w:i/>
              </w:rPr>
              <w:t>Daffodil International University</w:t>
            </w:r>
          </w:p>
        </w:tc>
        <w:tc>
          <w:tcPr>
            <w:tcW w:w="3156" w:type="dxa"/>
          </w:tcPr>
          <w:p w:rsidR="00B801AF" w:rsidRDefault="00602675">
            <w:pPr>
              <w:pStyle w:val="TableParagraph"/>
              <w:spacing w:before="22" w:line="210" w:lineRule="exact"/>
              <w:ind w:right="198"/>
              <w:jc w:val="right"/>
              <w:rPr>
                <w:sz w:val="20"/>
              </w:rPr>
            </w:pPr>
            <w:r>
              <w:rPr>
                <w:w w:val="95"/>
                <w:sz w:val="20"/>
              </w:rPr>
              <w:t>vi</w:t>
            </w:r>
          </w:p>
        </w:tc>
      </w:tr>
    </w:tbl>
    <w:p w:rsidR="00B801AF" w:rsidRDefault="00B801AF">
      <w:pPr>
        <w:spacing w:line="210" w:lineRule="exact"/>
        <w:jc w:val="right"/>
        <w:rPr>
          <w:sz w:val="20"/>
        </w:rPr>
        <w:sectPr w:rsidR="00B801AF">
          <w:footerReference w:type="default" r:id="rId11"/>
          <w:pgSz w:w="11900" w:h="16840"/>
          <w:pgMar w:top="1400" w:right="1100" w:bottom="280" w:left="1040" w:header="0" w:footer="0" w:gutter="0"/>
          <w:cols w:space="720"/>
        </w:sectPr>
      </w:pPr>
    </w:p>
    <w:sdt>
      <w:sdtPr>
        <w:rPr>
          <w:b/>
          <w:bCs/>
          <w:i/>
        </w:rPr>
        <w:id w:val="-1268618733"/>
        <w:docPartObj>
          <w:docPartGallery w:val="Table of Contents"/>
          <w:docPartUnique/>
        </w:docPartObj>
      </w:sdtPr>
      <w:sdtContent>
        <w:p w:rsidR="00B801AF" w:rsidRDefault="00602675">
          <w:pPr>
            <w:pStyle w:val="TOC2"/>
            <w:tabs>
              <w:tab w:val="left" w:leader="dot" w:pos="8302"/>
            </w:tabs>
            <w:spacing w:before="70" w:line="253" w:lineRule="exact"/>
            <w:ind w:left="400" w:firstLine="0"/>
          </w:pPr>
          <w:hyperlink w:anchor="_TOC_250008" w:history="1">
            <w:r>
              <w:t>4.1.3.2 Times Interest</w:t>
            </w:r>
            <w:r>
              <w:rPr>
                <w:spacing w:val="-2"/>
              </w:rPr>
              <w:t xml:space="preserve"> </w:t>
            </w:r>
            <w:r>
              <w:t>Earned</w:t>
            </w:r>
            <w:r>
              <w:rPr>
                <w:spacing w:val="-1"/>
              </w:rPr>
              <w:t xml:space="preserve"> </w:t>
            </w:r>
            <w:r>
              <w:t>Ratio:</w:t>
            </w:r>
            <w:r>
              <w:tab/>
              <w:t>19</w:t>
            </w:r>
          </w:hyperlink>
        </w:p>
        <w:p w:rsidR="00B801AF" w:rsidRDefault="00602675">
          <w:pPr>
            <w:pStyle w:val="TOC3"/>
            <w:numPr>
              <w:ilvl w:val="2"/>
              <w:numId w:val="13"/>
            </w:numPr>
            <w:tabs>
              <w:tab w:val="left" w:pos="898"/>
              <w:tab w:val="left" w:leader="dot" w:pos="8501"/>
            </w:tabs>
            <w:ind w:hanging="498"/>
          </w:pPr>
          <w:hyperlink w:anchor="_TOC_250007" w:history="1">
            <w:r>
              <w:t>Profitability</w:t>
            </w:r>
            <w:r>
              <w:rPr>
                <w:spacing w:val="-3"/>
              </w:rPr>
              <w:t xml:space="preserve"> </w:t>
            </w:r>
            <w:r>
              <w:t>Ratio</w:t>
            </w:r>
            <w:r>
              <w:tab/>
              <w:t>21</w:t>
            </w:r>
          </w:hyperlink>
        </w:p>
        <w:p w:rsidR="00B801AF" w:rsidRDefault="00602675">
          <w:pPr>
            <w:pStyle w:val="TOC2"/>
            <w:numPr>
              <w:ilvl w:val="3"/>
              <w:numId w:val="13"/>
            </w:numPr>
            <w:tabs>
              <w:tab w:val="left" w:pos="1063"/>
              <w:tab w:val="left" w:leader="dot" w:pos="8321"/>
            </w:tabs>
            <w:spacing w:line="252" w:lineRule="exact"/>
          </w:pPr>
          <w:hyperlink w:anchor="_TOC_250006" w:history="1">
            <w:r>
              <w:t>Investment to</w:t>
            </w:r>
            <w:r>
              <w:rPr>
                <w:spacing w:val="-4"/>
              </w:rPr>
              <w:t xml:space="preserve"> </w:t>
            </w:r>
            <w:r>
              <w:t>Deposit</w:t>
            </w:r>
            <w:r>
              <w:rPr>
                <w:spacing w:val="-1"/>
              </w:rPr>
              <w:t xml:space="preserve"> </w:t>
            </w:r>
            <w:r>
              <w:t>Ratio:</w:t>
            </w:r>
            <w:r>
              <w:tab/>
              <w:t>21</w:t>
            </w:r>
          </w:hyperlink>
        </w:p>
        <w:p w:rsidR="00B801AF" w:rsidRDefault="00602675">
          <w:pPr>
            <w:pStyle w:val="TOC2"/>
            <w:numPr>
              <w:ilvl w:val="3"/>
              <w:numId w:val="13"/>
            </w:numPr>
            <w:tabs>
              <w:tab w:val="left" w:pos="1063"/>
              <w:tab w:val="left" w:leader="dot" w:pos="8302"/>
            </w:tabs>
            <w:spacing w:before="4" w:line="252" w:lineRule="exact"/>
          </w:pPr>
          <w:hyperlink w:anchor="_TOC_250005" w:history="1">
            <w:r>
              <w:t>Net</w:t>
            </w:r>
            <w:r>
              <w:rPr>
                <w:spacing w:val="-1"/>
              </w:rPr>
              <w:t xml:space="preserve"> </w:t>
            </w:r>
            <w:r>
              <w:t>Profit</w:t>
            </w:r>
            <w:r>
              <w:rPr>
                <w:spacing w:val="-1"/>
              </w:rPr>
              <w:t xml:space="preserve"> </w:t>
            </w:r>
            <w:r>
              <w:t>Margin</w:t>
            </w:r>
            <w:r>
              <w:tab/>
              <w:t>21</w:t>
            </w:r>
          </w:hyperlink>
        </w:p>
        <w:p w:rsidR="00B801AF" w:rsidRDefault="00602675">
          <w:pPr>
            <w:pStyle w:val="TOC2"/>
            <w:numPr>
              <w:ilvl w:val="3"/>
              <w:numId w:val="13"/>
            </w:numPr>
            <w:tabs>
              <w:tab w:val="left" w:pos="1063"/>
              <w:tab w:val="left" w:leader="dot" w:pos="8302"/>
            </w:tabs>
            <w:spacing w:line="251" w:lineRule="exact"/>
          </w:pPr>
          <w:hyperlink w:anchor="_TOC_250004" w:history="1">
            <w:r>
              <w:t>Return on</w:t>
            </w:r>
            <w:r>
              <w:rPr>
                <w:spacing w:val="-7"/>
              </w:rPr>
              <w:t xml:space="preserve"> </w:t>
            </w:r>
            <w:r>
              <w:t>Asset</w:t>
            </w:r>
            <w:r>
              <w:rPr>
                <w:spacing w:val="-3"/>
              </w:rPr>
              <w:t xml:space="preserve"> </w:t>
            </w:r>
            <w:r>
              <w:t>(ROA)</w:t>
            </w:r>
            <w:r>
              <w:tab/>
              <w:t>23</w:t>
            </w:r>
          </w:hyperlink>
        </w:p>
        <w:p w:rsidR="00B801AF" w:rsidRDefault="00602675">
          <w:pPr>
            <w:pStyle w:val="TOC2"/>
            <w:numPr>
              <w:ilvl w:val="3"/>
              <w:numId w:val="13"/>
            </w:numPr>
            <w:tabs>
              <w:tab w:val="left" w:pos="1063"/>
              <w:tab w:val="left" w:leader="dot" w:pos="8302"/>
            </w:tabs>
            <w:spacing w:line="251" w:lineRule="exact"/>
          </w:pPr>
          <w:hyperlink w:anchor="_TOC_250003" w:history="1">
            <w:r>
              <w:t>Return on</w:t>
            </w:r>
            <w:r>
              <w:rPr>
                <w:spacing w:val="-5"/>
              </w:rPr>
              <w:t xml:space="preserve"> </w:t>
            </w:r>
            <w:r>
              <w:t>Equity</w:t>
            </w:r>
            <w:r>
              <w:rPr>
                <w:spacing w:val="-4"/>
              </w:rPr>
              <w:t xml:space="preserve"> </w:t>
            </w:r>
            <w:r>
              <w:t>(ROE):</w:t>
            </w:r>
            <w:r>
              <w:tab/>
              <w:t>24</w:t>
            </w:r>
          </w:hyperlink>
        </w:p>
        <w:p w:rsidR="00B801AF" w:rsidRDefault="00602675">
          <w:pPr>
            <w:pStyle w:val="TOC2"/>
            <w:numPr>
              <w:ilvl w:val="3"/>
              <w:numId w:val="13"/>
            </w:numPr>
            <w:tabs>
              <w:tab w:val="left" w:pos="1063"/>
              <w:tab w:val="left" w:leader="dot" w:pos="8281"/>
            </w:tabs>
            <w:spacing w:before="2"/>
          </w:pPr>
          <w:hyperlink w:anchor="_TOC_250002" w:history="1">
            <w:r>
              <w:t>Earnings</w:t>
            </w:r>
            <w:r>
              <w:rPr>
                <w:spacing w:val="-2"/>
              </w:rPr>
              <w:t xml:space="preserve"> </w:t>
            </w:r>
            <w:r>
              <w:t>per</w:t>
            </w:r>
            <w:r>
              <w:rPr>
                <w:spacing w:val="-1"/>
              </w:rPr>
              <w:t xml:space="preserve"> </w:t>
            </w:r>
            <w:r>
              <w:t>Share</w:t>
            </w:r>
            <w:r>
              <w:tab/>
              <w:t>25</w:t>
            </w:r>
          </w:hyperlink>
        </w:p>
        <w:p w:rsidR="00B801AF" w:rsidRDefault="00602675">
          <w:pPr>
            <w:pStyle w:val="TOC2"/>
            <w:numPr>
              <w:ilvl w:val="3"/>
              <w:numId w:val="13"/>
            </w:numPr>
            <w:tabs>
              <w:tab w:val="left" w:pos="1063"/>
              <w:tab w:val="left" w:leader="dot" w:pos="8321"/>
            </w:tabs>
            <w:spacing w:before="3"/>
          </w:pPr>
          <w:r>
            <w:t>Price</w:t>
          </w:r>
          <w:r>
            <w:rPr>
              <w:spacing w:val="-2"/>
            </w:rPr>
            <w:t xml:space="preserve"> </w:t>
          </w:r>
          <w:r>
            <w:t>Earnings</w:t>
          </w:r>
          <w:r>
            <w:rPr>
              <w:spacing w:val="-2"/>
            </w:rPr>
            <w:t xml:space="preserve"> </w:t>
          </w:r>
          <w:r>
            <w:t>Ratio:</w:t>
          </w:r>
          <w:r>
            <w:tab/>
            <w:t>26</w:t>
          </w:r>
        </w:p>
        <w:p w:rsidR="00B801AF" w:rsidRDefault="00602675">
          <w:pPr>
            <w:pStyle w:val="TOC1"/>
            <w:tabs>
              <w:tab w:val="left" w:leader="dot" w:pos="8881"/>
            </w:tabs>
            <w:spacing w:before="7"/>
            <w:ind w:right="654"/>
          </w:pPr>
          <w:r>
            <w:t>CHAPTER                                                                                                             FIVE FINDINGS</w:t>
          </w:r>
          <w:r>
            <w:tab/>
          </w:r>
          <w:r>
            <w:rPr>
              <w:spacing w:val="-9"/>
            </w:rPr>
            <w:t>27</w:t>
          </w:r>
        </w:p>
        <w:p w:rsidR="00B801AF" w:rsidRDefault="00602675">
          <w:pPr>
            <w:pStyle w:val="TOC5"/>
            <w:tabs>
              <w:tab w:val="left" w:leader="dot" w:pos="8662"/>
            </w:tabs>
            <w:spacing w:line="244" w:lineRule="exact"/>
            <w:rPr>
              <w:b w:val="0"/>
              <w:i w:val="0"/>
            </w:rPr>
          </w:pPr>
          <w:hyperlink w:anchor="_TOC_250001" w:history="1">
            <w:r>
              <w:rPr>
                <w:b w:val="0"/>
                <w:i w:val="0"/>
              </w:rPr>
              <w:t>5.1</w:t>
            </w:r>
            <w:r>
              <w:rPr>
                <w:b w:val="0"/>
                <w:i w:val="0"/>
                <w:spacing w:val="-2"/>
              </w:rPr>
              <w:t xml:space="preserve"> </w:t>
            </w:r>
            <w:r>
              <w:rPr>
                <w:b w:val="0"/>
                <w:i w:val="0"/>
              </w:rPr>
              <w:t>F</w:t>
            </w:r>
            <w:r>
              <w:rPr>
                <w:b w:val="0"/>
                <w:i w:val="0"/>
                <w:sz w:val="18"/>
              </w:rPr>
              <w:t>INDINGS</w:t>
            </w:r>
            <w:r>
              <w:rPr>
                <w:b w:val="0"/>
                <w:i w:val="0"/>
                <w:sz w:val="18"/>
              </w:rPr>
              <w:tab/>
            </w:r>
            <w:r>
              <w:rPr>
                <w:b w:val="0"/>
                <w:i w:val="0"/>
              </w:rPr>
              <w:t>27</w:t>
            </w:r>
          </w:hyperlink>
        </w:p>
        <w:p w:rsidR="00B801AF" w:rsidRDefault="00602675">
          <w:pPr>
            <w:pStyle w:val="TOC1"/>
            <w:spacing w:before="11" w:line="252" w:lineRule="exact"/>
          </w:pPr>
          <w:r>
            <w:t>CHAPTER SIX</w:t>
          </w:r>
        </w:p>
        <w:p w:rsidR="00B801AF" w:rsidRDefault="00602675">
          <w:pPr>
            <w:pStyle w:val="TOC1"/>
            <w:tabs>
              <w:tab w:val="left" w:leader="dot" w:pos="9001"/>
            </w:tabs>
            <w:spacing w:line="251" w:lineRule="exact"/>
          </w:pPr>
          <w:r>
            <w:t>CONCLUSIONS</w:t>
          </w:r>
          <w:r>
            <w:rPr>
              <w:spacing w:val="-4"/>
            </w:rPr>
            <w:t xml:space="preserve"> </w:t>
          </w:r>
          <w:r>
            <w:t>AND</w:t>
          </w:r>
          <w:r>
            <w:rPr>
              <w:spacing w:val="-4"/>
            </w:rPr>
            <w:t xml:space="preserve"> </w:t>
          </w:r>
          <w:r>
            <w:t>RECOMMENDATIONS</w:t>
          </w:r>
          <w:r>
            <w:tab/>
            <w:t>27</w:t>
          </w:r>
        </w:p>
        <w:p w:rsidR="00B801AF" w:rsidRDefault="00602675">
          <w:pPr>
            <w:pStyle w:val="TOC5"/>
            <w:numPr>
              <w:ilvl w:val="1"/>
              <w:numId w:val="12"/>
            </w:numPr>
            <w:tabs>
              <w:tab w:val="left" w:pos="732"/>
              <w:tab w:val="left" w:leader="dot" w:pos="8561"/>
            </w:tabs>
            <w:spacing w:line="251" w:lineRule="exact"/>
            <w:rPr>
              <w:b w:val="0"/>
              <w:i w:val="0"/>
              <w:sz w:val="21"/>
            </w:rPr>
          </w:pPr>
          <w:r>
            <w:rPr>
              <w:b w:val="0"/>
              <w:i w:val="0"/>
            </w:rPr>
            <w:t>C</w:t>
          </w:r>
          <w:r>
            <w:rPr>
              <w:b w:val="0"/>
              <w:i w:val="0"/>
              <w:sz w:val="18"/>
            </w:rPr>
            <w:t>ONCLUSION</w:t>
          </w:r>
          <w:r>
            <w:rPr>
              <w:b w:val="0"/>
              <w:i w:val="0"/>
              <w:sz w:val="18"/>
            </w:rPr>
            <w:tab/>
          </w:r>
          <w:r>
            <w:rPr>
              <w:b w:val="0"/>
              <w:i w:val="0"/>
              <w:sz w:val="21"/>
            </w:rPr>
            <w:t>288</w:t>
          </w:r>
        </w:p>
        <w:p w:rsidR="00B801AF" w:rsidRDefault="00602675">
          <w:pPr>
            <w:pStyle w:val="TOC4"/>
            <w:numPr>
              <w:ilvl w:val="1"/>
              <w:numId w:val="12"/>
            </w:numPr>
            <w:tabs>
              <w:tab w:val="left" w:pos="732"/>
              <w:tab w:val="left" w:leader="dot" w:pos="8722"/>
            </w:tabs>
            <w:rPr>
              <w:sz w:val="22"/>
            </w:rPr>
          </w:pPr>
          <w:r>
            <w:rPr>
              <w:sz w:val="22"/>
            </w:rPr>
            <w:t>R</w:t>
          </w:r>
          <w:r>
            <w:t>ECOMMENDATIONS</w:t>
          </w:r>
          <w:r>
            <w:tab/>
          </w:r>
          <w:r>
            <w:rPr>
              <w:sz w:val="22"/>
            </w:rPr>
            <w:t>29</w:t>
          </w:r>
        </w:p>
        <w:p w:rsidR="00B801AF" w:rsidRDefault="00602675">
          <w:pPr>
            <w:pStyle w:val="TOC5"/>
            <w:tabs>
              <w:tab w:val="left" w:leader="dot" w:pos="8903"/>
            </w:tabs>
            <w:spacing w:before="250"/>
            <w:rPr>
              <w:i w:val="0"/>
            </w:rPr>
          </w:pPr>
          <w:hyperlink w:anchor="_TOC_250000" w:history="1">
            <w:r>
              <w:rPr>
                <w:i w:val="0"/>
              </w:rPr>
              <w:t>R</w:t>
            </w:r>
            <w:r>
              <w:rPr>
                <w:i w:val="0"/>
                <w:sz w:val="18"/>
              </w:rPr>
              <w:t>EFERENCES</w:t>
            </w:r>
            <w:r>
              <w:rPr>
                <w:i w:val="0"/>
                <w:sz w:val="18"/>
              </w:rPr>
              <w:tab/>
            </w:r>
            <w:r>
              <w:rPr>
                <w:i w:val="0"/>
              </w:rPr>
              <w:t>30</w:t>
            </w:r>
          </w:hyperlink>
        </w:p>
      </w:sdtContent>
    </w:sdt>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rPr>
          <w:b/>
          <w:sz w:val="20"/>
        </w:rPr>
      </w:pPr>
    </w:p>
    <w:p w:rsidR="00B801AF" w:rsidRDefault="00B801AF">
      <w:pPr>
        <w:pStyle w:val="BodyText"/>
        <w:spacing w:before="9"/>
        <w:rPr>
          <w:b/>
          <w:sz w:val="17"/>
        </w:rPr>
      </w:pPr>
    </w:p>
    <w:tbl>
      <w:tblPr>
        <w:tblW w:w="0" w:type="auto"/>
        <w:tblInd w:w="207" w:type="dxa"/>
        <w:tblLayout w:type="fixed"/>
        <w:tblCellMar>
          <w:left w:w="0" w:type="dxa"/>
          <w:right w:w="0" w:type="dxa"/>
        </w:tblCellMar>
        <w:tblLook w:val="01E0" w:firstRow="1" w:lastRow="1" w:firstColumn="1" w:lastColumn="1" w:noHBand="0" w:noVBand="0"/>
      </w:tblPr>
      <w:tblGrid>
        <w:gridCol w:w="5966"/>
        <w:gridCol w:w="3087"/>
      </w:tblGrid>
      <w:tr w:rsidR="00B801AF">
        <w:trPr>
          <w:trHeight w:val="251"/>
        </w:trPr>
        <w:tc>
          <w:tcPr>
            <w:tcW w:w="5966" w:type="dxa"/>
          </w:tcPr>
          <w:p w:rsidR="00B801AF" w:rsidRDefault="00602675">
            <w:pPr>
              <w:pStyle w:val="TableParagraph"/>
              <w:spacing w:line="232" w:lineRule="exact"/>
              <w:ind w:left="200"/>
              <w:rPr>
                <w:rFonts w:ascii="Carlito" w:hAnsi="Carlito"/>
                <w:i/>
              </w:rPr>
            </w:pPr>
            <w:r>
              <w:rPr>
                <w:i/>
              </w:rPr>
              <w:t xml:space="preserve">© </w:t>
            </w:r>
            <w:r>
              <w:rPr>
                <w:rFonts w:ascii="Carlito" w:hAnsi="Carlito"/>
                <w:i/>
              </w:rPr>
              <w:t>Daffodil International University</w:t>
            </w:r>
          </w:p>
        </w:tc>
        <w:tc>
          <w:tcPr>
            <w:tcW w:w="3087" w:type="dxa"/>
          </w:tcPr>
          <w:p w:rsidR="00B801AF" w:rsidRDefault="00602675">
            <w:pPr>
              <w:pStyle w:val="TableParagraph"/>
              <w:spacing w:before="22" w:line="210" w:lineRule="exact"/>
              <w:ind w:right="199"/>
              <w:jc w:val="right"/>
              <w:rPr>
                <w:sz w:val="20"/>
              </w:rPr>
            </w:pPr>
            <w:r>
              <w:rPr>
                <w:sz w:val="20"/>
              </w:rPr>
              <w:t>vii</w:t>
            </w:r>
          </w:p>
        </w:tc>
      </w:tr>
    </w:tbl>
    <w:p w:rsidR="00B801AF" w:rsidRDefault="00B801AF">
      <w:pPr>
        <w:spacing w:line="210" w:lineRule="exact"/>
        <w:jc w:val="right"/>
        <w:rPr>
          <w:sz w:val="20"/>
        </w:rPr>
        <w:sectPr w:rsidR="00B801AF">
          <w:footerReference w:type="default" r:id="rId12"/>
          <w:pgSz w:w="11900" w:h="16840"/>
          <w:pgMar w:top="1340" w:right="1100" w:bottom="280" w:left="1040" w:header="0" w:footer="0" w:gutter="0"/>
          <w:cols w:space="720"/>
        </w:sectPr>
      </w:pPr>
    </w:p>
    <w:p w:rsidR="00B801AF" w:rsidRDefault="00602675">
      <w:pPr>
        <w:spacing w:before="60" w:line="396" w:lineRule="auto"/>
        <w:ind w:left="3422" w:right="3356"/>
        <w:jc w:val="center"/>
        <w:rPr>
          <w:b/>
          <w:sz w:val="32"/>
        </w:rPr>
      </w:pPr>
      <w:r>
        <w:rPr>
          <w:b/>
          <w:sz w:val="32"/>
        </w:rPr>
        <w:lastRenderedPageBreak/>
        <w:t>Chapter One Introduction</w:t>
      </w:r>
    </w:p>
    <w:p w:rsidR="00B801AF" w:rsidRDefault="00B801AF">
      <w:pPr>
        <w:pStyle w:val="BodyText"/>
        <w:spacing w:before="8"/>
        <w:rPr>
          <w:b/>
          <w:sz w:val="10"/>
        </w:rPr>
      </w:pPr>
    </w:p>
    <w:p w:rsidR="00B801AF" w:rsidRDefault="00602675">
      <w:pPr>
        <w:pStyle w:val="ListParagraph"/>
        <w:numPr>
          <w:ilvl w:val="1"/>
          <w:numId w:val="11"/>
        </w:numPr>
        <w:tabs>
          <w:tab w:val="left" w:pos="821"/>
        </w:tabs>
        <w:spacing w:before="89"/>
        <w:ind w:hanging="421"/>
        <w:rPr>
          <w:b/>
          <w:sz w:val="28"/>
        </w:rPr>
      </w:pPr>
      <w:r>
        <w:rPr>
          <w:b/>
          <w:sz w:val="28"/>
          <w:u w:val="thick"/>
        </w:rPr>
        <w:t>Introduction</w:t>
      </w:r>
    </w:p>
    <w:p w:rsidR="00B801AF" w:rsidRDefault="00B801AF">
      <w:pPr>
        <w:pStyle w:val="BodyText"/>
        <w:spacing w:before="8"/>
        <w:rPr>
          <w:b/>
          <w:sz w:val="20"/>
        </w:rPr>
      </w:pPr>
    </w:p>
    <w:p w:rsidR="00B801AF" w:rsidRDefault="00602675">
      <w:pPr>
        <w:pStyle w:val="BodyText"/>
        <w:spacing w:before="90"/>
        <w:ind w:left="820" w:right="396" w:hanging="720"/>
      </w:pPr>
      <w:r>
        <w:t>Banks are an outdated form of financial institution that channels excess funds from surplus units to deficit units in the name of interest. The banking business between the depositor and the receivable surplus unit and the borrower and the deferred unit called the bank must be established on the basis of the tort-payer relationship. Here, the opportunity cost of money is considered as the value of works for interest works for the development of an economy, the bank makes a huge contribution and a modern economy cannot be imagined without the services of the bank. The economic development of a country requires a streamlined, smooth, easy-to-reach and efficient affordable investment process. The work of a single bank is not only limited to its geographical area but it has reached beyond the borders of the country. Thus, the banking business has been transformed into a global business and the rest of the business depends on the strength of the banking business. In the perspective on the IMF, "the ongoing financial emergency has indicated many weaknesses in the financial framework around the world, which raises many issues to link the security of banks' elements with insecurity dangers to potential future uncertainties.</w:t>
      </w:r>
    </w:p>
    <w:p w:rsidR="00B801AF" w:rsidRDefault="00B801AF">
      <w:pPr>
        <w:pStyle w:val="BodyText"/>
        <w:spacing w:before="8"/>
      </w:pPr>
    </w:p>
    <w:p w:rsidR="00B801AF" w:rsidRDefault="00602675">
      <w:pPr>
        <w:pStyle w:val="BodyText"/>
        <w:spacing w:line="256" w:lineRule="auto"/>
        <w:ind w:left="820" w:right="732" w:hanging="720"/>
      </w:pPr>
      <w:r>
        <w:t>The bank regulatory authority is directly responsible for assessing the effectiveness of each banking business to detect any defects, the regulatory authority must identify any upcoming challenges related to the performance of all banks. For this reason, the regulatory authorities sought a clear statement to highlight the performance of any financial activity on the basis of which the performance is evaluated. The regulatory required statements provide comprehensive information that reflects the performance. Nevertheless, onsite investigations are also needed to find accuracy</w:t>
      </w:r>
      <w:r>
        <w:rPr>
          <w:spacing w:val="-17"/>
        </w:rPr>
        <w:t xml:space="preserve"> </w:t>
      </w:r>
      <w:r>
        <w:t>and to rule on the quality performance of banking companies. The adequacy and effectiveness of a bank can be briefly summarized by financial</w:t>
      </w:r>
      <w:r>
        <w:rPr>
          <w:spacing w:val="-13"/>
        </w:rPr>
        <w:t xml:space="preserve"> </w:t>
      </w:r>
      <w:r>
        <w:t>ratios.</w:t>
      </w:r>
    </w:p>
    <w:p w:rsidR="00B801AF" w:rsidRDefault="00B801AF">
      <w:pPr>
        <w:spacing w:line="256" w:lineRule="auto"/>
        <w:sectPr w:rsidR="00B801AF" w:rsidSect="00602675">
          <w:footerReference w:type="default" r:id="rId13"/>
          <w:pgSz w:w="11900" w:h="16840"/>
          <w:pgMar w:top="1440" w:right="1100" w:bottom="1240" w:left="1040" w:header="0" w:footer="1046" w:gutter="0"/>
          <w:pgNumType w:start="1"/>
          <w:cols w:space="720"/>
        </w:sectPr>
      </w:pPr>
    </w:p>
    <w:p w:rsidR="00B801AF" w:rsidRDefault="00602675">
      <w:pPr>
        <w:pStyle w:val="ListParagraph"/>
        <w:numPr>
          <w:ilvl w:val="1"/>
          <w:numId w:val="11"/>
        </w:numPr>
        <w:tabs>
          <w:tab w:val="left" w:pos="823"/>
        </w:tabs>
        <w:spacing w:before="59"/>
        <w:ind w:left="822" w:hanging="423"/>
        <w:rPr>
          <w:b/>
          <w:sz w:val="28"/>
        </w:rPr>
      </w:pPr>
      <w:r>
        <w:rPr>
          <w:b/>
          <w:sz w:val="28"/>
          <w:u w:val="thick"/>
        </w:rPr>
        <w:lastRenderedPageBreak/>
        <w:t>Rational of the</w:t>
      </w:r>
      <w:r>
        <w:rPr>
          <w:b/>
          <w:spacing w:val="-5"/>
          <w:sz w:val="28"/>
          <w:u w:val="thick"/>
        </w:rPr>
        <w:t xml:space="preserve"> </w:t>
      </w:r>
      <w:r>
        <w:rPr>
          <w:b/>
          <w:sz w:val="28"/>
          <w:u w:val="thick"/>
        </w:rPr>
        <w:t>Study</w:t>
      </w:r>
    </w:p>
    <w:p w:rsidR="00B801AF" w:rsidRDefault="00B801AF">
      <w:pPr>
        <w:pStyle w:val="BodyText"/>
        <w:rPr>
          <w:b/>
          <w:sz w:val="20"/>
        </w:rPr>
      </w:pPr>
    </w:p>
    <w:p w:rsidR="00B801AF" w:rsidRDefault="00B801AF">
      <w:pPr>
        <w:pStyle w:val="BodyText"/>
        <w:rPr>
          <w:b/>
          <w:sz w:val="20"/>
        </w:rPr>
      </w:pPr>
    </w:p>
    <w:p w:rsidR="00B801AF" w:rsidRDefault="00B801AF">
      <w:pPr>
        <w:pStyle w:val="BodyText"/>
        <w:spacing w:before="8"/>
        <w:rPr>
          <w:b/>
          <w:sz w:val="19"/>
        </w:rPr>
      </w:pPr>
    </w:p>
    <w:p w:rsidR="00B801AF" w:rsidRDefault="00602675">
      <w:pPr>
        <w:pStyle w:val="BodyText"/>
        <w:spacing w:before="90"/>
        <w:ind w:left="400" w:right="327"/>
      </w:pPr>
      <w:r>
        <w:t>As the central bank of Bangladesh, Banking Bangladesh (BB) acts as the legal authority to regulate and monitor the banking system of Bangladesh. To fulfill this important role, BB thoroughly evaluates the overall performance of the banking system, as well as its strengths and weaknesses, to find the security and suitability of each individual banking company.</w:t>
      </w:r>
    </w:p>
    <w:p w:rsidR="00B801AF" w:rsidRDefault="00602675">
      <w:pPr>
        <w:pStyle w:val="BodyText"/>
        <w:ind w:left="400" w:right="458"/>
      </w:pPr>
      <w:r>
        <w:t>Bangladesh Bank operates its offsite monitoring program based on camel rating. At present risk-based supervisory activities are implemented to assist banks from the edge of the central bank so that they can keep up with the modern, diverse, most complex, vulnerable and most competitive baking environment. Significant, risk-based monitoring activities and risk-based ratings from inspections are reflected in the Camels Ratings Management</w:t>
      </w:r>
      <w:r>
        <w:rPr>
          <w:spacing w:val="-18"/>
        </w:rPr>
        <w:t xml:space="preserve"> </w:t>
      </w:r>
      <w:r>
        <w:t>section, focusing on efficiency in managing multiple issues in the banking</w:t>
      </w:r>
      <w:r>
        <w:rPr>
          <w:spacing w:val="-9"/>
        </w:rPr>
        <w:t xml:space="preserve"> </w:t>
      </w:r>
      <w:r>
        <w:t>business.</w:t>
      </w:r>
    </w:p>
    <w:p w:rsidR="00B801AF" w:rsidRDefault="00602675">
      <w:pPr>
        <w:pStyle w:val="BodyText"/>
        <w:spacing w:before="6" w:line="237" w:lineRule="auto"/>
        <w:ind w:left="400" w:right="327"/>
      </w:pPr>
      <w:r>
        <w:t>The financial ratio is used as a monitoring system to determine the overall position of a bank, where Bangladesh Bank can take necessary measures where necessary. The study looks at all related factors, including financial ratios. All ratios will be summarized so that each component of CALELS has a clear idea about it. Since the Camels rating result is kept secret, stakeholders of a bank are unaware of the actual performance of a banking company. Along this line, a detailed discussion of financial ratios is required for the public</w:t>
      </w:r>
    </w:p>
    <w:p w:rsidR="00B801AF" w:rsidRDefault="00602675">
      <w:pPr>
        <w:pStyle w:val="BodyText"/>
        <w:spacing w:before="5" w:line="360" w:lineRule="auto"/>
        <w:ind w:left="400" w:right="327"/>
      </w:pPr>
      <w:r>
        <w:t>In order to concentrate on the qualities and weaknesses that should be taken in this study, the performance of Southeast Bank Limited should be analyzed. It will encourage regulatory authorities, stakeholders, and the general public to think and concentrate on the strategies needed to assure their interests.</w:t>
      </w: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602675">
      <w:pPr>
        <w:pStyle w:val="ListParagraph"/>
        <w:numPr>
          <w:ilvl w:val="1"/>
          <w:numId w:val="11"/>
        </w:numPr>
        <w:tabs>
          <w:tab w:val="left" w:pos="823"/>
        </w:tabs>
        <w:spacing w:before="229"/>
        <w:ind w:left="822" w:hanging="423"/>
        <w:rPr>
          <w:b/>
          <w:sz w:val="28"/>
        </w:rPr>
      </w:pPr>
      <w:r>
        <w:rPr>
          <w:b/>
          <w:sz w:val="28"/>
          <w:u w:val="thick"/>
        </w:rPr>
        <w:t>Objectives</w:t>
      </w:r>
    </w:p>
    <w:p w:rsidR="00B801AF" w:rsidRDefault="00B801AF">
      <w:pPr>
        <w:pStyle w:val="BodyText"/>
        <w:rPr>
          <w:b/>
          <w:sz w:val="20"/>
        </w:rPr>
      </w:pPr>
    </w:p>
    <w:p w:rsidR="00B801AF" w:rsidRDefault="00B801AF">
      <w:pPr>
        <w:pStyle w:val="BodyText"/>
        <w:rPr>
          <w:b/>
          <w:sz w:val="20"/>
        </w:rPr>
      </w:pPr>
    </w:p>
    <w:p w:rsidR="00B801AF" w:rsidRDefault="00B801AF">
      <w:pPr>
        <w:pStyle w:val="BodyText"/>
        <w:spacing w:before="1"/>
        <w:rPr>
          <w:b/>
          <w:sz w:val="25"/>
        </w:rPr>
      </w:pPr>
    </w:p>
    <w:p w:rsidR="00B801AF" w:rsidRDefault="00602675">
      <w:pPr>
        <w:spacing w:before="91" w:line="376" w:lineRule="auto"/>
        <w:ind w:left="580" w:right="402"/>
        <w:rPr>
          <w:sz w:val="23"/>
        </w:rPr>
      </w:pPr>
      <w:r>
        <w:rPr>
          <w:sz w:val="23"/>
        </w:rPr>
        <w:t>The study will help to show how financial ratio is applied by bank to assess the performance of Southeast Bank Limited in a complete format. Specific objectives of the study are:</w:t>
      </w:r>
    </w:p>
    <w:p w:rsidR="00B801AF" w:rsidRDefault="00602675">
      <w:pPr>
        <w:pStyle w:val="ListParagraph"/>
        <w:numPr>
          <w:ilvl w:val="2"/>
          <w:numId w:val="11"/>
        </w:numPr>
        <w:tabs>
          <w:tab w:val="left" w:pos="1121"/>
        </w:tabs>
        <w:spacing w:before="142"/>
        <w:ind w:hanging="361"/>
        <w:rPr>
          <w:sz w:val="24"/>
          <w:szCs w:val="24"/>
        </w:rPr>
      </w:pPr>
      <w:r>
        <w:rPr>
          <w:sz w:val="24"/>
          <w:szCs w:val="24"/>
        </w:rPr>
        <w:t>To measure the performance of Southeast Bank</w:t>
      </w:r>
      <w:r>
        <w:rPr>
          <w:spacing w:val="-1"/>
          <w:sz w:val="24"/>
          <w:szCs w:val="24"/>
        </w:rPr>
        <w:t xml:space="preserve"> </w:t>
      </w:r>
      <w:r>
        <w:rPr>
          <w:sz w:val="24"/>
          <w:szCs w:val="24"/>
        </w:rPr>
        <w:t>Limited.</w:t>
      </w:r>
    </w:p>
    <w:p w:rsidR="00B801AF" w:rsidRDefault="00602675">
      <w:pPr>
        <w:pStyle w:val="ListParagraph"/>
        <w:numPr>
          <w:ilvl w:val="2"/>
          <w:numId w:val="11"/>
        </w:numPr>
        <w:tabs>
          <w:tab w:val="left" w:pos="1121"/>
        </w:tabs>
        <w:spacing w:before="134"/>
        <w:ind w:hanging="361"/>
        <w:rPr>
          <w:sz w:val="24"/>
          <w:szCs w:val="24"/>
        </w:rPr>
      </w:pPr>
      <w:r>
        <w:rPr>
          <w:sz w:val="24"/>
          <w:szCs w:val="24"/>
        </w:rPr>
        <w:t>To find out the strength and weakness of the bank in financial aspect in</w:t>
      </w:r>
      <w:r>
        <w:rPr>
          <w:spacing w:val="-6"/>
          <w:sz w:val="24"/>
          <w:szCs w:val="24"/>
        </w:rPr>
        <w:t xml:space="preserve"> </w:t>
      </w:r>
      <w:r>
        <w:rPr>
          <w:sz w:val="24"/>
          <w:szCs w:val="24"/>
        </w:rPr>
        <w:t>particulars.</w:t>
      </w:r>
    </w:p>
    <w:p w:rsidR="00B801AF" w:rsidRDefault="00602675">
      <w:pPr>
        <w:pStyle w:val="ListParagraph"/>
        <w:numPr>
          <w:ilvl w:val="2"/>
          <w:numId w:val="11"/>
        </w:numPr>
        <w:tabs>
          <w:tab w:val="left" w:pos="1121"/>
        </w:tabs>
        <w:spacing w:before="135"/>
        <w:ind w:hanging="361"/>
        <w:rPr>
          <w:sz w:val="24"/>
          <w:szCs w:val="24"/>
        </w:rPr>
      </w:pPr>
      <w:r>
        <w:rPr>
          <w:sz w:val="24"/>
          <w:szCs w:val="24"/>
        </w:rPr>
        <w:t>To recommend some measures for better functioning of financial system of the</w:t>
      </w:r>
      <w:r>
        <w:rPr>
          <w:spacing w:val="-11"/>
          <w:sz w:val="24"/>
          <w:szCs w:val="24"/>
        </w:rPr>
        <w:t xml:space="preserve"> </w:t>
      </w:r>
      <w:r>
        <w:rPr>
          <w:sz w:val="24"/>
          <w:szCs w:val="24"/>
        </w:rPr>
        <w:t>bank</w:t>
      </w:r>
    </w:p>
    <w:p w:rsidR="00B801AF" w:rsidRDefault="00B801AF">
      <w:pPr>
        <w:pStyle w:val="BodyText"/>
        <w:spacing w:before="1"/>
        <w:rPr>
          <w:sz w:val="30"/>
        </w:rPr>
      </w:pPr>
    </w:p>
    <w:p w:rsidR="00B801AF" w:rsidRDefault="00602675">
      <w:pPr>
        <w:pStyle w:val="ListParagraph"/>
        <w:numPr>
          <w:ilvl w:val="1"/>
          <w:numId w:val="11"/>
        </w:numPr>
        <w:tabs>
          <w:tab w:val="left" w:pos="823"/>
        </w:tabs>
        <w:ind w:left="822" w:hanging="423"/>
        <w:rPr>
          <w:b/>
          <w:sz w:val="28"/>
        </w:rPr>
      </w:pPr>
      <w:r>
        <w:rPr>
          <w:b/>
          <w:sz w:val="28"/>
          <w:u w:val="thick"/>
        </w:rPr>
        <w:t>Methodology</w:t>
      </w:r>
    </w:p>
    <w:p w:rsidR="00B801AF" w:rsidRDefault="00B801AF">
      <w:pPr>
        <w:pStyle w:val="BodyText"/>
        <w:spacing w:before="1"/>
        <w:rPr>
          <w:b/>
          <w:sz w:val="21"/>
        </w:rPr>
      </w:pPr>
    </w:p>
    <w:p w:rsidR="00B801AF" w:rsidRDefault="00602675">
      <w:pPr>
        <w:spacing w:before="89"/>
        <w:ind w:left="400"/>
        <w:rPr>
          <w:b/>
          <w:sz w:val="28"/>
        </w:rPr>
      </w:pPr>
      <w:r>
        <w:rPr>
          <w:b/>
          <w:sz w:val="28"/>
        </w:rPr>
        <w:t>1.4.1 Collection of Data:</w:t>
      </w:r>
    </w:p>
    <w:p w:rsidR="00B801AF" w:rsidRDefault="00602675">
      <w:pPr>
        <w:spacing w:before="97"/>
        <w:ind w:left="400"/>
        <w:rPr>
          <w:sz w:val="23"/>
        </w:rPr>
      </w:pPr>
      <w:r>
        <w:rPr>
          <w:sz w:val="23"/>
        </w:rPr>
        <w:t>This study has been undertaken on the basis of secondary data (i.e., published data or processed</w:t>
      </w:r>
    </w:p>
    <w:p w:rsidR="00B801AF" w:rsidRDefault="00B801AF">
      <w:pPr>
        <w:rPr>
          <w:sz w:val="23"/>
        </w:rPr>
        <w:sectPr w:rsidR="00B801AF">
          <w:pgSz w:w="11900" w:h="16840"/>
          <w:pgMar w:top="1360" w:right="1100" w:bottom="1240" w:left="1040" w:header="0" w:footer="1046" w:gutter="0"/>
          <w:cols w:space="720"/>
        </w:sectPr>
      </w:pPr>
    </w:p>
    <w:p w:rsidR="00B801AF" w:rsidRDefault="00602675">
      <w:pPr>
        <w:pStyle w:val="BodyText"/>
        <w:spacing w:before="69"/>
        <w:ind w:left="400"/>
      </w:pPr>
      <w:r>
        <w:lastRenderedPageBreak/>
        <w:t>data). For this purposes, a good number of sources have been used.</w:t>
      </w:r>
    </w:p>
    <w:p w:rsidR="00B801AF" w:rsidRDefault="00B801AF">
      <w:pPr>
        <w:pStyle w:val="BodyText"/>
        <w:spacing w:before="3"/>
        <w:rPr>
          <w:sz w:val="25"/>
        </w:rPr>
      </w:pPr>
    </w:p>
    <w:p w:rsidR="00B801AF" w:rsidRDefault="00602675">
      <w:pPr>
        <w:pStyle w:val="Heading4"/>
      </w:pPr>
      <w:r>
        <w:t>The sources include:</w:t>
      </w:r>
    </w:p>
    <w:p w:rsidR="00B801AF" w:rsidRDefault="00602675">
      <w:pPr>
        <w:pStyle w:val="ListParagraph"/>
        <w:numPr>
          <w:ilvl w:val="0"/>
          <w:numId w:val="10"/>
        </w:numPr>
        <w:tabs>
          <w:tab w:val="left" w:pos="1121"/>
        </w:tabs>
        <w:spacing w:before="5"/>
        <w:ind w:hanging="361"/>
        <w:rPr>
          <w:sz w:val="24"/>
          <w:szCs w:val="24"/>
        </w:rPr>
      </w:pPr>
      <w:r>
        <w:rPr>
          <w:sz w:val="24"/>
          <w:szCs w:val="24"/>
        </w:rPr>
        <w:t>Annual Report of the</w:t>
      </w:r>
      <w:r>
        <w:rPr>
          <w:spacing w:val="-2"/>
          <w:sz w:val="24"/>
          <w:szCs w:val="24"/>
        </w:rPr>
        <w:t xml:space="preserve"> </w:t>
      </w:r>
      <w:r>
        <w:rPr>
          <w:sz w:val="24"/>
          <w:szCs w:val="24"/>
        </w:rPr>
        <w:t>bank</w:t>
      </w:r>
    </w:p>
    <w:p w:rsidR="00B801AF" w:rsidRDefault="00602675">
      <w:pPr>
        <w:pStyle w:val="ListParagraph"/>
        <w:numPr>
          <w:ilvl w:val="0"/>
          <w:numId w:val="10"/>
        </w:numPr>
        <w:tabs>
          <w:tab w:val="left" w:pos="1121"/>
        </w:tabs>
        <w:spacing w:before="40"/>
        <w:ind w:hanging="361"/>
        <w:rPr>
          <w:sz w:val="24"/>
          <w:szCs w:val="24"/>
        </w:rPr>
      </w:pPr>
      <w:r>
        <w:rPr>
          <w:sz w:val="24"/>
          <w:szCs w:val="24"/>
        </w:rPr>
        <w:t>Insight – Monthly Magazine of the</w:t>
      </w:r>
      <w:r>
        <w:rPr>
          <w:spacing w:val="-8"/>
          <w:sz w:val="24"/>
          <w:szCs w:val="24"/>
        </w:rPr>
        <w:t xml:space="preserve"> </w:t>
      </w:r>
      <w:r>
        <w:rPr>
          <w:sz w:val="24"/>
          <w:szCs w:val="24"/>
        </w:rPr>
        <w:t>bank</w:t>
      </w:r>
    </w:p>
    <w:p w:rsidR="00B801AF" w:rsidRDefault="00602675">
      <w:pPr>
        <w:pStyle w:val="ListParagraph"/>
        <w:numPr>
          <w:ilvl w:val="0"/>
          <w:numId w:val="10"/>
        </w:numPr>
        <w:tabs>
          <w:tab w:val="left" w:pos="1121"/>
        </w:tabs>
        <w:spacing w:before="36"/>
        <w:ind w:hanging="361"/>
        <w:rPr>
          <w:sz w:val="24"/>
          <w:szCs w:val="24"/>
        </w:rPr>
      </w:pPr>
      <w:r>
        <w:rPr>
          <w:sz w:val="24"/>
          <w:szCs w:val="24"/>
        </w:rPr>
        <w:t>Books and Web</w:t>
      </w:r>
      <w:r>
        <w:rPr>
          <w:spacing w:val="-1"/>
          <w:sz w:val="24"/>
          <w:szCs w:val="24"/>
        </w:rPr>
        <w:t xml:space="preserve"> </w:t>
      </w:r>
      <w:r>
        <w:rPr>
          <w:sz w:val="24"/>
          <w:szCs w:val="24"/>
        </w:rPr>
        <w:t>sites</w:t>
      </w:r>
    </w:p>
    <w:p w:rsidR="00B801AF" w:rsidRDefault="00B801AF">
      <w:pPr>
        <w:pStyle w:val="BodyText"/>
        <w:rPr>
          <w:sz w:val="22"/>
        </w:rPr>
      </w:pPr>
    </w:p>
    <w:p w:rsidR="00B801AF" w:rsidRDefault="00602675">
      <w:pPr>
        <w:pStyle w:val="ListParagraph"/>
        <w:numPr>
          <w:ilvl w:val="1"/>
          <w:numId w:val="11"/>
        </w:numPr>
        <w:tabs>
          <w:tab w:val="left" w:pos="823"/>
        </w:tabs>
        <w:spacing w:before="1"/>
        <w:ind w:left="822" w:hanging="423"/>
        <w:rPr>
          <w:b/>
          <w:sz w:val="28"/>
        </w:rPr>
      </w:pPr>
      <w:r>
        <w:rPr>
          <w:b/>
          <w:sz w:val="28"/>
          <w:u w:val="thick"/>
        </w:rPr>
        <w:t>Limitations of the</w:t>
      </w:r>
      <w:r>
        <w:rPr>
          <w:b/>
          <w:spacing w:val="-4"/>
          <w:sz w:val="28"/>
          <w:u w:val="thick"/>
        </w:rPr>
        <w:t xml:space="preserve"> </w:t>
      </w:r>
      <w:r>
        <w:rPr>
          <w:b/>
          <w:sz w:val="28"/>
          <w:u w:val="thick"/>
        </w:rPr>
        <w:t>Study</w:t>
      </w:r>
    </w:p>
    <w:p w:rsidR="00B801AF" w:rsidRDefault="00B801AF">
      <w:pPr>
        <w:pStyle w:val="BodyText"/>
        <w:spacing w:before="9"/>
        <w:rPr>
          <w:b/>
          <w:sz w:val="19"/>
        </w:rPr>
      </w:pPr>
    </w:p>
    <w:p w:rsidR="00B801AF" w:rsidRDefault="00602675">
      <w:pPr>
        <w:pStyle w:val="BodyText"/>
        <w:spacing w:before="97" w:line="232" w:lineRule="auto"/>
        <w:ind w:left="400" w:right="398"/>
      </w:pPr>
      <w:r>
        <w:t>Each study needs to involve a high level of data collection, database creation, literature</w:t>
      </w:r>
      <w:r>
        <w:rPr>
          <w:spacing w:val="-20"/>
        </w:rPr>
        <w:t xml:space="preserve"> </w:t>
      </w:r>
      <w:r>
        <w:t>audit, and data analysis. In this study, the best endeavors have been made to gather, organize, analyze and interpret the most relevant information and finally to achieve the best aftereffects of the study. Nonetheless, this study addresses a portion of the particular barriers mentioned</w:t>
      </w:r>
      <w:r>
        <w:rPr>
          <w:spacing w:val="-1"/>
        </w:rPr>
        <w:t xml:space="preserve"> </w:t>
      </w:r>
      <w:r>
        <w:t>underneath:</w:t>
      </w:r>
    </w:p>
    <w:p w:rsidR="00B801AF" w:rsidRDefault="00602675">
      <w:pPr>
        <w:pStyle w:val="ListParagraph"/>
        <w:numPr>
          <w:ilvl w:val="0"/>
          <w:numId w:val="9"/>
        </w:numPr>
        <w:tabs>
          <w:tab w:val="left" w:pos="641"/>
        </w:tabs>
        <w:spacing w:before="25"/>
        <w:ind w:left="640" w:hanging="241"/>
        <w:rPr>
          <w:sz w:val="24"/>
          <w:szCs w:val="24"/>
        </w:rPr>
      </w:pPr>
      <w:r>
        <w:rPr>
          <w:sz w:val="24"/>
          <w:szCs w:val="24"/>
        </w:rPr>
        <w:t>Primary and unpublished data were not considered for the</w:t>
      </w:r>
      <w:r>
        <w:rPr>
          <w:spacing w:val="-5"/>
          <w:sz w:val="24"/>
          <w:szCs w:val="24"/>
        </w:rPr>
        <w:t xml:space="preserve"> </w:t>
      </w:r>
      <w:r>
        <w:rPr>
          <w:sz w:val="24"/>
          <w:szCs w:val="24"/>
        </w:rPr>
        <w:t>study.</w:t>
      </w:r>
    </w:p>
    <w:p w:rsidR="00B801AF" w:rsidRDefault="00602675">
      <w:pPr>
        <w:pStyle w:val="ListParagraph"/>
        <w:numPr>
          <w:ilvl w:val="0"/>
          <w:numId w:val="9"/>
        </w:numPr>
        <w:tabs>
          <w:tab w:val="left" w:pos="648"/>
        </w:tabs>
        <w:spacing w:before="189" w:line="218" w:lineRule="auto"/>
        <w:ind w:right="528" w:firstLine="0"/>
        <w:rPr>
          <w:sz w:val="24"/>
          <w:szCs w:val="24"/>
        </w:rPr>
      </w:pPr>
      <w:r>
        <w:rPr>
          <w:sz w:val="24"/>
          <w:szCs w:val="24"/>
        </w:rPr>
        <w:t>The accuracy of the data cannot be ascertained mainly as secondary information gathered from annual</w:t>
      </w:r>
      <w:r>
        <w:rPr>
          <w:spacing w:val="-1"/>
          <w:sz w:val="24"/>
          <w:szCs w:val="24"/>
        </w:rPr>
        <w:t xml:space="preserve"> </w:t>
      </w:r>
      <w:r>
        <w:rPr>
          <w:sz w:val="24"/>
          <w:szCs w:val="24"/>
        </w:rPr>
        <w:t>reports.</w:t>
      </w:r>
    </w:p>
    <w:p w:rsidR="00B801AF" w:rsidRDefault="00602675">
      <w:pPr>
        <w:pStyle w:val="ListParagraph"/>
        <w:numPr>
          <w:ilvl w:val="0"/>
          <w:numId w:val="9"/>
        </w:numPr>
        <w:tabs>
          <w:tab w:val="left" w:pos="641"/>
        </w:tabs>
        <w:spacing w:before="140"/>
        <w:ind w:left="640" w:hanging="241"/>
        <w:rPr>
          <w:sz w:val="24"/>
          <w:szCs w:val="24"/>
        </w:rPr>
      </w:pPr>
      <w:r>
        <w:rPr>
          <w:sz w:val="24"/>
          <w:szCs w:val="24"/>
        </w:rPr>
        <w:t>The profundity of analysis is limited to data gathered from various</w:t>
      </w:r>
      <w:r>
        <w:rPr>
          <w:spacing w:val="-18"/>
          <w:sz w:val="24"/>
          <w:szCs w:val="24"/>
        </w:rPr>
        <w:t xml:space="preserve"> </w:t>
      </w:r>
      <w:r>
        <w:rPr>
          <w:sz w:val="24"/>
          <w:szCs w:val="24"/>
        </w:rPr>
        <w:t>sources.</w:t>
      </w:r>
    </w:p>
    <w:p w:rsidR="00B801AF" w:rsidRDefault="00602675">
      <w:pPr>
        <w:pStyle w:val="ListParagraph"/>
        <w:numPr>
          <w:ilvl w:val="0"/>
          <w:numId w:val="9"/>
        </w:numPr>
        <w:tabs>
          <w:tab w:val="left" w:pos="648"/>
        </w:tabs>
        <w:spacing w:before="188" w:line="223" w:lineRule="auto"/>
        <w:ind w:right="359" w:firstLine="0"/>
        <w:rPr>
          <w:sz w:val="23"/>
          <w:szCs w:val="23"/>
        </w:rPr>
      </w:pPr>
      <w:r>
        <w:rPr>
          <w:sz w:val="24"/>
          <w:szCs w:val="24"/>
        </w:rPr>
        <w:t>Camels analysis cannot be utilized in this report because the bank's qualitative measures utilized by the bank for each component of Camillus are unique in relation to those of various analysts with t</w:t>
      </w:r>
      <w:r>
        <w:rPr>
          <w:sz w:val="23"/>
          <w:szCs w:val="23"/>
        </w:rPr>
        <w:t>he goal that we utilize financial ratios to evaluate the bank's</w:t>
      </w:r>
      <w:r>
        <w:rPr>
          <w:spacing w:val="-20"/>
          <w:sz w:val="23"/>
          <w:szCs w:val="23"/>
        </w:rPr>
        <w:t xml:space="preserve"> </w:t>
      </w:r>
      <w:r>
        <w:rPr>
          <w:sz w:val="23"/>
          <w:szCs w:val="23"/>
        </w:rPr>
        <w:t>adequacy.</w:t>
      </w:r>
    </w:p>
    <w:p w:rsidR="00B801AF" w:rsidRDefault="00B801AF">
      <w:pPr>
        <w:spacing w:line="223" w:lineRule="auto"/>
        <w:rPr>
          <w:sz w:val="23"/>
          <w:szCs w:val="23"/>
        </w:rPr>
        <w:sectPr w:rsidR="00B801AF" w:rsidSect="00B61B31">
          <w:footerReference w:type="default" r:id="rId14"/>
          <w:pgSz w:w="11900" w:h="16840"/>
          <w:pgMar w:top="1340" w:right="1100" w:bottom="1220" w:left="1040" w:header="0" w:footer="1038" w:gutter="0"/>
          <w:pgNumType w:start="3"/>
          <w:cols w:space="720"/>
        </w:sectPr>
      </w:pPr>
    </w:p>
    <w:p w:rsidR="00B801AF" w:rsidRDefault="00602675">
      <w:pPr>
        <w:pStyle w:val="Heading1"/>
        <w:spacing w:line="398" w:lineRule="auto"/>
        <w:ind w:left="3545" w:right="2790" w:firstLine="465"/>
        <w:jc w:val="left"/>
      </w:pPr>
      <w:r>
        <w:lastRenderedPageBreak/>
        <w:t>Chapter Two Company Overview</w:t>
      </w:r>
    </w:p>
    <w:p w:rsidR="00B801AF" w:rsidRDefault="00602675">
      <w:pPr>
        <w:pStyle w:val="Heading2"/>
        <w:spacing w:before="193"/>
        <w:ind w:left="400" w:firstLine="0"/>
        <w:rPr>
          <w:b w:val="0"/>
        </w:rPr>
      </w:pPr>
      <w:r>
        <w:t>2.1 Background of “Southeast Bank Limited .”</w:t>
      </w:r>
      <w:r>
        <w:rPr>
          <w:b w:val="0"/>
        </w:rPr>
        <w:t>:</w:t>
      </w:r>
    </w:p>
    <w:p w:rsidR="00B801AF" w:rsidRDefault="00B801AF">
      <w:pPr>
        <w:pStyle w:val="BodyText"/>
        <w:spacing w:before="2"/>
        <w:rPr>
          <w:sz w:val="30"/>
        </w:rPr>
      </w:pPr>
    </w:p>
    <w:p w:rsidR="00B801AF" w:rsidRDefault="00602675">
      <w:pPr>
        <w:spacing w:line="288" w:lineRule="auto"/>
        <w:ind w:left="400" w:right="327"/>
        <w:rPr>
          <w:sz w:val="23"/>
        </w:rPr>
      </w:pPr>
      <w:r>
        <w:rPr>
          <w:sz w:val="23"/>
        </w:rPr>
        <w:t>Southeast Bank Limited is a private commercial Bank, which launched its activities in Dhaka in 1995. The Bank concentrates its activities in its area of expertise and has achieved good market reputation for efficient customer service. The Bank is committed in providing training/retraining to its staff to keep them up to date with modern practices in their respective fields of work. The Bank also tries to fulfill its share in community responsibilities. By such measures the Bank intends to grow and enhance shareholders’ value.</w:t>
      </w:r>
    </w:p>
    <w:p w:rsidR="00B801AF" w:rsidRDefault="00602675">
      <w:pPr>
        <w:spacing w:before="141" w:line="288" w:lineRule="auto"/>
        <w:ind w:left="400"/>
        <w:rPr>
          <w:sz w:val="23"/>
        </w:rPr>
      </w:pPr>
      <w:r>
        <w:rPr>
          <w:sz w:val="23"/>
        </w:rPr>
        <w:t>Southeast Bank Limited pledges to maximize customer satisfaction through services and build a trusting relationship with customers, which has already stood the test of nineteen years.</w:t>
      </w:r>
    </w:p>
    <w:p w:rsidR="00B801AF" w:rsidRDefault="00602675">
      <w:pPr>
        <w:pStyle w:val="BodyText"/>
        <w:spacing w:before="138" w:line="273" w:lineRule="auto"/>
        <w:ind w:left="400" w:right="315"/>
        <w:jc w:val="both"/>
      </w:pPr>
      <w:r>
        <w:t>Southeast Bank Limited is a scheduled commercial Bank under private sector established under the ambit of Bank Company Act, 1991 and incorporated as a Public Limited Company under Companies Act, 1994 on 12 March 1995. The Bank started commercial banking operations effective from 25 May 1995. During this short span of time the Bank has been successful to position itself as a progressive and dynamic financial institution in the country.</w:t>
      </w:r>
    </w:p>
    <w:p w:rsidR="00B801AF" w:rsidRDefault="00602675">
      <w:pPr>
        <w:pStyle w:val="BodyText"/>
        <w:spacing w:before="156" w:line="268" w:lineRule="auto"/>
        <w:ind w:left="400" w:right="338"/>
        <w:jc w:val="both"/>
      </w:pPr>
      <w:r>
        <w:t>Southeast Bank Limited has been licensed by the Government of Bangladesh as a Scheduled Bank in the private sector in pursuance of the policy of liberalization of banking and financial services and facilities in Bangladesh.</w:t>
      </w:r>
    </w:p>
    <w:p w:rsidR="00B801AF" w:rsidRDefault="00602675">
      <w:pPr>
        <w:pStyle w:val="BodyText"/>
        <w:spacing w:before="167" w:line="273" w:lineRule="auto"/>
        <w:ind w:left="400" w:right="338"/>
        <w:jc w:val="both"/>
      </w:pPr>
      <w:r>
        <w:t>The present Charmin is Mr. Alamgir Kabir, FCA who is also a renowned business person of the country. The present Managing Director is Mr. Shahid Hossain who has long experience in Commercial Banking System. The Bank has made significant progress with in a very short period of time due to its very competent Board of Directors, Dynamic management and introduction of various customer friendly deposit and loan products.</w:t>
      </w:r>
    </w:p>
    <w:p w:rsidR="00B801AF" w:rsidRDefault="00B801AF">
      <w:pPr>
        <w:pStyle w:val="BodyText"/>
        <w:rPr>
          <w:sz w:val="26"/>
        </w:rPr>
      </w:pPr>
    </w:p>
    <w:p w:rsidR="00B801AF" w:rsidRDefault="00B801AF">
      <w:pPr>
        <w:pStyle w:val="BodyText"/>
        <w:spacing w:before="2"/>
        <w:rPr>
          <w:sz w:val="27"/>
        </w:rPr>
      </w:pPr>
    </w:p>
    <w:p w:rsidR="00B801AF" w:rsidRDefault="00602675">
      <w:pPr>
        <w:pStyle w:val="BodyText"/>
        <w:spacing w:line="268" w:lineRule="auto"/>
        <w:ind w:left="400" w:right="334"/>
        <w:jc w:val="both"/>
      </w:pPr>
      <w:r>
        <w:t>The Authorized Capital of the bank is Tk. 10,000.00 million and Paid-up Capital is Tk. 8,732.86 million. The bank maintains a secured capital adequacy ratio which is 10.90% of the Risk Weighted Assets as of December 31, 2013.</w:t>
      </w:r>
    </w:p>
    <w:p w:rsidR="00B801AF" w:rsidRDefault="00B801AF">
      <w:pPr>
        <w:pStyle w:val="BodyText"/>
        <w:rPr>
          <w:sz w:val="26"/>
        </w:rPr>
      </w:pPr>
    </w:p>
    <w:p w:rsidR="00B801AF" w:rsidRDefault="00B801AF">
      <w:pPr>
        <w:pStyle w:val="BodyText"/>
        <w:rPr>
          <w:sz w:val="26"/>
        </w:rPr>
      </w:pPr>
    </w:p>
    <w:p w:rsidR="00B801AF" w:rsidRDefault="00B801AF">
      <w:pPr>
        <w:pStyle w:val="BodyText"/>
        <w:spacing w:before="10"/>
        <w:rPr>
          <w:sz w:val="37"/>
        </w:rPr>
      </w:pPr>
    </w:p>
    <w:p w:rsidR="00B801AF" w:rsidRDefault="00602675">
      <w:pPr>
        <w:pStyle w:val="Heading4"/>
        <w:jc w:val="both"/>
      </w:pPr>
      <w:r>
        <w:t>Mission &amp; Objective:</w:t>
      </w:r>
    </w:p>
    <w:p w:rsidR="00B801AF" w:rsidRDefault="00602675">
      <w:pPr>
        <w:spacing w:before="136"/>
        <w:ind w:left="400"/>
        <w:jc w:val="both"/>
        <w:rPr>
          <w:sz w:val="23"/>
        </w:rPr>
      </w:pPr>
      <w:r>
        <w:rPr>
          <w:sz w:val="23"/>
        </w:rPr>
        <w:t>There have some missions of Southeast Bank Limited, which are as follows:</w:t>
      </w:r>
    </w:p>
    <w:p w:rsidR="00B801AF" w:rsidRDefault="00602675">
      <w:pPr>
        <w:pStyle w:val="ListParagraph"/>
        <w:numPr>
          <w:ilvl w:val="0"/>
          <w:numId w:val="8"/>
        </w:numPr>
        <w:tabs>
          <w:tab w:val="left" w:pos="641"/>
        </w:tabs>
        <w:spacing w:before="26"/>
        <w:ind w:hanging="241"/>
        <w:rPr>
          <w:sz w:val="23"/>
        </w:rPr>
      </w:pPr>
      <w:r>
        <w:rPr>
          <w:sz w:val="23"/>
        </w:rPr>
        <w:t>Fast customer</w:t>
      </w:r>
      <w:r>
        <w:rPr>
          <w:spacing w:val="-1"/>
          <w:sz w:val="23"/>
        </w:rPr>
        <w:t xml:space="preserve"> </w:t>
      </w:r>
      <w:r>
        <w:rPr>
          <w:sz w:val="23"/>
        </w:rPr>
        <w:t>service.</w:t>
      </w:r>
    </w:p>
    <w:p w:rsidR="00B801AF" w:rsidRDefault="00602675">
      <w:pPr>
        <w:pStyle w:val="ListParagraph"/>
        <w:numPr>
          <w:ilvl w:val="0"/>
          <w:numId w:val="8"/>
        </w:numPr>
        <w:tabs>
          <w:tab w:val="left" w:pos="641"/>
        </w:tabs>
        <w:spacing w:before="142"/>
        <w:ind w:hanging="241"/>
        <w:rPr>
          <w:sz w:val="23"/>
        </w:rPr>
      </w:pPr>
      <w:r>
        <w:rPr>
          <w:sz w:val="23"/>
        </w:rPr>
        <w:t>Maintain sustainable</w:t>
      </w:r>
      <w:r>
        <w:rPr>
          <w:spacing w:val="-1"/>
          <w:sz w:val="23"/>
        </w:rPr>
        <w:t xml:space="preserve"> </w:t>
      </w:r>
      <w:r>
        <w:rPr>
          <w:sz w:val="23"/>
        </w:rPr>
        <w:t>growth</w:t>
      </w:r>
    </w:p>
    <w:p w:rsidR="00B801AF" w:rsidRDefault="00602675">
      <w:pPr>
        <w:pStyle w:val="ListParagraph"/>
        <w:numPr>
          <w:ilvl w:val="0"/>
          <w:numId w:val="8"/>
        </w:numPr>
        <w:tabs>
          <w:tab w:val="left" w:pos="641"/>
        </w:tabs>
        <w:spacing w:before="134"/>
        <w:ind w:hanging="241"/>
        <w:rPr>
          <w:sz w:val="23"/>
        </w:rPr>
      </w:pPr>
      <w:r>
        <w:rPr>
          <w:sz w:val="23"/>
        </w:rPr>
        <w:t>Follow strong business</w:t>
      </w:r>
      <w:r>
        <w:rPr>
          <w:spacing w:val="-6"/>
          <w:sz w:val="23"/>
        </w:rPr>
        <w:t xml:space="preserve"> </w:t>
      </w:r>
      <w:r>
        <w:rPr>
          <w:sz w:val="23"/>
        </w:rPr>
        <w:t>ethics</w:t>
      </w:r>
    </w:p>
    <w:p w:rsidR="00B801AF" w:rsidRDefault="00B801AF">
      <w:pPr>
        <w:rPr>
          <w:sz w:val="23"/>
        </w:rPr>
        <w:sectPr w:rsidR="00B801AF">
          <w:pgSz w:w="11900" w:h="16840"/>
          <w:pgMar w:top="1360" w:right="1100" w:bottom="1260" w:left="1040" w:header="0" w:footer="1038" w:gutter="0"/>
          <w:cols w:space="720"/>
        </w:sectPr>
      </w:pPr>
    </w:p>
    <w:p w:rsidR="00B801AF" w:rsidRDefault="00602675">
      <w:pPr>
        <w:pStyle w:val="ListParagraph"/>
        <w:numPr>
          <w:ilvl w:val="0"/>
          <w:numId w:val="8"/>
        </w:numPr>
        <w:tabs>
          <w:tab w:val="left" w:pos="641"/>
        </w:tabs>
        <w:spacing w:before="123"/>
        <w:ind w:hanging="241"/>
        <w:rPr>
          <w:sz w:val="23"/>
        </w:rPr>
      </w:pPr>
      <w:r>
        <w:rPr>
          <w:sz w:val="23"/>
        </w:rPr>
        <w:lastRenderedPageBreak/>
        <w:t>Offer quality financial services with latest</w:t>
      </w:r>
      <w:r>
        <w:rPr>
          <w:spacing w:val="-6"/>
          <w:sz w:val="23"/>
        </w:rPr>
        <w:t xml:space="preserve"> </w:t>
      </w:r>
      <w:r>
        <w:rPr>
          <w:sz w:val="23"/>
        </w:rPr>
        <w:t>technology</w:t>
      </w:r>
    </w:p>
    <w:p w:rsidR="00B801AF" w:rsidRDefault="00602675">
      <w:pPr>
        <w:pStyle w:val="ListParagraph"/>
        <w:numPr>
          <w:ilvl w:val="0"/>
          <w:numId w:val="8"/>
        </w:numPr>
        <w:tabs>
          <w:tab w:val="left" w:pos="641"/>
        </w:tabs>
        <w:spacing w:before="137"/>
        <w:ind w:hanging="241"/>
        <w:rPr>
          <w:sz w:val="23"/>
        </w:rPr>
      </w:pPr>
      <w:r>
        <w:rPr>
          <w:sz w:val="23"/>
        </w:rPr>
        <w:t>Provide smooth return on shareholder’s</w:t>
      </w:r>
      <w:r>
        <w:rPr>
          <w:spacing w:val="-4"/>
          <w:sz w:val="23"/>
        </w:rPr>
        <w:t xml:space="preserve"> </w:t>
      </w:r>
      <w:r>
        <w:rPr>
          <w:sz w:val="23"/>
        </w:rPr>
        <w:t>equity</w:t>
      </w:r>
    </w:p>
    <w:p w:rsidR="00B801AF" w:rsidRDefault="00602675">
      <w:pPr>
        <w:pStyle w:val="ListParagraph"/>
        <w:numPr>
          <w:ilvl w:val="0"/>
          <w:numId w:val="8"/>
        </w:numPr>
        <w:tabs>
          <w:tab w:val="left" w:pos="641"/>
        </w:tabs>
        <w:spacing w:before="139"/>
        <w:ind w:hanging="241"/>
        <w:rPr>
          <w:sz w:val="23"/>
        </w:rPr>
      </w:pPr>
      <w:r>
        <w:rPr>
          <w:sz w:val="23"/>
        </w:rPr>
        <w:t>Attract and retain qualified human</w:t>
      </w:r>
      <w:r>
        <w:rPr>
          <w:spacing w:val="-4"/>
          <w:sz w:val="23"/>
        </w:rPr>
        <w:t xml:space="preserve"> </w:t>
      </w:r>
      <w:r>
        <w:rPr>
          <w:sz w:val="23"/>
        </w:rPr>
        <w:t>resource.</w:t>
      </w:r>
    </w:p>
    <w:p w:rsidR="00B801AF" w:rsidRDefault="00602675">
      <w:pPr>
        <w:pStyle w:val="ListParagraph"/>
        <w:numPr>
          <w:ilvl w:val="0"/>
          <w:numId w:val="8"/>
        </w:numPr>
        <w:tabs>
          <w:tab w:val="left" w:pos="641"/>
        </w:tabs>
        <w:spacing w:before="134"/>
        <w:ind w:hanging="241"/>
        <w:rPr>
          <w:sz w:val="23"/>
        </w:rPr>
      </w:pPr>
      <w:r>
        <w:rPr>
          <w:sz w:val="23"/>
        </w:rPr>
        <w:t>Maintain Corporate Social</w:t>
      </w:r>
      <w:r>
        <w:rPr>
          <w:spacing w:val="-3"/>
          <w:sz w:val="23"/>
        </w:rPr>
        <w:t xml:space="preserve"> </w:t>
      </w:r>
      <w:r>
        <w:rPr>
          <w:sz w:val="23"/>
        </w:rPr>
        <w:t>Responsibility</w:t>
      </w:r>
    </w:p>
    <w:p w:rsidR="00B801AF" w:rsidRDefault="00B801AF">
      <w:pPr>
        <w:pStyle w:val="BodyText"/>
        <w:rPr>
          <w:sz w:val="30"/>
        </w:rPr>
      </w:pPr>
    </w:p>
    <w:p w:rsidR="00B801AF" w:rsidRDefault="00B801AF">
      <w:pPr>
        <w:pStyle w:val="BodyText"/>
        <w:rPr>
          <w:sz w:val="30"/>
        </w:rPr>
      </w:pPr>
    </w:p>
    <w:p w:rsidR="00B801AF" w:rsidRDefault="00602675">
      <w:pPr>
        <w:pStyle w:val="Heading2"/>
        <w:numPr>
          <w:ilvl w:val="1"/>
          <w:numId w:val="7"/>
        </w:numPr>
        <w:tabs>
          <w:tab w:val="left" w:pos="823"/>
        </w:tabs>
        <w:spacing w:before="230"/>
      </w:pPr>
      <w:r>
        <w:t>Visions</w:t>
      </w:r>
    </w:p>
    <w:p w:rsidR="00B801AF" w:rsidRDefault="00B801AF">
      <w:pPr>
        <w:pStyle w:val="BodyText"/>
        <w:rPr>
          <w:b/>
          <w:sz w:val="30"/>
        </w:rPr>
      </w:pPr>
    </w:p>
    <w:p w:rsidR="00B801AF" w:rsidRDefault="00B801AF">
      <w:pPr>
        <w:pStyle w:val="BodyText"/>
        <w:spacing w:before="9"/>
        <w:rPr>
          <w:b/>
          <w:sz w:val="38"/>
        </w:rPr>
      </w:pPr>
    </w:p>
    <w:p w:rsidR="00B801AF" w:rsidRDefault="00602675">
      <w:pPr>
        <w:pStyle w:val="Heading4"/>
        <w:spacing w:line="348" w:lineRule="auto"/>
        <w:ind w:right="327"/>
      </w:pPr>
      <w:r>
        <w:t>Build a long-term sustainable financial institution through financial inclusion and deliver optimum value to all stakeholders with the highest level of compliance</w:t>
      </w:r>
    </w:p>
    <w:p w:rsidR="00B801AF" w:rsidRDefault="00B801AF">
      <w:pPr>
        <w:pStyle w:val="BodyText"/>
        <w:rPr>
          <w:b/>
          <w:sz w:val="26"/>
        </w:rPr>
      </w:pPr>
    </w:p>
    <w:p w:rsidR="00B801AF" w:rsidRDefault="00602675">
      <w:pPr>
        <w:pStyle w:val="ListParagraph"/>
        <w:numPr>
          <w:ilvl w:val="1"/>
          <w:numId w:val="7"/>
        </w:numPr>
        <w:tabs>
          <w:tab w:val="left" w:pos="823"/>
        </w:tabs>
        <w:spacing w:before="205"/>
        <w:rPr>
          <w:b/>
          <w:sz w:val="28"/>
        </w:rPr>
      </w:pPr>
      <w:r>
        <w:rPr>
          <w:b/>
          <w:sz w:val="28"/>
        </w:rPr>
        <w:t>Functions of Southeast Bank</w:t>
      </w:r>
      <w:r>
        <w:rPr>
          <w:b/>
          <w:spacing w:val="-9"/>
          <w:sz w:val="28"/>
        </w:rPr>
        <w:t xml:space="preserve"> </w:t>
      </w:r>
      <w:r>
        <w:rPr>
          <w:b/>
          <w:sz w:val="28"/>
        </w:rPr>
        <w:t>Ltd</w:t>
      </w:r>
    </w:p>
    <w:p w:rsidR="00B801AF" w:rsidRDefault="00B801AF">
      <w:pPr>
        <w:pStyle w:val="BodyText"/>
        <w:rPr>
          <w:b/>
          <w:sz w:val="30"/>
        </w:rPr>
      </w:pPr>
    </w:p>
    <w:p w:rsidR="00B801AF" w:rsidRDefault="00B801AF">
      <w:pPr>
        <w:pStyle w:val="BodyText"/>
        <w:rPr>
          <w:b/>
          <w:sz w:val="30"/>
        </w:rPr>
      </w:pPr>
    </w:p>
    <w:p w:rsidR="00B801AF" w:rsidRDefault="00602675">
      <w:pPr>
        <w:pStyle w:val="BodyText"/>
        <w:spacing w:before="199"/>
        <w:ind w:left="400"/>
      </w:pPr>
      <w:r>
        <w:t>Some general functions of Southeastt Bank Limited are as follows:</w:t>
      </w:r>
    </w:p>
    <w:p w:rsidR="00B801AF" w:rsidRDefault="00B801AF">
      <w:pPr>
        <w:pStyle w:val="BodyText"/>
        <w:spacing w:before="10"/>
        <w:rPr>
          <w:sz w:val="25"/>
        </w:rPr>
      </w:pPr>
    </w:p>
    <w:p w:rsidR="00B801AF" w:rsidRDefault="00602675">
      <w:pPr>
        <w:pStyle w:val="ListParagraph"/>
        <w:numPr>
          <w:ilvl w:val="2"/>
          <w:numId w:val="7"/>
        </w:numPr>
        <w:tabs>
          <w:tab w:val="left" w:pos="1120"/>
          <w:tab w:val="left" w:pos="1121"/>
        </w:tabs>
        <w:spacing w:line="348" w:lineRule="auto"/>
        <w:ind w:right="457"/>
        <w:rPr>
          <w:sz w:val="24"/>
        </w:rPr>
      </w:pPr>
      <w:r>
        <w:rPr>
          <w:sz w:val="24"/>
        </w:rPr>
        <w:t>Mobilization of savings of the people earning and safe keeping of all types of</w:t>
      </w:r>
      <w:r>
        <w:rPr>
          <w:spacing w:val="-15"/>
          <w:sz w:val="24"/>
        </w:rPr>
        <w:t xml:space="preserve"> </w:t>
      </w:r>
      <w:r>
        <w:rPr>
          <w:sz w:val="24"/>
        </w:rPr>
        <w:t>deposit account.</w:t>
      </w:r>
    </w:p>
    <w:p w:rsidR="00B801AF" w:rsidRDefault="00602675">
      <w:pPr>
        <w:pStyle w:val="ListParagraph"/>
        <w:numPr>
          <w:ilvl w:val="2"/>
          <w:numId w:val="7"/>
        </w:numPr>
        <w:tabs>
          <w:tab w:val="left" w:pos="1120"/>
          <w:tab w:val="left" w:pos="1121"/>
        </w:tabs>
        <w:spacing w:before="26" w:line="345" w:lineRule="auto"/>
        <w:ind w:right="1271"/>
        <w:rPr>
          <w:sz w:val="24"/>
        </w:rPr>
      </w:pPr>
      <w:r>
        <w:rPr>
          <w:sz w:val="24"/>
        </w:rPr>
        <w:t>Making advances, especially for productive activities and generally for</w:t>
      </w:r>
      <w:r>
        <w:rPr>
          <w:spacing w:val="-16"/>
          <w:sz w:val="24"/>
        </w:rPr>
        <w:t xml:space="preserve"> </w:t>
      </w:r>
      <w:r>
        <w:rPr>
          <w:sz w:val="24"/>
        </w:rPr>
        <w:t>other commercial and socioeconomic</w:t>
      </w:r>
      <w:r>
        <w:rPr>
          <w:spacing w:val="-2"/>
          <w:sz w:val="24"/>
        </w:rPr>
        <w:t xml:space="preserve"> </w:t>
      </w:r>
      <w:r>
        <w:rPr>
          <w:sz w:val="24"/>
        </w:rPr>
        <w:t>needs.</w:t>
      </w:r>
    </w:p>
    <w:p w:rsidR="00B801AF" w:rsidRDefault="00602675">
      <w:pPr>
        <w:pStyle w:val="ListParagraph"/>
        <w:numPr>
          <w:ilvl w:val="2"/>
          <w:numId w:val="7"/>
        </w:numPr>
        <w:tabs>
          <w:tab w:val="left" w:pos="1120"/>
          <w:tab w:val="left" w:pos="1121"/>
        </w:tabs>
        <w:spacing w:before="21"/>
        <w:ind w:hanging="361"/>
        <w:rPr>
          <w:sz w:val="24"/>
        </w:rPr>
      </w:pPr>
      <w:r>
        <w:rPr>
          <w:sz w:val="24"/>
        </w:rPr>
        <w:t>Providing banking services to common people through the network of</w:t>
      </w:r>
      <w:r>
        <w:rPr>
          <w:spacing w:val="-9"/>
          <w:sz w:val="24"/>
        </w:rPr>
        <w:t xml:space="preserve"> </w:t>
      </w:r>
      <w:r>
        <w:rPr>
          <w:sz w:val="24"/>
        </w:rPr>
        <w:t>branches.</w:t>
      </w:r>
    </w:p>
    <w:p w:rsidR="00B801AF" w:rsidRDefault="00602675">
      <w:pPr>
        <w:pStyle w:val="ListParagraph"/>
        <w:numPr>
          <w:ilvl w:val="2"/>
          <w:numId w:val="7"/>
        </w:numPr>
        <w:tabs>
          <w:tab w:val="left" w:pos="1120"/>
          <w:tab w:val="left" w:pos="1121"/>
        </w:tabs>
        <w:spacing w:before="149" w:line="352" w:lineRule="auto"/>
        <w:ind w:right="1116"/>
        <w:rPr>
          <w:sz w:val="24"/>
        </w:rPr>
      </w:pPr>
      <w:r>
        <w:rPr>
          <w:sz w:val="24"/>
        </w:rPr>
        <w:t>Handling of export and import trade and foreign remittances and with</w:t>
      </w:r>
      <w:r>
        <w:rPr>
          <w:spacing w:val="-14"/>
          <w:sz w:val="24"/>
        </w:rPr>
        <w:t xml:space="preserve"> </w:t>
      </w:r>
      <w:r>
        <w:rPr>
          <w:sz w:val="24"/>
        </w:rPr>
        <w:t>especial support to export</w:t>
      </w:r>
      <w:r>
        <w:rPr>
          <w:spacing w:val="-1"/>
          <w:sz w:val="24"/>
        </w:rPr>
        <w:t xml:space="preserve"> </w:t>
      </w:r>
      <w:r>
        <w:rPr>
          <w:sz w:val="24"/>
        </w:rPr>
        <w:t>activities.</w:t>
      </w:r>
    </w:p>
    <w:p w:rsidR="00B801AF" w:rsidRDefault="00602675">
      <w:pPr>
        <w:pStyle w:val="ListParagraph"/>
        <w:numPr>
          <w:ilvl w:val="2"/>
          <w:numId w:val="7"/>
        </w:numPr>
        <w:tabs>
          <w:tab w:val="left" w:pos="1120"/>
          <w:tab w:val="left" w:pos="1121"/>
        </w:tabs>
        <w:spacing w:before="2"/>
        <w:ind w:hanging="361"/>
        <w:rPr>
          <w:sz w:val="24"/>
        </w:rPr>
      </w:pPr>
      <w:r>
        <w:rPr>
          <w:sz w:val="24"/>
        </w:rPr>
        <w:t>Introducing modern banking services in the</w:t>
      </w:r>
      <w:r>
        <w:rPr>
          <w:spacing w:val="-7"/>
          <w:sz w:val="24"/>
        </w:rPr>
        <w:t xml:space="preserve"> </w:t>
      </w:r>
      <w:r>
        <w:rPr>
          <w:sz w:val="24"/>
        </w:rPr>
        <w:t>country.</w:t>
      </w: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602675">
      <w:pPr>
        <w:pStyle w:val="Heading2"/>
        <w:spacing w:before="226"/>
        <w:ind w:left="400" w:firstLine="0"/>
      </w:pPr>
      <w:r>
        <w:t>2.11 Management Information System (MIS) of SEBBL</w:t>
      </w:r>
    </w:p>
    <w:p w:rsidR="00B801AF" w:rsidRDefault="00B801AF">
      <w:pPr>
        <w:pStyle w:val="BodyText"/>
        <w:spacing w:before="1"/>
        <w:rPr>
          <w:b/>
          <w:sz w:val="29"/>
        </w:rPr>
      </w:pPr>
    </w:p>
    <w:p w:rsidR="00B801AF" w:rsidRDefault="00602675">
      <w:pPr>
        <w:pStyle w:val="BodyText"/>
        <w:spacing w:line="256" w:lineRule="auto"/>
        <w:ind w:left="400" w:right="408"/>
      </w:pPr>
      <w:r>
        <w:t>The Management Information System (MIS) of Southeast Bank Limited is at a developing stage. The bank is correct presently using MIS report only for customer account-related information and Bank financial position. The bank as of late introduces online banking administrations at front office operations which facilitate any Branch Banking, SMS Banking, ATM Banking, Phone Banking, and Internet Banking to all customers. Be that as it may, one, all branches of the bank as of late are using centralized Banking software for their daily transaction processing and routine reporting. Credit chance management is also available in centralized banking software. The bank has a disaster recuperation site (DRS) in</w:t>
      </w:r>
    </w:p>
    <w:p w:rsidR="00B801AF" w:rsidRDefault="00B801AF">
      <w:pPr>
        <w:spacing w:line="256" w:lineRule="auto"/>
        <w:sectPr w:rsidR="00B801AF">
          <w:pgSz w:w="11900" w:h="16840"/>
          <w:pgMar w:top="1280" w:right="1100" w:bottom="1280" w:left="1040" w:header="0" w:footer="1038" w:gutter="0"/>
          <w:cols w:space="720"/>
        </w:sectPr>
      </w:pPr>
    </w:p>
    <w:p w:rsidR="00B801AF" w:rsidRDefault="00602675">
      <w:pPr>
        <w:pStyle w:val="BodyText"/>
        <w:spacing w:before="63" w:line="256" w:lineRule="auto"/>
        <w:ind w:left="400"/>
      </w:pPr>
      <w:r>
        <w:lastRenderedPageBreak/>
        <w:t>place replicating the data center and its DR site is outfitted with compatible hardware and telecommunications gear to help the live frameworks in case of any disaster.</w:t>
      </w:r>
    </w:p>
    <w:p w:rsidR="00B801AF" w:rsidRDefault="00602675">
      <w:pPr>
        <w:pStyle w:val="BodyText"/>
        <w:spacing w:line="256" w:lineRule="auto"/>
        <w:ind w:left="400" w:right="635"/>
      </w:pPr>
      <w:r>
        <w:t>Notwithstanding, the Bank is to create current MIS for utilization of management and other offices for lucky availability of vital data for planning and decision-making purposes at the appropriate time to augment profitability.</w:t>
      </w:r>
    </w:p>
    <w:p w:rsidR="00B801AF" w:rsidRDefault="00602675">
      <w:pPr>
        <w:pStyle w:val="BodyText"/>
        <w:spacing w:before="161"/>
        <w:ind w:left="400"/>
      </w:pPr>
      <w:r>
        <w:t>2.13 Major division of SEBL:</w:t>
      </w:r>
    </w:p>
    <w:p w:rsidR="00B801AF" w:rsidRDefault="00B801AF">
      <w:pPr>
        <w:pStyle w:val="BodyText"/>
        <w:spacing w:before="5"/>
        <w:rPr>
          <w:sz w:val="27"/>
        </w:rPr>
      </w:pPr>
    </w:p>
    <w:p w:rsidR="00B801AF" w:rsidRDefault="00602675">
      <w:pPr>
        <w:pStyle w:val="BodyText"/>
        <w:spacing w:before="1" w:line="235" w:lineRule="auto"/>
        <w:ind w:left="400" w:right="327"/>
      </w:pPr>
      <w:r>
        <w:t>Southeast Bank Ltd. They run smooth operations through various departments there. All banking activities are properly managed through these departments. Following are the main sections of Southeast Bank Limited's underline charts:</w:t>
      </w:r>
    </w:p>
    <w:p w:rsidR="00B801AF" w:rsidRDefault="00B801AF">
      <w:pPr>
        <w:pStyle w:val="BodyText"/>
        <w:spacing w:before="1"/>
        <w:rPr>
          <w:sz w:val="25"/>
        </w:rPr>
      </w:pPr>
    </w:p>
    <w:p w:rsidR="00B801AF" w:rsidRDefault="00602675">
      <w:pPr>
        <w:pStyle w:val="Heading4"/>
        <w:spacing w:line="274" w:lineRule="exact"/>
      </w:pPr>
      <w:r>
        <w:t>Major Division of SEBL :</w:t>
      </w:r>
    </w:p>
    <w:p w:rsidR="00B801AF" w:rsidRDefault="00602675">
      <w:pPr>
        <w:pStyle w:val="BodyText"/>
        <w:spacing w:line="274" w:lineRule="exact"/>
        <w:ind w:left="400"/>
      </w:pPr>
      <w:r>
        <w:t>Division of SEBL</w:t>
      </w:r>
    </w:p>
    <w:p w:rsidR="00B801AF" w:rsidRDefault="00602675">
      <w:pPr>
        <w:pStyle w:val="BodyText"/>
        <w:spacing w:before="158" w:line="360" w:lineRule="auto"/>
        <w:ind w:left="640" w:right="1488"/>
      </w:pPr>
      <w:r>
        <w:t>Human Resource Department Research &amp; Planning Development &amp; Marketing Information Technology Central Account Audit &amp; Inspection Training center. Foreign Exchange Service Loan &amp; Advance General Service</w:t>
      </w:r>
    </w:p>
    <w:p w:rsidR="00B801AF" w:rsidRDefault="00602675">
      <w:pPr>
        <w:pStyle w:val="BodyText"/>
        <w:spacing w:before="18" w:line="355" w:lineRule="auto"/>
        <w:ind w:left="640" w:right="4473"/>
      </w:pPr>
      <w:r>
        <w:t>Import Business Credit A/C Opening &amp; Closing Import Business Retail Banking Dispatch</w:t>
      </w:r>
    </w:p>
    <w:p w:rsidR="00B801AF" w:rsidRDefault="00602675">
      <w:pPr>
        <w:pStyle w:val="BodyText"/>
        <w:spacing w:before="12"/>
        <w:ind w:left="400"/>
      </w:pPr>
      <w:r>
        <w:t>Foreign Remittance Local Remittance Clearing Section</w:t>
      </w:r>
    </w:p>
    <w:p w:rsidR="00B801AF" w:rsidRDefault="00602675">
      <w:pPr>
        <w:pStyle w:val="BodyText"/>
        <w:spacing w:before="141"/>
        <w:ind w:left="400"/>
        <w:rPr>
          <w:sz w:val="23"/>
        </w:rPr>
      </w:pPr>
      <w:r>
        <w:t>Financial Control &amp; Account department (FCDA) Cash Department</w:t>
      </w:r>
      <w:r>
        <w:rPr>
          <w:sz w:val="23"/>
        </w:rPr>
        <w:t>.</w:t>
      </w: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B801AF">
      <w:pPr>
        <w:pStyle w:val="BodyText"/>
        <w:rPr>
          <w:sz w:val="26"/>
        </w:rPr>
      </w:pPr>
    </w:p>
    <w:p w:rsidR="00B801AF" w:rsidRDefault="00602675">
      <w:pPr>
        <w:pStyle w:val="Heading4"/>
        <w:spacing w:before="205" w:line="448" w:lineRule="auto"/>
        <w:ind w:left="3585" w:right="3525" w:firstLine="21"/>
        <w:jc w:val="center"/>
      </w:pPr>
      <w:r>
        <w:t>CHAPTER THREE LITERATURE REVIEW</w:t>
      </w:r>
    </w:p>
    <w:p w:rsidR="00B801AF" w:rsidRDefault="00602675">
      <w:pPr>
        <w:pStyle w:val="ListParagraph"/>
        <w:numPr>
          <w:ilvl w:val="1"/>
          <w:numId w:val="6"/>
        </w:numPr>
        <w:tabs>
          <w:tab w:val="left" w:pos="820"/>
        </w:tabs>
        <w:spacing w:before="227"/>
        <w:rPr>
          <w:b/>
          <w:sz w:val="28"/>
        </w:rPr>
      </w:pPr>
      <w:r>
        <w:rPr>
          <w:b/>
          <w:sz w:val="28"/>
        </w:rPr>
        <w:t>Introduction</w:t>
      </w:r>
    </w:p>
    <w:p w:rsidR="00B801AF" w:rsidRDefault="00B801AF">
      <w:pPr>
        <w:pStyle w:val="BodyText"/>
        <w:spacing w:before="7"/>
        <w:rPr>
          <w:b/>
          <w:sz w:val="32"/>
        </w:rPr>
      </w:pPr>
    </w:p>
    <w:p w:rsidR="00B801AF" w:rsidRDefault="00602675">
      <w:pPr>
        <w:spacing w:before="1" w:line="256" w:lineRule="auto"/>
        <w:ind w:left="400" w:right="327"/>
        <w:rPr>
          <w:rFonts w:ascii="Carlito"/>
          <w:sz w:val="23"/>
        </w:rPr>
      </w:pPr>
      <w:r>
        <w:rPr>
          <w:rFonts w:ascii="Carlito"/>
          <w:sz w:val="23"/>
        </w:rPr>
        <w:t>A healthy and vibrant economy requires a financial framework that moves assets from individuals who save to individuals who have gainful investment openings. The financial framework is unpredictable in both structure and function all through the world. It includes many various sorts of institutions': banks, insurance companies, mutual assets, stock and</w:t>
      </w:r>
    </w:p>
    <w:p w:rsidR="00B801AF" w:rsidRDefault="00B801AF">
      <w:pPr>
        <w:spacing w:line="256" w:lineRule="auto"/>
        <w:rPr>
          <w:rFonts w:ascii="Carlito"/>
          <w:sz w:val="23"/>
        </w:rPr>
        <w:sectPr w:rsidR="00B801AF">
          <w:pgSz w:w="11900" w:h="16840"/>
          <w:pgMar w:top="1360" w:right="1100" w:bottom="1240" w:left="1040" w:header="0" w:footer="1038" w:gutter="0"/>
          <w:cols w:space="720"/>
        </w:sectPr>
      </w:pPr>
    </w:p>
    <w:p w:rsidR="00B801AF" w:rsidRDefault="00602675">
      <w:pPr>
        <w:spacing w:before="29" w:line="252" w:lineRule="auto"/>
        <w:ind w:left="400" w:right="433"/>
        <w:jc w:val="both"/>
        <w:rPr>
          <w:rFonts w:ascii="Carlito"/>
          <w:sz w:val="23"/>
        </w:rPr>
      </w:pPr>
      <w:r>
        <w:rPr>
          <w:rFonts w:ascii="Carlito"/>
          <w:sz w:val="23"/>
        </w:rPr>
        <w:lastRenderedPageBreak/>
        <w:t>bond markets, and so on. According to Spong(2000), efficiency and competition are solidly linked. In an engaged banking framework, banks must operate viably and utilize their assets admirably on the off chance that they are to keep their customers and remain in business.</w:t>
      </w:r>
    </w:p>
    <w:p w:rsidR="00B801AF" w:rsidRDefault="00602675">
      <w:pPr>
        <w:pStyle w:val="BodyText"/>
        <w:spacing w:before="66" w:line="244" w:lineRule="auto"/>
        <w:ind w:left="400" w:right="838"/>
        <w:rPr>
          <w:rFonts w:ascii="Carlito"/>
        </w:rPr>
      </w:pPr>
      <w:r>
        <w:rPr>
          <w:rFonts w:ascii="Carlito"/>
        </w:rPr>
        <w:t>Zerayehu et al., (2009) also argued that survival in today's aggressive environment totally depends upon performance and improvement. Competition has implications for profitability, innovation, pricing, and availability of decision, consumer welfare, and the allocation of assets in the economy.</w:t>
      </w:r>
    </w:p>
    <w:p w:rsidR="00B801AF" w:rsidRDefault="00602675">
      <w:pPr>
        <w:pStyle w:val="Heading2"/>
        <w:numPr>
          <w:ilvl w:val="1"/>
          <w:numId w:val="6"/>
        </w:numPr>
        <w:tabs>
          <w:tab w:val="left" w:pos="823"/>
        </w:tabs>
        <w:spacing w:before="178"/>
        <w:ind w:left="822" w:hanging="423"/>
      </w:pPr>
      <w:r>
        <w:t>Technics of Bank</w:t>
      </w:r>
      <w:r>
        <w:rPr>
          <w:spacing w:val="-6"/>
        </w:rPr>
        <w:t xml:space="preserve"> </w:t>
      </w:r>
      <w:r>
        <w:t>Profitability</w:t>
      </w:r>
    </w:p>
    <w:p w:rsidR="00B801AF" w:rsidRDefault="00B801AF">
      <w:pPr>
        <w:pStyle w:val="BodyText"/>
        <w:spacing w:before="10"/>
        <w:rPr>
          <w:b/>
          <w:sz w:val="28"/>
        </w:rPr>
      </w:pPr>
    </w:p>
    <w:p w:rsidR="00B801AF" w:rsidRDefault="00602675">
      <w:pPr>
        <w:pStyle w:val="BodyText"/>
        <w:spacing w:before="1" w:line="259" w:lineRule="auto"/>
        <w:ind w:left="400" w:right="357"/>
      </w:pPr>
      <w:r>
        <w:t>According to the literature, the bank performance study began in the late 1980s and / or early 1990s. These experiments spin around different theories. For example, the signal theory, which elaborates on the relationship between capital and profit, suggests that high capital is a positive signal for the bank's value market. (Berger, 1995) According to the literature, the bank performance study began in the late 1980s and / or early 1990s. These experiments spin around different theories. For example, Signal Theory, which elaborates on the relationship between capital and profit, suggests that higher capital is a positive signal for the bank's value market. Contrary to the above argument, the ModiglianiMiller theorem concludes that there is no correlation between capital structure (obligation or financing financing) and the market value of the bank (Modigliani and Miller, 1958). In other words, there is no relationship between the ratio of assets and the expenditure of funds or profits under the free market. Yet, when it comes to validating the ideal market value of money markets, it is not surprising in the real world because of agency issues, inconsistent information issues, the presence of transaction costs, etc. Therefore, there may be a perceived negative relationship between capital and profit when the ideal market does not hold up. Ommerren, (21), Wolveni and Schifo (25) argued that market power theory (MP) maintains that bank profitability is a viability of the outside market, while competence structure (ES) theories and balanced portfolio theory mainly capture the performance of the bank's internal competencies and Management is influenced by decisions. Regardless of the presence of multiple models addressing bank-explicit aspects, none of the models is acceptable enough to elicit bankexplicit behavior, the researchers stated,</w:t>
      </w:r>
      <w:r>
        <w:rPr>
          <w:spacing w:val="-1"/>
        </w:rPr>
        <w:t xml:space="preserve"> </w:t>
      </w:r>
      <w:r>
        <w:t>serially.</w:t>
      </w:r>
    </w:p>
    <w:p w:rsidR="00B801AF" w:rsidRDefault="00602675">
      <w:pPr>
        <w:pStyle w:val="Heading2"/>
        <w:numPr>
          <w:ilvl w:val="1"/>
          <w:numId w:val="5"/>
        </w:numPr>
        <w:tabs>
          <w:tab w:val="left" w:pos="823"/>
        </w:tabs>
        <w:spacing w:before="155"/>
      </w:pPr>
      <w:r>
        <w:t>Performance Measurement in</w:t>
      </w:r>
      <w:r>
        <w:rPr>
          <w:spacing w:val="-1"/>
        </w:rPr>
        <w:t xml:space="preserve"> </w:t>
      </w:r>
      <w:r>
        <w:t>Banks</w:t>
      </w:r>
    </w:p>
    <w:p w:rsidR="00B801AF" w:rsidRDefault="00B801AF">
      <w:pPr>
        <w:pStyle w:val="BodyText"/>
        <w:spacing w:before="8"/>
        <w:rPr>
          <w:b/>
          <w:sz w:val="28"/>
        </w:rPr>
      </w:pPr>
    </w:p>
    <w:p w:rsidR="00B801AF" w:rsidRDefault="00602675">
      <w:pPr>
        <w:spacing w:line="271" w:lineRule="auto"/>
        <w:ind w:left="400" w:right="403"/>
        <w:rPr>
          <w:sz w:val="23"/>
        </w:rPr>
      </w:pPr>
      <w:r>
        <w:rPr>
          <w:sz w:val="23"/>
        </w:rPr>
        <w:t>According to Aburim (23), the importance of bank profit can be assessed at a smaller scale and macro degrees of the economy. At the miniaturized scale level, profits are a necessary condition of a focused banking institution and a cheap wellspring of assets. This isn't only a consequence yet, in addition, the requirement for fruitful banking during the growing competition in financial markets. In this manner, the main aim of each bank management is to maximize profits as an essential prerequisite for conducting business. Various literature formed by academics also claims that profitability is the primary concern or final performance results showing the net impacts of bank arrangements and activities in a single fiscal year. In fact, various factors like inflation, accounting strategies, abnormal state competition, and so on can have an impact on the profitability of the bank. At the appropriate time, various sorts of ratios are examined and</w:t>
      </w:r>
      <w:r>
        <w:rPr>
          <w:spacing w:val="-36"/>
          <w:sz w:val="23"/>
        </w:rPr>
        <w:t xml:space="preserve"> </w:t>
      </w:r>
      <w:r>
        <w:rPr>
          <w:sz w:val="23"/>
        </w:rPr>
        <w:t>various measures of profitability of commercial banks are recommended. For example, net interest margin (NIM), return on assets (ROA), and return on equity were identified in the literature after Ahmed (2003). According</w:t>
      </w:r>
      <w:r>
        <w:rPr>
          <w:spacing w:val="-4"/>
          <w:sz w:val="23"/>
        </w:rPr>
        <w:t xml:space="preserve"> </w:t>
      </w:r>
      <w:r>
        <w:rPr>
          <w:sz w:val="23"/>
        </w:rPr>
        <w:t>to</w:t>
      </w:r>
    </w:p>
    <w:p w:rsidR="00B801AF" w:rsidRDefault="00B801AF">
      <w:pPr>
        <w:spacing w:line="271" w:lineRule="auto"/>
        <w:rPr>
          <w:sz w:val="23"/>
        </w:rPr>
        <w:sectPr w:rsidR="00B801AF">
          <w:pgSz w:w="11900" w:h="16840"/>
          <w:pgMar w:top="1440" w:right="1100" w:bottom="1240" w:left="1040" w:header="0" w:footer="1038" w:gutter="0"/>
          <w:cols w:space="720"/>
        </w:sectPr>
      </w:pPr>
    </w:p>
    <w:p w:rsidR="00B801AF" w:rsidRDefault="00602675">
      <w:pPr>
        <w:spacing w:before="63" w:line="271" w:lineRule="auto"/>
        <w:ind w:left="400" w:right="383"/>
        <w:rPr>
          <w:sz w:val="23"/>
        </w:rPr>
      </w:pPr>
      <w:r>
        <w:rPr>
          <w:sz w:val="23"/>
        </w:rPr>
        <w:lastRenderedPageBreak/>
        <w:t>Akinola (25), the profit system includes pre-tax profits (PBT), tax-after-profit (TPA), and more, capital return rate (CRR). Some others, according to Francis (25), think about profitability, also used average bank assets (RHA), net interest margin (NIM) and average profit (RHA) to measure profitability. Nevertheless, due to differing views among scholars about the magnitude of one index over the other as measures of profitability, there is no clear sliced stand as to which best fits. Nonetheless, most kinds of literature confine the profitability measure only to the three widely utilized measures namely return on Assets (ROA), Return on Equity (ROE), and Net Interest Margin (NIM). Accordingly, two or three scholars select either of the three and some others preach to pick three of them at once. In line with the above discussion, the researcher has utilized ROA as a measure of profitability for this particular study owing to the limitations of NIM and ROE. NIM is accounted for to have two major limitations. To start with, it doesn't measure the total profitability of the bank as the greater part of them earn charges and other non- interest income through administrations like brokerage and store account Administrations that don't take into account operating expenses, for example, personnel and facilities expenses or credit costs. In addition, the net interest margin of the two banks cannot be compared as both the banks have their own one of kind activities, client base structure, and so on. It also hints at a ton of restrictions. Initially, it does not make sensitive hazards. An erosion of ROE shows that a dangerous element represented by leverage can help ROE in a substantial way. Second, the more dangerous assets and their dissolution status are unable to communicate. Third, even the best performing banks failed to discriminate the banking crisis, especially as a result of their stability from the others. Fourth, even more should be interpreted as a momentary index and a snapshot of the current health of organizations. It does not take into account any long-term strategy or long- term damage to the organization by the organization. When there is uncertainty surrounding the medium-term profitability of the organization, its weaknesses are often more pronounced in weight. (ECB, 20) Flamini et al., (20) further argued that further analysis ignores financial output and the risks associated with it. From now on, ROA is considered as a key intermediary for bank profit, ©Daffodil International University 9 rather than variable cost (ROI) and net interest margin (NIM). ROA measurement includes all of a business' assets including those which arise out of contribution by investors. Also, the inclusion of liabilities makes ROA considerably logically valuable as an internal measurement apparatus, particularly in evaluating the performance of various departments or divisions of a company.</w:t>
      </w:r>
    </w:p>
    <w:p w:rsidR="00B801AF" w:rsidRDefault="00B801AF">
      <w:pPr>
        <w:spacing w:line="271" w:lineRule="auto"/>
        <w:rPr>
          <w:sz w:val="23"/>
        </w:rPr>
        <w:sectPr w:rsidR="00B801AF">
          <w:pgSz w:w="11900" w:h="16840"/>
          <w:pgMar w:top="1360" w:right="1100" w:bottom="1240" w:left="1040" w:header="0" w:footer="1038" w:gutter="0"/>
          <w:cols w:space="720"/>
        </w:sectPr>
      </w:pPr>
    </w:p>
    <w:p w:rsidR="00B801AF" w:rsidRDefault="00602675">
      <w:pPr>
        <w:pStyle w:val="Heading2"/>
        <w:numPr>
          <w:ilvl w:val="1"/>
          <w:numId w:val="5"/>
        </w:numPr>
        <w:tabs>
          <w:tab w:val="left" w:pos="823"/>
        </w:tabs>
        <w:spacing w:before="59"/>
      </w:pPr>
      <w:r>
        <w:lastRenderedPageBreak/>
        <w:t>Financial Statements</w:t>
      </w:r>
      <w:r>
        <w:rPr>
          <w:spacing w:val="1"/>
        </w:rPr>
        <w:t xml:space="preserve"> </w:t>
      </w:r>
      <w:r>
        <w:t>Analysis</w:t>
      </w:r>
    </w:p>
    <w:p w:rsidR="00B801AF" w:rsidRDefault="00B801AF">
      <w:pPr>
        <w:pStyle w:val="BodyText"/>
        <w:spacing w:before="11"/>
        <w:rPr>
          <w:b/>
          <w:sz w:val="28"/>
        </w:rPr>
      </w:pPr>
    </w:p>
    <w:p w:rsidR="00B801AF" w:rsidRDefault="00602675">
      <w:pPr>
        <w:pStyle w:val="BodyText"/>
        <w:spacing w:line="357" w:lineRule="auto"/>
        <w:ind w:left="400" w:right="611"/>
      </w:pPr>
      <w:r>
        <w:t>Analysis of financial statements is the way toward evaluating the relationship between component parts of financial statements to obtain an unrivaled understanding of the uncompromising stance's and performance. The focal point of financial analysis is on key figures in the financial statements and the significant relationship that exists between</w:t>
      </w:r>
      <w:r>
        <w:rPr>
          <w:spacing w:val="-16"/>
        </w:rPr>
        <w:t xml:space="preserve"> </w:t>
      </w:r>
      <w:r>
        <w:t>them. The principal task of the financial analyst is to pick the information relevant to the decision under consideration from the total information contained in the financial statements. The second step is to arrange the information in a way to feature significant relationships. The final advance is the interpretation and drawing of inferences and conclusions. In brief, financial analysis is the methodology of selection, relation, and evaluation. (Khan, M Y,</w:t>
      </w:r>
      <w:r>
        <w:rPr>
          <w:spacing w:val="2"/>
        </w:rPr>
        <w:t xml:space="preserve"> </w:t>
      </w:r>
      <w:r>
        <w:t>2007).</w:t>
      </w:r>
    </w:p>
    <w:p w:rsidR="00B801AF" w:rsidRDefault="00602675">
      <w:pPr>
        <w:pStyle w:val="BodyText"/>
        <w:spacing w:before="196" w:line="357" w:lineRule="auto"/>
        <w:ind w:left="400" w:right="516"/>
      </w:pPr>
      <w:r>
        <w:t>Financial performance analysis is, therefore, the way toward identifying the financial qualities and weakness of a firm by appropriately establishing the relationship between the things of the balance sheet and the profit and mishap account. The financial performance analysis involves careful selection of data from financial statements to forecast the financial health of the firm. This is accomplished by examining patterns in key financial data, comparing financial data across firms, and analyzing key financial ratios. It also involves the assessment of an association's past, present, and anticipated future financial condition</w:t>
      </w:r>
    </w:p>
    <w:p w:rsidR="00B801AF" w:rsidRDefault="00B801AF">
      <w:pPr>
        <w:pStyle w:val="BodyText"/>
        <w:rPr>
          <w:sz w:val="26"/>
        </w:rPr>
      </w:pPr>
    </w:p>
    <w:p w:rsidR="00B801AF" w:rsidRDefault="00B801AF">
      <w:pPr>
        <w:pStyle w:val="BodyText"/>
        <w:spacing w:before="10"/>
      </w:pPr>
    </w:p>
    <w:p w:rsidR="00B801AF" w:rsidRDefault="00602675">
      <w:pPr>
        <w:pStyle w:val="Heading4"/>
        <w:numPr>
          <w:ilvl w:val="2"/>
          <w:numId w:val="5"/>
        </w:numPr>
        <w:tabs>
          <w:tab w:val="left" w:pos="941"/>
        </w:tabs>
        <w:ind w:hanging="541"/>
      </w:pPr>
      <w:r>
        <w:t>Types of Financial</w:t>
      </w:r>
      <w:r>
        <w:rPr>
          <w:spacing w:val="-2"/>
        </w:rPr>
        <w:t xml:space="preserve"> </w:t>
      </w:r>
      <w:r>
        <w:t>Analysis</w:t>
      </w:r>
    </w:p>
    <w:p w:rsidR="00B801AF" w:rsidRDefault="00602675">
      <w:pPr>
        <w:pStyle w:val="BodyText"/>
        <w:spacing w:before="87"/>
        <w:ind w:left="400"/>
      </w:pPr>
      <w:r>
        <w:t>Financial analysis can be both internal and external.</w:t>
      </w:r>
    </w:p>
    <w:p w:rsidR="00B801AF" w:rsidRDefault="00602675">
      <w:pPr>
        <w:spacing w:before="13" w:line="320" w:lineRule="exact"/>
        <w:ind w:left="400"/>
        <w:rPr>
          <w:b/>
          <w:sz w:val="28"/>
        </w:rPr>
      </w:pPr>
      <w:r>
        <w:rPr>
          <w:b/>
          <w:color w:val="4471C4"/>
          <w:sz w:val="28"/>
        </w:rPr>
        <w:t>Internal financial analysis:</w:t>
      </w:r>
    </w:p>
    <w:p w:rsidR="00B801AF" w:rsidRDefault="00602675">
      <w:pPr>
        <w:pStyle w:val="BodyText"/>
        <w:spacing w:line="237" w:lineRule="auto"/>
        <w:ind w:left="400" w:right="514"/>
      </w:pPr>
      <w:r>
        <w:t>Internal financial analysis (also known as managerial financial analysis) is necessary to meet the needs of any company. It is intended to estimate liquidity or results for the period of the last financial year. Internal analysis of normal yields is a tone of administrative decision - a combination of different steps to adapt to specific problems within the</w:t>
      </w:r>
      <w:r>
        <w:rPr>
          <w:spacing w:val="-14"/>
        </w:rPr>
        <w:t xml:space="preserve"> </w:t>
      </w:r>
      <w:r>
        <w:t>business. Internal analysis is usually performed by a financial department within a company and changes regularly due to changes in macro and microeconomic environment. Due to the nature of the data sources for internal analysis (internal accounting books and reports) the results are always accurate.</w:t>
      </w:r>
    </w:p>
    <w:p w:rsidR="00B801AF" w:rsidRDefault="00602675">
      <w:pPr>
        <w:spacing w:before="24"/>
        <w:ind w:left="400"/>
        <w:jc w:val="both"/>
        <w:rPr>
          <w:b/>
          <w:sz w:val="28"/>
        </w:rPr>
      </w:pPr>
      <w:r>
        <w:rPr>
          <w:b/>
          <w:color w:val="4F81BB"/>
          <w:sz w:val="28"/>
        </w:rPr>
        <w:t>External financial analysis:</w:t>
      </w:r>
    </w:p>
    <w:p w:rsidR="00B801AF" w:rsidRDefault="00602675">
      <w:pPr>
        <w:pStyle w:val="BodyText"/>
        <w:spacing w:before="112" w:line="237" w:lineRule="auto"/>
        <w:ind w:left="400" w:right="336"/>
        <w:jc w:val="both"/>
      </w:pPr>
      <w:r>
        <w:t>No external analyst has access to internal financial information and thus, external financial analysis is required to continue, when an enterprise is not related to the management of a company, to an external one. The main goals and destinations of the external analysis may differ from its managed analog. Determining creditworthiness and potential investment outcomes by the investor can meet the requirements of external financial analysis. Similarly, financial liquidity or dissolution may be of interest to any bank. To make a big decision,</w:t>
      </w:r>
    </w:p>
    <w:p w:rsidR="00B801AF" w:rsidRDefault="00B801AF">
      <w:pPr>
        <w:spacing w:line="237" w:lineRule="auto"/>
        <w:jc w:val="both"/>
        <w:sectPr w:rsidR="00B801AF">
          <w:pgSz w:w="11900" w:h="16840"/>
          <w:pgMar w:top="1360" w:right="1100" w:bottom="1240" w:left="1040" w:header="0" w:footer="1038" w:gutter="0"/>
          <w:cols w:space="720"/>
        </w:sectPr>
      </w:pPr>
    </w:p>
    <w:p w:rsidR="00B801AF" w:rsidRDefault="00602675">
      <w:pPr>
        <w:pStyle w:val="BodyText"/>
        <w:spacing w:before="78"/>
        <w:ind w:left="400" w:right="336"/>
        <w:jc w:val="both"/>
      </w:pPr>
      <w:r>
        <w:lastRenderedPageBreak/>
        <w:t>potential business partners want to know the most available information about the profitability of the investment and any firm and risk limits associated with potential gains and catastrophes. External financial analysis is based on conventional accounting statements and with the goal of estimating permissible disappearances, evaluating business performance and the financial stability of any company. Not at all like-kind analysis, its strategies are fundamentally the same as the study of changes and chapters' structural changes after some time, for example, the determination and interpretation of various financial ratios. Appropriate application of financial analysis allows answering many questions regarding the financial health of the business. (Pandey,</w:t>
      </w:r>
      <w:r>
        <w:rPr>
          <w:spacing w:val="-3"/>
        </w:rPr>
        <w:t xml:space="preserve"> </w:t>
      </w:r>
      <w:r>
        <w:t>2006)</w:t>
      </w:r>
    </w:p>
    <w:p w:rsidR="00B801AF" w:rsidRDefault="00B801AF">
      <w:pPr>
        <w:pStyle w:val="BodyText"/>
        <w:rPr>
          <w:sz w:val="26"/>
        </w:rPr>
      </w:pPr>
    </w:p>
    <w:p w:rsidR="00B801AF" w:rsidRDefault="00602675">
      <w:pPr>
        <w:pStyle w:val="Heading4"/>
        <w:numPr>
          <w:ilvl w:val="2"/>
          <w:numId w:val="5"/>
        </w:numPr>
        <w:tabs>
          <w:tab w:val="left" w:pos="941"/>
        </w:tabs>
        <w:spacing w:before="191"/>
        <w:ind w:hanging="541"/>
      </w:pPr>
      <w:r>
        <w:t>Basics of financial</w:t>
      </w:r>
      <w:r>
        <w:rPr>
          <w:spacing w:val="-4"/>
        </w:rPr>
        <w:t xml:space="preserve"> </w:t>
      </w:r>
      <w:r>
        <w:t>statements</w:t>
      </w:r>
    </w:p>
    <w:p w:rsidR="00B801AF" w:rsidRDefault="00602675">
      <w:pPr>
        <w:spacing w:before="104" w:line="271" w:lineRule="auto"/>
        <w:ind w:left="400" w:right="660"/>
        <w:rPr>
          <w:sz w:val="23"/>
        </w:rPr>
      </w:pPr>
      <w:r>
        <w:rPr>
          <w:sz w:val="23"/>
        </w:rPr>
        <w:t>A company's financial reporting system uses its specially defined accounting statements and rules for their enforcement. The control and use of financial reporting is integrated by national or (and) international accounting standards. Here are four main financial statements:</w:t>
      </w:r>
    </w:p>
    <w:p w:rsidR="00B801AF" w:rsidRDefault="00602675">
      <w:pPr>
        <w:pStyle w:val="ListParagraph"/>
        <w:numPr>
          <w:ilvl w:val="0"/>
          <w:numId w:val="4"/>
        </w:numPr>
        <w:tabs>
          <w:tab w:val="left" w:pos="545"/>
        </w:tabs>
        <w:spacing w:before="1" w:line="247" w:lineRule="auto"/>
        <w:ind w:right="1717" w:firstLine="0"/>
        <w:rPr>
          <w:sz w:val="24"/>
        </w:rPr>
      </w:pPr>
      <w:r>
        <w:rPr>
          <w:sz w:val="24"/>
        </w:rPr>
        <w:t>A balance sheet • An income statement • Cash flow statement and • Statement of shareholders’</w:t>
      </w:r>
      <w:r>
        <w:rPr>
          <w:spacing w:val="-4"/>
          <w:sz w:val="24"/>
        </w:rPr>
        <w:t xml:space="preserve"> </w:t>
      </w:r>
      <w:r>
        <w:rPr>
          <w:sz w:val="24"/>
        </w:rPr>
        <w:t>equity</w:t>
      </w:r>
    </w:p>
    <w:p w:rsidR="00B801AF" w:rsidRDefault="00B801AF">
      <w:pPr>
        <w:pStyle w:val="BodyText"/>
        <w:rPr>
          <w:sz w:val="26"/>
        </w:rPr>
      </w:pPr>
    </w:p>
    <w:p w:rsidR="00B801AF" w:rsidRDefault="00B801AF">
      <w:pPr>
        <w:pStyle w:val="BodyText"/>
        <w:spacing w:before="4"/>
        <w:rPr>
          <w:sz w:val="29"/>
        </w:rPr>
      </w:pPr>
    </w:p>
    <w:p w:rsidR="00B801AF" w:rsidRDefault="00602675">
      <w:pPr>
        <w:pStyle w:val="Heading4"/>
        <w:numPr>
          <w:ilvl w:val="2"/>
          <w:numId w:val="5"/>
        </w:numPr>
        <w:tabs>
          <w:tab w:val="left" w:pos="941"/>
        </w:tabs>
        <w:ind w:hanging="541"/>
      </w:pPr>
      <w:r>
        <w:t>Common-size</w:t>
      </w:r>
      <w:r>
        <w:rPr>
          <w:spacing w:val="-3"/>
        </w:rPr>
        <w:t xml:space="preserve"> </w:t>
      </w:r>
      <w:r>
        <w:t>statements</w:t>
      </w:r>
    </w:p>
    <w:p w:rsidR="00B801AF" w:rsidRDefault="00602675">
      <w:pPr>
        <w:spacing w:before="101" w:line="249" w:lineRule="auto"/>
        <w:ind w:left="400" w:right="360"/>
        <w:rPr>
          <w:sz w:val="23"/>
        </w:rPr>
      </w:pPr>
      <w:r>
        <w:rPr>
          <w:sz w:val="23"/>
        </w:rPr>
        <w:t xml:space="preserve">A common size statement is a statement wherein all things are distributed as a percentage of the base figure, valuable for analyzing patterns and changing the relationship between things in the financial statement. These percentage figures clearly reveal the relative importance of each gathering thing within the organization's single location. Common size ratios are utilized to compare financial statements of various size companies or of the same company over various periods. By expressing the things in proportion to some estimate related measure, standardized financial statements can be created, revealing patterns and providing insight into how the various companies compare. A common size analysis scales the financials into a percentage of sales for the income statement and a percentage of total assets on the balance sheet. The scaling impact features the most important cost areas and can reveal issue areas that may not have been seen already. It also provides a way to compare year-to-year variations in financials. The common size ratio for each line on the financial statement is calculated as seeks after: Common Size Ratio= Item of Interest / Item Reference The ratios often are communicated as percentages of the reference amount. Common size statements usually are prepared for the income statement and balance sheet, expressing information as seeks after: </w:t>
      </w:r>
      <w:r>
        <w:rPr>
          <w:rFonts w:ascii="Symbol" w:hAnsi="Symbol"/>
          <w:sz w:val="23"/>
        </w:rPr>
        <w:t></w:t>
      </w:r>
      <w:r>
        <w:rPr>
          <w:sz w:val="23"/>
        </w:rPr>
        <w:t xml:space="preserve"> Income statement items- expressed as a percentage of total revenue </w:t>
      </w:r>
      <w:r>
        <w:rPr>
          <w:rFonts w:ascii="Symbol" w:hAnsi="Symbol"/>
          <w:sz w:val="23"/>
        </w:rPr>
        <w:t></w:t>
      </w:r>
      <w:r>
        <w:rPr>
          <w:sz w:val="23"/>
        </w:rPr>
        <w:t xml:space="preserve"> Balance sheet items-expressed as a percentage of total assets Hettihewa, Samantala (1997).</w:t>
      </w:r>
    </w:p>
    <w:p w:rsidR="00B801AF" w:rsidRDefault="00B801AF">
      <w:pPr>
        <w:spacing w:line="249" w:lineRule="auto"/>
        <w:rPr>
          <w:sz w:val="23"/>
        </w:rPr>
        <w:sectPr w:rsidR="00B801AF">
          <w:pgSz w:w="11900" w:h="16840"/>
          <w:pgMar w:top="1340" w:right="1100" w:bottom="1240" w:left="1040" w:header="0" w:footer="1038" w:gutter="0"/>
          <w:cols w:space="720"/>
        </w:sectPr>
      </w:pPr>
    </w:p>
    <w:p w:rsidR="00B801AF" w:rsidRDefault="00602675">
      <w:pPr>
        <w:pStyle w:val="Heading2"/>
        <w:spacing w:before="59"/>
        <w:ind w:left="561" w:right="477" w:firstLine="0"/>
        <w:jc w:val="center"/>
      </w:pPr>
      <w:r>
        <w:lastRenderedPageBreak/>
        <w:t>Analyses</w:t>
      </w:r>
    </w:p>
    <w:p w:rsidR="00B801AF" w:rsidRDefault="00602675">
      <w:pPr>
        <w:pStyle w:val="Heading4"/>
        <w:spacing w:before="234"/>
        <w:ind w:left="541" w:right="482"/>
        <w:jc w:val="center"/>
      </w:pPr>
      <w:r>
        <w:t>Chapter Four</w:t>
      </w:r>
    </w:p>
    <w:p w:rsidR="00B801AF" w:rsidRDefault="00B801AF">
      <w:pPr>
        <w:pStyle w:val="BodyText"/>
        <w:rPr>
          <w:b/>
          <w:sz w:val="26"/>
        </w:rPr>
      </w:pPr>
    </w:p>
    <w:p w:rsidR="00B801AF" w:rsidRDefault="00602675">
      <w:pPr>
        <w:pStyle w:val="BodyText"/>
        <w:spacing w:before="162" w:line="256" w:lineRule="auto"/>
        <w:ind w:left="400" w:right="422"/>
        <w:rPr>
          <w:rFonts w:ascii="Carlito"/>
          <w:sz w:val="22"/>
        </w:rPr>
      </w:pPr>
      <w:r>
        <w:t>In this chapter, information related to the research destinations is generated from SEBL, all data secondary data that has already been distributed to secondary data sources, primarily at bank sites. Data will be analyzed using Microsoft Exceeding Expectations 2016 and also this section study presents the results from our data analysis, the study quickly examines the effectiveness of bank liquidity position. The second part demonstrates the overall profitability of the bank, and the third part examines the position of managing the obligation after analyzing the condition of asset management, and finally the comments speak to the market value of the bank</w:t>
      </w:r>
      <w:r>
        <w:rPr>
          <w:rFonts w:ascii="Carlito"/>
          <w:sz w:val="22"/>
        </w:rPr>
        <w:t>.</w:t>
      </w:r>
    </w:p>
    <w:p w:rsidR="00B801AF" w:rsidRDefault="00602675">
      <w:pPr>
        <w:pStyle w:val="Heading2"/>
        <w:numPr>
          <w:ilvl w:val="1"/>
          <w:numId w:val="3"/>
        </w:numPr>
        <w:tabs>
          <w:tab w:val="left" w:pos="823"/>
        </w:tabs>
        <w:spacing w:before="176"/>
        <w:jc w:val="both"/>
      </w:pPr>
      <w:r>
        <w:t>Ratio Analysis</w:t>
      </w:r>
    </w:p>
    <w:p w:rsidR="00B801AF" w:rsidRDefault="00B801AF">
      <w:pPr>
        <w:pStyle w:val="BodyText"/>
        <w:spacing w:before="10"/>
        <w:rPr>
          <w:b/>
          <w:sz w:val="27"/>
        </w:rPr>
      </w:pPr>
    </w:p>
    <w:p w:rsidR="00B801AF" w:rsidRDefault="00602675">
      <w:pPr>
        <w:pStyle w:val="BodyText"/>
        <w:ind w:left="400"/>
      </w:pPr>
      <w:r>
        <w:t>We analyze here,</w:t>
      </w:r>
    </w:p>
    <w:p w:rsidR="00B801AF" w:rsidRDefault="00602675">
      <w:pPr>
        <w:pStyle w:val="ListParagraph"/>
        <w:numPr>
          <w:ilvl w:val="2"/>
          <w:numId w:val="3"/>
        </w:numPr>
        <w:tabs>
          <w:tab w:val="left" w:pos="1421"/>
        </w:tabs>
        <w:spacing w:before="182"/>
        <w:ind w:hanging="241"/>
        <w:rPr>
          <w:sz w:val="24"/>
        </w:rPr>
      </w:pPr>
      <w:r>
        <w:rPr>
          <w:sz w:val="24"/>
        </w:rPr>
        <w:t>Liquidity</w:t>
      </w:r>
      <w:r>
        <w:rPr>
          <w:spacing w:val="-5"/>
          <w:sz w:val="24"/>
        </w:rPr>
        <w:t xml:space="preserve"> </w:t>
      </w:r>
      <w:r>
        <w:rPr>
          <w:sz w:val="24"/>
        </w:rPr>
        <w:t>Ratio</w:t>
      </w:r>
    </w:p>
    <w:p w:rsidR="00B801AF" w:rsidRDefault="00602675">
      <w:pPr>
        <w:pStyle w:val="ListParagraph"/>
        <w:numPr>
          <w:ilvl w:val="2"/>
          <w:numId w:val="3"/>
        </w:numPr>
        <w:tabs>
          <w:tab w:val="left" w:pos="1421"/>
        </w:tabs>
        <w:spacing w:before="180"/>
        <w:ind w:hanging="241"/>
        <w:rPr>
          <w:sz w:val="24"/>
        </w:rPr>
      </w:pPr>
      <w:r>
        <w:rPr>
          <w:sz w:val="24"/>
        </w:rPr>
        <w:t>Activity</w:t>
      </w:r>
      <w:r>
        <w:rPr>
          <w:spacing w:val="-5"/>
          <w:sz w:val="24"/>
        </w:rPr>
        <w:t xml:space="preserve"> </w:t>
      </w:r>
      <w:r>
        <w:rPr>
          <w:sz w:val="24"/>
        </w:rPr>
        <w:t>Ratio</w:t>
      </w:r>
    </w:p>
    <w:p w:rsidR="00B801AF" w:rsidRDefault="00602675">
      <w:pPr>
        <w:pStyle w:val="ListParagraph"/>
        <w:numPr>
          <w:ilvl w:val="2"/>
          <w:numId w:val="3"/>
        </w:numPr>
        <w:tabs>
          <w:tab w:val="left" w:pos="1361"/>
        </w:tabs>
        <w:spacing w:before="180"/>
        <w:ind w:left="1360" w:hanging="241"/>
        <w:rPr>
          <w:sz w:val="24"/>
        </w:rPr>
      </w:pPr>
      <w:r>
        <w:rPr>
          <w:sz w:val="24"/>
        </w:rPr>
        <w:t>Debt</w:t>
      </w:r>
      <w:r>
        <w:rPr>
          <w:spacing w:val="-1"/>
          <w:sz w:val="24"/>
        </w:rPr>
        <w:t xml:space="preserve"> </w:t>
      </w:r>
      <w:r>
        <w:rPr>
          <w:sz w:val="24"/>
        </w:rPr>
        <w:t>Ratio</w:t>
      </w:r>
    </w:p>
    <w:p w:rsidR="00B801AF" w:rsidRDefault="00602675">
      <w:pPr>
        <w:pStyle w:val="ListParagraph"/>
        <w:numPr>
          <w:ilvl w:val="2"/>
          <w:numId w:val="3"/>
        </w:numPr>
        <w:tabs>
          <w:tab w:val="left" w:pos="1361"/>
        </w:tabs>
        <w:spacing w:before="185"/>
        <w:ind w:left="1360" w:hanging="241"/>
        <w:rPr>
          <w:sz w:val="24"/>
        </w:rPr>
      </w:pPr>
      <w:r>
        <w:rPr>
          <w:sz w:val="24"/>
        </w:rPr>
        <w:t>Profitability</w:t>
      </w:r>
      <w:r>
        <w:rPr>
          <w:spacing w:val="-7"/>
          <w:sz w:val="24"/>
        </w:rPr>
        <w:t xml:space="preserve"> </w:t>
      </w:r>
      <w:r>
        <w:rPr>
          <w:sz w:val="24"/>
        </w:rPr>
        <w:t>ratio</w:t>
      </w:r>
    </w:p>
    <w:p w:rsidR="00B801AF" w:rsidRDefault="00602675">
      <w:pPr>
        <w:pStyle w:val="Heading4"/>
        <w:numPr>
          <w:ilvl w:val="2"/>
          <w:numId w:val="2"/>
        </w:numPr>
        <w:tabs>
          <w:tab w:val="left" w:pos="941"/>
        </w:tabs>
        <w:spacing w:before="185"/>
        <w:ind w:hanging="541"/>
        <w:jc w:val="both"/>
      </w:pPr>
      <w:r>
        <w:t>Liquidity</w:t>
      </w:r>
      <w:r>
        <w:rPr>
          <w:spacing w:val="-1"/>
        </w:rPr>
        <w:t xml:space="preserve"> </w:t>
      </w:r>
      <w:r>
        <w:t>Ratio:</w:t>
      </w:r>
    </w:p>
    <w:p w:rsidR="00B801AF" w:rsidRDefault="00602675">
      <w:pPr>
        <w:pStyle w:val="ListParagraph"/>
        <w:numPr>
          <w:ilvl w:val="3"/>
          <w:numId w:val="2"/>
        </w:numPr>
        <w:tabs>
          <w:tab w:val="left" w:pos="1121"/>
        </w:tabs>
        <w:spacing w:before="96"/>
        <w:ind w:hanging="721"/>
        <w:jc w:val="both"/>
        <w:rPr>
          <w:b/>
          <w:color w:val="2D75B5"/>
          <w:sz w:val="24"/>
        </w:rPr>
      </w:pPr>
      <w:r>
        <w:rPr>
          <w:b/>
          <w:color w:val="2D75B5"/>
          <w:sz w:val="24"/>
        </w:rPr>
        <w:t>Current</w:t>
      </w:r>
      <w:r>
        <w:rPr>
          <w:b/>
          <w:color w:val="2D75B5"/>
          <w:spacing w:val="-1"/>
          <w:sz w:val="24"/>
        </w:rPr>
        <w:t xml:space="preserve"> </w:t>
      </w:r>
      <w:r>
        <w:rPr>
          <w:b/>
          <w:color w:val="2D75B5"/>
          <w:sz w:val="24"/>
        </w:rPr>
        <w:t>Ratio:</w:t>
      </w:r>
    </w:p>
    <w:p w:rsidR="00B801AF" w:rsidRDefault="00602675">
      <w:pPr>
        <w:pStyle w:val="BodyText"/>
        <w:spacing w:before="8" w:line="352" w:lineRule="auto"/>
        <w:ind w:left="400" w:right="774"/>
        <w:jc w:val="both"/>
      </w:pPr>
      <w:r>
        <w:t xml:space="preserve">The current ratio, one of the most important financial ratios, measures the ability to meet shortterm liabilities. The higher the current ratio, the better the firm's liquidity position. </w:t>
      </w:r>
      <w:r>
        <w:rPr>
          <w:spacing w:val="-3"/>
        </w:rPr>
        <w:t xml:space="preserve">It </w:t>
      </w:r>
      <w:r>
        <w:t>is published as: (Current Assets/Current Liabilities)</w:t>
      </w:r>
    </w:p>
    <w:p w:rsidR="00B801AF" w:rsidRDefault="00B801AF">
      <w:pPr>
        <w:pStyle w:val="BodyText"/>
        <w:spacing w:before="7"/>
        <w:rPr>
          <w:sz w:val="14"/>
        </w:rPr>
      </w:pPr>
    </w:p>
    <w:tbl>
      <w:tblPr>
        <w:tblW w:w="0" w:type="auto"/>
        <w:tblInd w:w="3310"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642"/>
        <w:gridCol w:w="94"/>
        <w:gridCol w:w="1527"/>
      </w:tblGrid>
      <w:tr w:rsidR="00B801AF">
        <w:trPr>
          <w:trHeight w:val="479"/>
        </w:trPr>
        <w:tc>
          <w:tcPr>
            <w:tcW w:w="1642" w:type="dxa"/>
          </w:tcPr>
          <w:p w:rsidR="00B801AF" w:rsidRDefault="00602675">
            <w:pPr>
              <w:pStyle w:val="TableParagraph"/>
              <w:spacing w:before="10"/>
              <w:ind w:left="119"/>
              <w:rPr>
                <w:b/>
                <w:sz w:val="24"/>
              </w:rPr>
            </w:pPr>
            <w:r>
              <w:rPr>
                <w:b/>
                <w:color w:val="001F5F"/>
                <w:sz w:val="24"/>
              </w:rPr>
              <w:t>Year</w:t>
            </w:r>
          </w:p>
        </w:tc>
        <w:tc>
          <w:tcPr>
            <w:tcW w:w="1621" w:type="dxa"/>
            <w:gridSpan w:val="2"/>
          </w:tcPr>
          <w:p w:rsidR="00B801AF" w:rsidRDefault="00602675">
            <w:pPr>
              <w:pStyle w:val="TableParagraph"/>
              <w:spacing w:before="10"/>
              <w:ind w:left="97"/>
              <w:rPr>
                <w:b/>
                <w:sz w:val="24"/>
              </w:rPr>
            </w:pPr>
            <w:r>
              <w:rPr>
                <w:b/>
                <w:color w:val="001F5F"/>
                <w:sz w:val="24"/>
              </w:rPr>
              <w:t>Ratio</w:t>
            </w:r>
          </w:p>
        </w:tc>
      </w:tr>
      <w:tr w:rsidR="00B801AF">
        <w:trPr>
          <w:trHeight w:val="481"/>
        </w:trPr>
        <w:tc>
          <w:tcPr>
            <w:tcW w:w="1642" w:type="dxa"/>
            <w:shd w:val="clear" w:color="auto" w:fill="D2EAF0"/>
          </w:tcPr>
          <w:p w:rsidR="00B801AF" w:rsidRDefault="00602675">
            <w:pPr>
              <w:pStyle w:val="TableParagraph"/>
              <w:spacing w:line="275" w:lineRule="exact"/>
              <w:ind w:left="119"/>
              <w:rPr>
                <w:b/>
                <w:sz w:val="24"/>
              </w:rPr>
            </w:pPr>
            <w:r>
              <w:rPr>
                <w:b/>
                <w:color w:val="001F5F"/>
                <w:sz w:val="24"/>
              </w:rPr>
              <w:t>2017</w:t>
            </w:r>
          </w:p>
        </w:tc>
        <w:tc>
          <w:tcPr>
            <w:tcW w:w="94" w:type="dxa"/>
            <w:tcBorders>
              <w:right w:val="nil"/>
            </w:tcBorders>
            <w:shd w:val="clear" w:color="auto" w:fill="D2EAF0"/>
          </w:tcPr>
          <w:p w:rsidR="00B801AF" w:rsidRDefault="00B801AF">
            <w:pPr>
              <w:pStyle w:val="TableParagraph"/>
              <w:rPr>
                <w:sz w:val="24"/>
              </w:rPr>
            </w:pPr>
          </w:p>
        </w:tc>
        <w:tc>
          <w:tcPr>
            <w:tcW w:w="1527" w:type="dxa"/>
            <w:tcBorders>
              <w:left w:val="nil"/>
            </w:tcBorders>
            <w:shd w:val="clear" w:color="auto" w:fill="D2EAF0"/>
          </w:tcPr>
          <w:p w:rsidR="00B801AF" w:rsidRDefault="00602675">
            <w:pPr>
              <w:pStyle w:val="TableParagraph"/>
              <w:spacing w:line="272" w:lineRule="exact"/>
              <w:ind w:left="13"/>
              <w:rPr>
                <w:sz w:val="24"/>
              </w:rPr>
            </w:pPr>
            <w:r>
              <w:rPr>
                <w:color w:val="001F5F"/>
                <w:sz w:val="24"/>
              </w:rPr>
              <w:t>1.05 :1</w:t>
            </w:r>
          </w:p>
        </w:tc>
      </w:tr>
      <w:tr w:rsidR="00B801AF">
        <w:trPr>
          <w:trHeight w:val="434"/>
        </w:trPr>
        <w:tc>
          <w:tcPr>
            <w:tcW w:w="1642" w:type="dxa"/>
          </w:tcPr>
          <w:p w:rsidR="00B801AF" w:rsidRDefault="00602675">
            <w:pPr>
              <w:pStyle w:val="TableParagraph"/>
              <w:spacing w:line="268" w:lineRule="exact"/>
              <w:ind w:left="131"/>
              <w:rPr>
                <w:b/>
                <w:sz w:val="24"/>
              </w:rPr>
            </w:pPr>
            <w:r>
              <w:rPr>
                <w:b/>
                <w:color w:val="001F5F"/>
                <w:sz w:val="24"/>
              </w:rPr>
              <w:t>2016</w:t>
            </w:r>
          </w:p>
        </w:tc>
        <w:tc>
          <w:tcPr>
            <w:tcW w:w="94" w:type="dxa"/>
            <w:tcBorders>
              <w:right w:val="nil"/>
            </w:tcBorders>
          </w:tcPr>
          <w:p w:rsidR="00B801AF" w:rsidRDefault="00B801AF">
            <w:pPr>
              <w:pStyle w:val="TableParagraph"/>
              <w:rPr>
                <w:sz w:val="24"/>
              </w:rPr>
            </w:pPr>
          </w:p>
        </w:tc>
        <w:tc>
          <w:tcPr>
            <w:tcW w:w="1527" w:type="dxa"/>
            <w:tcBorders>
              <w:left w:val="nil"/>
            </w:tcBorders>
          </w:tcPr>
          <w:p w:rsidR="00B801AF" w:rsidRDefault="00602675">
            <w:pPr>
              <w:pStyle w:val="TableParagraph"/>
              <w:spacing w:line="268" w:lineRule="exact"/>
              <w:ind w:left="16"/>
              <w:rPr>
                <w:sz w:val="24"/>
              </w:rPr>
            </w:pPr>
            <w:r>
              <w:rPr>
                <w:color w:val="001F5F"/>
                <w:sz w:val="24"/>
              </w:rPr>
              <w:t>1.01 :1</w:t>
            </w:r>
          </w:p>
        </w:tc>
      </w:tr>
      <w:tr w:rsidR="00B801AF">
        <w:trPr>
          <w:trHeight w:val="388"/>
        </w:trPr>
        <w:tc>
          <w:tcPr>
            <w:tcW w:w="1642" w:type="dxa"/>
            <w:shd w:val="clear" w:color="auto" w:fill="D2EAF0"/>
          </w:tcPr>
          <w:p w:rsidR="00B801AF" w:rsidRDefault="00602675">
            <w:pPr>
              <w:pStyle w:val="TableParagraph"/>
              <w:spacing w:line="253" w:lineRule="exact"/>
              <w:ind w:left="119"/>
              <w:rPr>
                <w:b/>
                <w:sz w:val="24"/>
              </w:rPr>
            </w:pPr>
            <w:r>
              <w:rPr>
                <w:b/>
                <w:color w:val="001F5F"/>
                <w:sz w:val="24"/>
              </w:rPr>
              <w:t>2015</w:t>
            </w:r>
          </w:p>
        </w:tc>
        <w:tc>
          <w:tcPr>
            <w:tcW w:w="94" w:type="dxa"/>
            <w:tcBorders>
              <w:right w:val="nil"/>
            </w:tcBorders>
            <w:shd w:val="clear" w:color="auto" w:fill="D2EAF0"/>
          </w:tcPr>
          <w:p w:rsidR="00B801AF" w:rsidRDefault="00B801AF">
            <w:pPr>
              <w:pStyle w:val="TableParagraph"/>
              <w:rPr>
                <w:sz w:val="24"/>
              </w:rPr>
            </w:pPr>
          </w:p>
        </w:tc>
        <w:tc>
          <w:tcPr>
            <w:tcW w:w="1527" w:type="dxa"/>
            <w:tcBorders>
              <w:left w:val="nil"/>
            </w:tcBorders>
            <w:shd w:val="clear" w:color="auto" w:fill="D2EAF0"/>
          </w:tcPr>
          <w:p w:rsidR="00B801AF" w:rsidRDefault="00602675">
            <w:pPr>
              <w:pStyle w:val="TableParagraph"/>
              <w:spacing w:line="253" w:lineRule="exact"/>
              <w:ind w:left="13"/>
              <w:rPr>
                <w:sz w:val="24"/>
              </w:rPr>
            </w:pPr>
            <w:r>
              <w:rPr>
                <w:color w:val="001F5F"/>
                <w:sz w:val="24"/>
              </w:rPr>
              <w:t>1.04 :1</w:t>
            </w:r>
          </w:p>
        </w:tc>
      </w:tr>
      <w:tr w:rsidR="00B801AF">
        <w:trPr>
          <w:trHeight w:val="488"/>
        </w:trPr>
        <w:tc>
          <w:tcPr>
            <w:tcW w:w="1642" w:type="dxa"/>
          </w:tcPr>
          <w:p w:rsidR="00B801AF" w:rsidRDefault="00602675">
            <w:pPr>
              <w:pStyle w:val="TableParagraph"/>
              <w:spacing w:line="275" w:lineRule="exact"/>
              <w:ind w:left="131"/>
              <w:rPr>
                <w:b/>
                <w:sz w:val="24"/>
              </w:rPr>
            </w:pPr>
            <w:r>
              <w:rPr>
                <w:b/>
                <w:color w:val="001F5F"/>
                <w:sz w:val="24"/>
              </w:rPr>
              <w:t>2014</w:t>
            </w:r>
          </w:p>
        </w:tc>
        <w:tc>
          <w:tcPr>
            <w:tcW w:w="94" w:type="dxa"/>
            <w:tcBorders>
              <w:right w:val="nil"/>
            </w:tcBorders>
          </w:tcPr>
          <w:p w:rsidR="00B801AF" w:rsidRDefault="00B801AF">
            <w:pPr>
              <w:pStyle w:val="TableParagraph"/>
              <w:rPr>
                <w:sz w:val="24"/>
              </w:rPr>
            </w:pPr>
          </w:p>
        </w:tc>
        <w:tc>
          <w:tcPr>
            <w:tcW w:w="1527" w:type="dxa"/>
            <w:tcBorders>
              <w:left w:val="nil"/>
            </w:tcBorders>
          </w:tcPr>
          <w:p w:rsidR="00B801AF" w:rsidRDefault="00602675">
            <w:pPr>
              <w:pStyle w:val="TableParagraph"/>
              <w:spacing w:before="1"/>
              <w:ind w:left="16"/>
              <w:rPr>
                <w:sz w:val="24"/>
              </w:rPr>
            </w:pPr>
            <w:r>
              <w:rPr>
                <w:color w:val="001F5F"/>
                <w:sz w:val="24"/>
              </w:rPr>
              <w:t>1.03 :1</w:t>
            </w:r>
          </w:p>
        </w:tc>
      </w:tr>
      <w:tr w:rsidR="00B801AF">
        <w:trPr>
          <w:trHeight w:val="368"/>
        </w:trPr>
        <w:tc>
          <w:tcPr>
            <w:tcW w:w="1642" w:type="dxa"/>
            <w:shd w:val="clear" w:color="auto" w:fill="D2EAF0"/>
          </w:tcPr>
          <w:p w:rsidR="00B801AF" w:rsidRDefault="00602675">
            <w:pPr>
              <w:pStyle w:val="TableParagraph"/>
              <w:spacing w:line="234" w:lineRule="exact"/>
              <w:ind w:left="119"/>
              <w:rPr>
                <w:b/>
                <w:sz w:val="24"/>
              </w:rPr>
            </w:pPr>
            <w:r>
              <w:rPr>
                <w:b/>
                <w:color w:val="001F5F"/>
                <w:sz w:val="24"/>
              </w:rPr>
              <w:t>2013</w:t>
            </w:r>
          </w:p>
        </w:tc>
        <w:tc>
          <w:tcPr>
            <w:tcW w:w="94" w:type="dxa"/>
            <w:tcBorders>
              <w:right w:val="nil"/>
            </w:tcBorders>
            <w:shd w:val="clear" w:color="auto" w:fill="D2EAF0"/>
          </w:tcPr>
          <w:p w:rsidR="00B801AF" w:rsidRDefault="00B801AF">
            <w:pPr>
              <w:pStyle w:val="TableParagraph"/>
              <w:rPr>
                <w:sz w:val="24"/>
              </w:rPr>
            </w:pPr>
          </w:p>
        </w:tc>
        <w:tc>
          <w:tcPr>
            <w:tcW w:w="1527" w:type="dxa"/>
            <w:tcBorders>
              <w:left w:val="nil"/>
            </w:tcBorders>
            <w:shd w:val="clear" w:color="auto" w:fill="D2EAF0"/>
          </w:tcPr>
          <w:p w:rsidR="00B801AF" w:rsidRDefault="00602675">
            <w:pPr>
              <w:pStyle w:val="TableParagraph"/>
              <w:spacing w:line="234" w:lineRule="exact"/>
              <w:ind w:left="13"/>
              <w:rPr>
                <w:sz w:val="24"/>
              </w:rPr>
            </w:pPr>
            <w:r>
              <w:rPr>
                <w:color w:val="001F5F"/>
                <w:sz w:val="24"/>
              </w:rPr>
              <w:t>1.07 :1</w:t>
            </w:r>
          </w:p>
        </w:tc>
      </w:tr>
    </w:tbl>
    <w:p w:rsidR="00B801AF" w:rsidRDefault="00B801AF">
      <w:pPr>
        <w:pStyle w:val="BodyText"/>
        <w:rPr>
          <w:sz w:val="26"/>
        </w:rPr>
      </w:pPr>
    </w:p>
    <w:p w:rsidR="00B801AF" w:rsidRDefault="00B801AF">
      <w:pPr>
        <w:pStyle w:val="BodyText"/>
        <w:spacing w:before="3"/>
        <w:rPr>
          <w:sz w:val="30"/>
        </w:rPr>
      </w:pPr>
    </w:p>
    <w:p w:rsidR="00B801AF" w:rsidRDefault="00602675">
      <w:pPr>
        <w:pStyle w:val="Heading4"/>
        <w:ind w:left="524" w:right="482"/>
        <w:jc w:val="center"/>
      </w:pPr>
      <w:r>
        <w:rPr>
          <w:color w:val="30849B"/>
        </w:rPr>
        <w:t>Table: Current Ratio of SEBL</w:t>
      </w:r>
    </w:p>
    <w:p w:rsidR="00B801AF" w:rsidRDefault="00B801AF">
      <w:pPr>
        <w:jc w:val="center"/>
        <w:sectPr w:rsidR="00B801AF">
          <w:pgSz w:w="11900" w:h="16840"/>
          <w:pgMar w:top="1360" w:right="1100" w:bottom="1220" w:left="1040" w:header="0" w:footer="1038" w:gutter="0"/>
          <w:cols w:space="720"/>
        </w:sectPr>
      </w:pPr>
    </w:p>
    <w:p w:rsidR="00B801AF" w:rsidRDefault="00B801AF">
      <w:pPr>
        <w:pStyle w:val="BodyText"/>
        <w:rPr>
          <w:b/>
          <w:sz w:val="20"/>
        </w:rPr>
      </w:pPr>
    </w:p>
    <w:p w:rsidR="00B801AF" w:rsidRDefault="00B801AF">
      <w:pPr>
        <w:pStyle w:val="BodyText"/>
        <w:rPr>
          <w:b/>
          <w:sz w:val="20"/>
        </w:rPr>
      </w:pPr>
    </w:p>
    <w:p w:rsidR="00B801AF" w:rsidRDefault="00602675">
      <w:pPr>
        <w:spacing w:before="211"/>
        <w:ind w:left="381"/>
        <w:rPr>
          <w:b/>
          <w:sz w:val="24"/>
        </w:rPr>
      </w:pPr>
      <w:r>
        <w:rPr>
          <w:b/>
          <w:color w:val="00AF50"/>
          <w:sz w:val="24"/>
        </w:rPr>
        <w:t>Graphical Presentation:</w:t>
      </w:r>
    </w:p>
    <w:p w:rsidR="00B801AF" w:rsidRDefault="00602675">
      <w:pPr>
        <w:pStyle w:val="BodyText"/>
        <w:spacing w:before="6"/>
        <w:rPr>
          <w:b/>
          <w:sz w:val="9"/>
        </w:rPr>
      </w:pPr>
      <w:r>
        <w:rPr>
          <w:noProof/>
        </w:rPr>
        <w:drawing>
          <wp:anchor distT="0" distB="0" distL="0" distR="0" simplePos="0" relativeHeight="3" behindDoc="0" locked="0" layoutInCell="1" allowOverlap="1">
            <wp:simplePos x="0" y="0"/>
            <wp:positionH relativeFrom="page">
              <wp:posOffset>1493519</wp:posOffset>
            </wp:positionH>
            <wp:positionV relativeFrom="paragraph">
              <wp:posOffset>94654</wp:posOffset>
            </wp:positionV>
            <wp:extent cx="4571999" cy="27432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4571999" cy="2743200"/>
                    </a:xfrm>
                    <a:prstGeom prst="rect">
                      <a:avLst/>
                    </a:prstGeom>
                  </pic:spPr>
                </pic:pic>
              </a:graphicData>
            </a:graphic>
          </wp:anchor>
        </w:drawing>
      </w:r>
    </w:p>
    <w:p w:rsidR="00B801AF" w:rsidRDefault="00B801AF">
      <w:pPr>
        <w:pStyle w:val="BodyText"/>
        <w:spacing w:before="1"/>
        <w:rPr>
          <w:b/>
          <w:sz w:val="25"/>
        </w:rPr>
      </w:pPr>
    </w:p>
    <w:p w:rsidR="00B801AF" w:rsidRDefault="00602675">
      <w:pPr>
        <w:ind w:left="561" w:right="478"/>
        <w:jc w:val="center"/>
        <w:rPr>
          <w:b/>
          <w:sz w:val="24"/>
        </w:rPr>
      </w:pPr>
      <w:r>
        <w:rPr>
          <w:b/>
          <w:color w:val="30849B"/>
          <w:sz w:val="24"/>
        </w:rPr>
        <w:t>Figure: Current Ratio of SEBL</w:t>
      </w:r>
    </w:p>
    <w:p w:rsidR="00B801AF" w:rsidRDefault="00B801AF">
      <w:pPr>
        <w:pStyle w:val="BodyText"/>
        <w:spacing w:before="10"/>
        <w:rPr>
          <w:b/>
          <w:sz w:val="30"/>
        </w:rPr>
      </w:pPr>
    </w:p>
    <w:p w:rsidR="00B801AF" w:rsidRDefault="00602675">
      <w:pPr>
        <w:ind w:left="400"/>
        <w:rPr>
          <w:b/>
          <w:sz w:val="24"/>
        </w:rPr>
      </w:pPr>
      <w:r>
        <w:rPr>
          <w:b/>
          <w:color w:val="00AF50"/>
          <w:sz w:val="24"/>
        </w:rPr>
        <w:t>Interpretation:</w:t>
      </w:r>
    </w:p>
    <w:p w:rsidR="00B801AF" w:rsidRDefault="00B801AF">
      <w:pPr>
        <w:pStyle w:val="BodyText"/>
        <w:spacing w:before="2"/>
        <w:rPr>
          <w:b/>
          <w:sz w:val="31"/>
        </w:rPr>
      </w:pPr>
    </w:p>
    <w:p w:rsidR="00B801AF" w:rsidRDefault="00602675">
      <w:pPr>
        <w:pStyle w:val="BodyText"/>
        <w:spacing w:line="357" w:lineRule="auto"/>
        <w:ind w:left="400" w:right="522"/>
        <w:rPr>
          <w:rFonts w:ascii="Carlito"/>
          <w:sz w:val="22"/>
        </w:rPr>
      </w:pPr>
      <w:r>
        <w:t>The current ratio is higher; is considered as the most liquid. However, SEBL, the current ratio is good because it maintains current assets of 1.05tk compared to 1tk current liabilities where generally the banking industry maintains 2: 1 current ratio. This graph shows that the current ratio has increased to 2013 and decreased the following year</w:t>
      </w:r>
      <w:r>
        <w:rPr>
          <w:rFonts w:ascii="Carlito"/>
          <w:sz w:val="22"/>
        </w:rPr>
        <w:t>.</w:t>
      </w:r>
    </w:p>
    <w:p w:rsidR="00B801AF" w:rsidRDefault="00602675">
      <w:pPr>
        <w:pStyle w:val="Heading4"/>
        <w:numPr>
          <w:ilvl w:val="3"/>
          <w:numId w:val="2"/>
        </w:numPr>
        <w:tabs>
          <w:tab w:val="left" w:pos="1121"/>
        </w:tabs>
        <w:spacing w:before="213"/>
        <w:ind w:hanging="721"/>
        <w:jc w:val="both"/>
        <w:rPr>
          <w:color w:val="2D75B5"/>
        </w:rPr>
      </w:pPr>
      <w:r>
        <w:rPr>
          <w:color w:val="2D75B5"/>
        </w:rPr>
        <w:t>Net Working</w:t>
      </w:r>
      <w:r>
        <w:rPr>
          <w:color w:val="2D75B5"/>
          <w:spacing w:val="-1"/>
        </w:rPr>
        <w:t xml:space="preserve"> </w:t>
      </w:r>
      <w:r>
        <w:rPr>
          <w:color w:val="2D75B5"/>
        </w:rPr>
        <w:t>Capital</w:t>
      </w:r>
    </w:p>
    <w:p w:rsidR="00B801AF" w:rsidRDefault="00602675">
      <w:pPr>
        <w:pStyle w:val="BodyText"/>
        <w:spacing w:before="7" w:line="355" w:lineRule="auto"/>
        <w:ind w:left="400" w:right="340"/>
        <w:jc w:val="both"/>
      </w:pPr>
      <w:r>
        <w:t>Net working capital, though, is actually a measure of the liquidity ratio calculated by which a ratio is a general measure of a firm's overall liquidity.Net Working capital=Current AssetCurrent Liabilities</w:t>
      </w:r>
    </w:p>
    <w:p w:rsidR="00B801AF" w:rsidRDefault="00B801AF">
      <w:pPr>
        <w:pStyle w:val="BodyText"/>
        <w:spacing w:before="8"/>
        <w:rPr>
          <w:sz w:val="16"/>
        </w:rPr>
      </w:pPr>
    </w:p>
    <w:tbl>
      <w:tblPr>
        <w:tblW w:w="0" w:type="auto"/>
        <w:tblInd w:w="2912"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200"/>
        <w:gridCol w:w="2871"/>
      </w:tblGrid>
      <w:tr w:rsidR="00B801AF">
        <w:trPr>
          <w:trHeight w:val="350"/>
        </w:trPr>
        <w:tc>
          <w:tcPr>
            <w:tcW w:w="1200" w:type="dxa"/>
            <w:vMerge w:val="restart"/>
          </w:tcPr>
          <w:p w:rsidR="00B801AF" w:rsidRDefault="00602675">
            <w:pPr>
              <w:pStyle w:val="TableParagraph"/>
              <w:spacing w:before="10"/>
              <w:ind w:left="431"/>
              <w:rPr>
                <w:b/>
                <w:sz w:val="24"/>
              </w:rPr>
            </w:pPr>
            <w:r>
              <w:rPr>
                <w:b/>
                <w:sz w:val="24"/>
              </w:rPr>
              <w:t>Year</w:t>
            </w:r>
          </w:p>
        </w:tc>
        <w:tc>
          <w:tcPr>
            <w:tcW w:w="2871" w:type="dxa"/>
            <w:tcBorders>
              <w:bottom w:val="nil"/>
            </w:tcBorders>
          </w:tcPr>
          <w:p w:rsidR="00B801AF" w:rsidRDefault="00602675">
            <w:pPr>
              <w:pStyle w:val="TableParagraph"/>
              <w:spacing w:before="10"/>
              <w:ind w:left="167"/>
              <w:rPr>
                <w:b/>
                <w:sz w:val="24"/>
              </w:rPr>
            </w:pPr>
            <w:r>
              <w:rPr>
                <w:b/>
                <w:sz w:val="24"/>
              </w:rPr>
              <w:t>Net working Capital</w:t>
            </w:r>
          </w:p>
        </w:tc>
      </w:tr>
      <w:tr w:rsidR="00B801AF">
        <w:trPr>
          <w:trHeight w:val="497"/>
        </w:trPr>
        <w:tc>
          <w:tcPr>
            <w:tcW w:w="1200" w:type="dxa"/>
            <w:vMerge/>
            <w:tcBorders>
              <w:top w:val="nil"/>
            </w:tcBorders>
          </w:tcPr>
          <w:p w:rsidR="00B801AF" w:rsidRDefault="00B801AF">
            <w:pPr>
              <w:rPr>
                <w:sz w:val="2"/>
                <w:szCs w:val="2"/>
              </w:rPr>
            </w:pPr>
          </w:p>
        </w:tc>
        <w:tc>
          <w:tcPr>
            <w:tcW w:w="2871" w:type="dxa"/>
            <w:tcBorders>
              <w:top w:val="nil"/>
            </w:tcBorders>
          </w:tcPr>
          <w:p w:rsidR="00B801AF" w:rsidRDefault="00602675">
            <w:pPr>
              <w:pStyle w:val="TableParagraph"/>
              <w:spacing w:before="53"/>
              <w:ind w:left="306"/>
              <w:rPr>
                <w:b/>
                <w:sz w:val="24"/>
              </w:rPr>
            </w:pPr>
            <w:r>
              <w:rPr>
                <w:b/>
                <w:sz w:val="24"/>
              </w:rPr>
              <w:t>(taka in Millions)</w:t>
            </w:r>
          </w:p>
        </w:tc>
      </w:tr>
      <w:tr w:rsidR="00B801AF">
        <w:trPr>
          <w:trHeight w:val="416"/>
        </w:trPr>
        <w:tc>
          <w:tcPr>
            <w:tcW w:w="1200" w:type="dxa"/>
            <w:shd w:val="clear" w:color="auto" w:fill="D2EAF0"/>
          </w:tcPr>
          <w:p w:rsidR="00B801AF" w:rsidRDefault="00602675">
            <w:pPr>
              <w:pStyle w:val="TableParagraph"/>
              <w:spacing w:line="275" w:lineRule="exact"/>
              <w:ind w:left="241"/>
              <w:rPr>
                <w:b/>
                <w:sz w:val="24"/>
              </w:rPr>
            </w:pPr>
            <w:r>
              <w:rPr>
                <w:b/>
                <w:color w:val="001F5F"/>
                <w:sz w:val="24"/>
              </w:rPr>
              <w:t>2017</w:t>
            </w:r>
          </w:p>
        </w:tc>
        <w:tc>
          <w:tcPr>
            <w:tcW w:w="2871" w:type="dxa"/>
            <w:shd w:val="clear" w:color="auto" w:fill="D2EAF0"/>
          </w:tcPr>
          <w:p w:rsidR="00B801AF" w:rsidRDefault="00602675">
            <w:pPr>
              <w:pStyle w:val="TableParagraph"/>
              <w:spacing w:line="272" w:lineRule="exact"/>
              <w:ind w:left="1130"/>
              <w:rPr>
                <w:sz w:val="24"/>
              </w:rPr>
            </w:pPr>
            <w:r>
              <w:rPr>
                <w:sz w:val="24"/>
              </w:rPr>
              <w:t>3147.34</w:t>
            </w:r>
          </w:p>
        </w:tc>
      </w:tr>
      <w:tr w:rsidR="00B801AF">
        <w:trPr>
          <w:trHeight w:val="452"/>
        </w:trPr>
        <w:tc>
          <w:tcPr>
            <w:tcW w:w="1200" w:type="dxa"/>
          </w:tcPr>
          <w:p w:rsidR="00B801AF" w:rsidRDefault="00602675">
            <w:pPr>
              <w:pStyle w:val="TableParagraph"/>
              <w:spacing w:line="265" w:lineRule="exact"/>
              <w:ind w:left="210"/>
              <w:rPr>
                <w:b/>
                <w:sz w:val="24"/>
              </w:rPr>
            </w:pPr>
            <w:r>
              <w:rPr>
                <w:b/>
                <w:color w:val="001F5F"/>
                <w:sz w:val="24"/>
              </w:rPr>
              <w:t>2016</w:t>
            </w:r>
          </w:p>
        </w:tc>
        <w:tc>
          <w:tcPr>
            <w:tcW w:w="2871" w:type="dxa"/>
          </w:tcPr>
          <w:p w:rsidR="00B801AF" w:rsidRDefault="00602675">
            <w:pPr>
              <w:pStyle w:val="TableParagraph"/>
              <w:spacing w:line="265" w:lineRule="exact"/>
              <w:ind w:left="1120"/>
              <w:rPr>
                <w:sz w:val="24"/>
              </w:rPr>
            </w:pPr>
            <w:r>
              <w:rPr>
                <w:sz w:val="24"/>
              </w:rPr>
              <w:t>2604.31</w:t>
            </w:r>
          </w:p>
        </w:tc>
      </w:tr>
      <w:tr w:rsidR="00B801AF">
        <w:trPr>
          <w:trHeight w:val="375"/>
        </w:trPr>
        <w:tc>
          <w:tcPr>
            <w:tcW w:w="1200" w:type="dxa"/>
            <w:shd w:val="clear" w:color="auto" w:fill="D2EAF0"/>
          </w:tcPr>
          <w:p w:rsidR="00B801AF" w:rsidRDefault="00602675">
            <w:pPr>
              <w:pStyle w:val="TableParagraph"/>
              <w:spacing w:line="236" w:lineRule="exact"/>
              <w:ind w:left="241"/>
              <w:rPr>
                <w:b/>
                <w:sz w:val="24"/>
              </w:rPr>
            </w:pPr>
            <w:r>
              <w:rPr>
                <w:b/>
                <w:color w:val="001F5F"/>
                <w:sz w:val="24"/>
              </w:rPr>
              <w:t>2015</w:t>
            </w:r>
          </w:p>
        </w:tc>
        <w:tc>
          <w:tcPr>
            <w:tcW w:w="2871" w:type="dxa"/>
            <w:shd w:val="clear" w:color="auto" w:fill="D2EAF0"/>
          </w:tcPr>
          <w:p w:rsidR="00B801AF" w:rsidRDefault="00602675">
            <w:pPr>
              <w:pStyle w:val="TableParagraph"/>
              <w:spacing w:line="239" w:lineRule="exact"/>
              <w:ind w:left="1130"/>
              <w:rPr>
                <w:sz w:val="24"/>
              </w:rPr>
            </w:pPr>
            <w:r>
              <w:rPr>
                <w:sz w:val="24"/>
              </w:rPr>
              <w:t>3365.65</w:t>
            </w:r>
          </w:p>
        </w:tc>
      </w:tr>
      <w:tr w:rsidR="00B801AF">
        <w:trPr>
          <w:trHeight w:val="458"/>
        </w:trPr>
        <w:tc>
          <w:tcPr>
            <w:tcW w:w="1200" w:type="dxa"/>
          </w:tcPr>
          <w:p w:rsidR="00B801AF" w:rsidRDefault="00602675">
            <w:pPr>
              <w:pStyle w:val="TableParagraph"/>
              <w:spacing w:line="265" w:lineRule="exact"/>
              <w:ind w:left="210"/>
              <w:rPr>
                <w:b/>
                <w:sz w:val="24"/>
              </w:rPr>
            </w:pPr>
            <w:r>
              <w:rPr>
                <w:b/>
                <w:color w:val="001F5F"/>
                <w:sz w:val="24"/>
              </w:rPr>
              <w:t>2014</w:t>
            </w:r>
          </w:p>
        </w:tc>
        <w:tc>
          <w:tcPr>
            <w:tcW w:w="2871" w:type="dxa"/>
          </w:tcPr>
          <w:p w:rsidR="00B801AF" w:rsidRDefault="00602675">
            <w:pPr>
              <w:pStyle w:val="TableParagraph"/>
              <w:spacing w:line="265" w:lineRule="exact"/>
              <w:ind w:left="1120"/>
              <w:rPr>
                <w:sz w:val="24"/>
              </w:rPr>
            </w:pPr>
            <w:r>
              <w:rPr>
                <w:sz w:val="24"/>
              </w:rPr>
              <w:t>3423.33</w:t>
            </w:r>
          </w:p>
        </w:tc>
      </w:tr>
      <w:tr w:rsidR="00B801AF">
        <w:trPr>
          <w:trHeight w:val="378"/>
        </w:trPr>
        <w:tc>
          <w:tcPr>
            <w:tcW w:w="1200" w:type="dxa"/>
            <w:shd w:val="clear" w:color="auto" w:fill="D2EAF0"/>
          </w:tcPr>
          <w:p w:rsidR="00B801AF" w:rsidRDefault="00602675">
            <w:pPr>
              <w:pStyle w:val="TableParagraph"/>
              <w:spacing w:line="236" w:lineRule="exact"/>
              <w:ind w:left="241"/>
              <w:rPr>
                <w:b/>
                <w:sz w:val="24"/>
              </w:rPr>
            </w:pPr>
            <w:r>
              <w:rPr>
                <w:b/>
                <w:color w:val="001F5F"/>
                <w:sz w:val="24"/>
              </w:rPr>
              <w:t>2013</w:t>
            </w:r>
          </w:p>
        </w:tc>
        <w:tc>
          <w:tcPr>
            <w:tcW w:w="2871" w:type="dxa"/>
            <w:shd w:val="clear" w:color="auto" w:fill="D2EAF0"/>
          </w:tcPr>
          <w:p w:rsidR="00B801AF" w:rsidRDefault="00602675">
            <w:pPr>
              <w:pStyle w:val="TableParagraph"/>
              <w:spacing w:line="239" w:lineRule="exact"/>
              <w:ind w:left="1130"/>
              <w:rPr>
                <w:sz w:val="24"/>
              </w:rPr>
            </w:pPr>
            <w:r>
              <w:rPr>
                <w:sz w:val="24"/>
              </w:rPr>
              <w:t>3238.93</w:t>
            </w:r>
          </w:p>
        </w:tc>
      </w:tr>
    </w:tbl>
    <w:p w:rsidR="00B801AF" w:rsidRDefault="00B801AF">
      <w:pPr>
        <w:pStyle w:val="BodyText"/>
        <w:spacing w:before="1"/>
        <w:rPr>
          <w:sz w:val="29"/>
        </w:rPr>
      </w:pPr>
    </w:p>
    <w:p w:rsidR="00B801AF" w:rsidRDefault="00B801AF">
      <w:pPr>
        <w:pStyle w:val="BodyText"/>
        <w:spacing w:before="9"/>
        <w:rPr>
          <w:rFonts w:ascii="Carlito"/>
          <w:sz w:val="22"/>
        </w:rPr>
      </w:pPr>
    </w:p>
    <w:p w:rsidR="00B61B31" w:rsidRDefault="00B61B31">
      <w:pPr>
        <w:pStyle w:val="BodyText"/>
        <w:spacing w:before="9"/>
        <w:rPr>
          <w:rFonts w:ascii="Carlito"/>
          <w:sz w:val="22"/>
        </w:rPr>
      </w:pPr>
    </w:p>
    <w:p w:rsidR="00B61B31" w:rsidRDefault="00B61B31">
      <w:pPr>
        <w:pStyle w:val="BodyText"/>
        <w:spacing w:before="9"/>
        <w:rPr>
          <w:rFonts w:ascii="Carlito"/>
          <w:sz w:val="22"/>
        </w:rPr>
      </w:pPr>
    </w:p>
    <w:p w:rsidR="00B801AF" w:rsidRDefault="00602675">
      <w:pPr>
        <w:pStyle w:val="Heading4"/>
        <w:spacing w:line="720" w:lineRule="auto"/>
        <w:ind w:left="719" w:right="2790" w:firstLine="2410"/>
      </w:pPr>
      <w:r>
        <w:rPr>
          <w:noProof/>
        </w:rPr>
        <w:drawing>
          <wp:anchor distT="0" distB="0" distL="0" distR="0" simplePos="0" relativeHeight="486618112" behindDoc="1" locked="0" layoutInCell="1" allowOverlap="1">
            <wp:simplePos x="0" y="0"/>
            <wp:positionH relativeFrom="page">
              <wp:posOffset>1615439</wp:posOffset>
            </wp:positionH>
            <wp:positionV relativeFrom="paragraph">
              <wp:posOffset>790615</wp:posOffset>
            </wp:positionV>
            <wp:extent cx="4572000" cy="274320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4572000" cy="2743200"/>
                    </a:xfrm>
                    <a:prstGeom prst="rect">
                      <a:avLst/>
                    </a:prstGeom>
                  </pic:spPr>
                </pic:pic>
              </a:graphicData>
            </a:graphic>
          </wp:anchor>
        </w:drawing>
      </w:r>
      <w:r>
        <w:rPr>
          <w:color w:val="30849B"/>
        </w:rPr>
        <w:t xml:space="preserve">Table: Net Working Capital of SEBL </w:t>
      </w:r>
      <w:r>
        <w:rPr>
          <w:color w:val="00AF50"/>
        </w:rPr>
        <w:t>Graphical Presentation:</w:t>
      </w: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spacing w:before="11"/>
        <w:rPr>
          <w:b/>
          <w:sz w:val="32"/>
        </w:rPr>
      </w:pPr>
    </w:p>
    <w:p w:rsidR="00B801AF" w:rsidRDefault="00602675">
      <w:pPr>
        <w:ind w:left="400"/>
        <w:rPr>
          <w:b/>
          <w:sz w:val="24"/>
        </w:rPr>
      </w:pPr>
      <w:r>
        <w:rPr>
          <w:b/>
          <w:color w:val="00AF50"/>
          <w:sz w:val="24"/>
        </w:rPr>
        <w:t>Interpretation:</w:t>
      </w:r>
    </w:p>
    <w:p w:rsidR="00B801AF" w:rsidRDefault="00B801AF">
      <w:pPr>
        <w:pStyle w:val="BodyText"/>
        <w:spacing w:before="4"/>
        <w:rPr>
          <w:b/>
          <w:sz w:val="37"/>
        </w:rPr>
      </w:pPr>
    </w:p>
    <w:p w:rsidR="00B801AF" w:rsidRDefault="00602675">
      <w:pPr>
        <w:pStyle w:val="BodyText"/>
        <w:spacing w:line="355" w:lineRule="auto"/>
        <w:ind w:left="400" w:right="355"/>
        <w:jc w:val="both"/>
        <w:rPr>
          <w:rFonts w:ascii="Carlito"/>
          <w:sz w:val="22"/>
        </w:rPr>
      </w:pPr>
      <w:r>
        <w:t>Net working capital of SEBL has declined somewhat in the last two years. However, the bank faced difficulties in fulfilling its current obligations. Therefore, the bank should increase its current assets</w:t>
      </w:r>
      <w:r>
        <w:rPr>
          <w:rFonts w:ascii="Carlito"/>
          <w:sz w:val="22"/>
        </w:rPr>
        <w:t>.</w:t>
      </w:r>
    </w:p>
    <w:p w:rsidR="00B801AF" w:rsidRDefault="00602675">
      <w:pPr>
        <w:pStyle w:val="Heading4"/>
        <w:numPr>
          <w:ilvl w:val="3"/>
          <w:numId w:val="2"/>
        </w:numPr>
        <w:tabs>
          <w:tab w:val="left" w:pos="1121"/>
        </w:tabs>
        <w:spacing w:before="164"/>
        <w:ind w:hanging="721"/>
        <w:jc w:val="both"/>
        <w:rPr>
          <w:color w:val="2D75B5"/>
        </w:rPr>
      </w:pPr>
      <w:r>
        <w:rPr>
          <w:color w:val="2D75B5"/>
        </w:rPr>
        <w:t>Acid Test Ratio:</w:t>
      </w:r>
    </w:p>
    <w:p w:rsidR="00B801AF" w:rsidRDefault="00602675">
      <w:pPr>
        <w:pStyle w:val="BodyText"/>
        <w:spacing w:before="10" w:line="357" w:lineRule="auto"/>
        <w:ind w:left="400" w:right="333"/>
        <w:jc w:val="both"/>
      </w:pPr>
      <w:r>
        <w:pict>
          <v:group id="_x0000_s1026" style="position:absolute;left:0;text-align:left;margin-left:208.65pt;margin-top:124.9pt;width:179.9pt;height:89.8pt;z-index:-16697344;mso-position-horizontal-relative:page" coordorigin="4173,2498" coordsize="3598,1796">
            <v:rect id="_x0000_s1039" style="position:absolute;left:4173;top:3841;width:20;height:20" fillcolor="#4aacc5" stroked="f"/>
            <v:rect id="_x0000_s1038" style="position:absolute;left:4280;top:3904;width:2382;height:227" fillcolor="#d2eaf0" stroked="f"/>
            <v:shape id="_x0000_s1037" style="position:absolute;left:4210;top:3885;width:2581;height:20" coordorigin="4211,3885" coordsize="2581,20" o:spt="100" adj="0,,0" path="m6762,3885r-81,l6661,3885r-2362,l4280,3885r-69,l4211,3904r69,l4299,3904r2362,l6681,3904r81,l6762,3885xm6781,3885r-19,l6762,3904r19,l6781,3885xm6791,3885r-10,l6781,3904r10,l6791,3885xe" fillcolor="#4aacc5" stroked="f">
              <v:stroke joinstyle="round"/>
              <v:formulas/>
              <v:path arrowok="t" o:connecttype="segments"/>
            </v:shape>
            <v:shape id="_x0000_s1036" style="position:absolute;left:6882;top:3904;width:730;height:226" coordorigin="6882,3904" coordsize="730,226" path="m7612,3904r-730,l6882,3907r,223l7612,4130r,-223l7612,3904xe" fillcolor="#d2eaf0" stroked="f">
              <v:path arrowok="t"/>
            </v:shape>
            <v:shape id="_x0000_s1035" style="position:absolute;left:6810;top:3885;width:942;height:20" coordorigin="6810,3885" coordsize="942,20" o:spt="100" adj="0,,0" path="m7723,3885r-82,l7621,3885r-729,l6873,3885r-63,l6810,3904r63,l6892,3904r729,l7641,3904r82,l7723,3885xm7742,3885r-19,l7723,3904r19,l7742,3885xm7752,3885r-10,l7742,3904r10,l7752,3885xe" fillcolor="#4aacc5" stroked="f">
              <v:stroke joinstyle="round"/>
              <v:formulas/>
              <v:path arrowok="t" o:connecttype="segments"/>
            </v:shape>
            <v:shape id="_x0000_s1034" style="position:absolute;left:4201;top:2994;width:3522;height:1280" coordorigin="4201,2995" coordsize="3522,1280" o:spt="100" adj="0,,0" path="m4271,3904r-70,l4201,4274r70,l4271,3904xm6661,2995r-2381,l4280,3268r2381,l6661,2995xm6762,3904r-101,l6661,4130r-2381,l4280,4137r,137l6661,4274r101,l6762,3904xm6892,3904r-19,l6873,4130r19,l6892,3904xm7612,4130r-730,l6882,4137r,137l7612,4274r,-137l7612,4130xm7723,3904r-102,l7621,4274r102,l7723,3904xe" fillcolor="#d2eaf0" stroked="f">
              <v:stroke joinstyle="round"/>
              <v:formulas/>
              <v:path arrowok="t" o:connecttype="segments"/>
            </v:shape>
            <v:shape id="_x0000_s1033" style="position:absolute;left:4210;top:2975;width:2581;height:20" coordorigin="4211,2975" coordsize="2581,20" o:spt="100" adj="0,,0" path="m6762,2975r-81,l6661,2975r-2362,l4280,2975r-69,l4211,2995r69,l4299,2995r2362,l6681,2995r81,l6762,2975xm6781,2975r-19,l6762,2995r19,l6781,2975xm6791,2975r-10,l6781,2995r10,l6791,2975xe" fillcolor="#4aacc5" stroked="f">
              <v:stroke joinstyle="round"/>
              <v:formulas/>
              <v:path arrowok="t" o:connecttype="segments"/>
            </v:shape>
            <v:shape id="_x0000_s1032" style="position:absolute;left:6882;top:2994;width:730;height:274" coordorigin="6882,2995" coordsize="730,274" path="m7612,2995r-730,l6882,2999r,269l7612,3268r,-269l7612,2995xe" fillcolor="#d2eaf0" stroked="f">
              <v:path arrowok="t"/>
            </v:shape>
            <v:shape id="_x0000_s1031" style="position:absolute;left:6810;top:2975;width:942;height:20" coordorigin="6810,2975" coordsize="942,20" o:spt="100" adj="0,,0" path="m6911,2975r-19,l6873,2975r-63,l6810,2995r63,l6892,2995r19,l6911,2975xm7723,2975r-82,l7621,2975r-710,l6911,2995r710,l7641,2995r82,l7723,2975xm7742,2975r-19,l7723,2995r19,l7742,2975xm7752,2975r-10,l7742,2995r10,l7752,2975xe" fillcolor="#4aacc5" stroked="f">
              <v:stroke joinstyle="round"/>
              <v:formulas/>
              <v:path arrowok="t" o:connecttype="segments"/>
            </v:shape>
            <v:shape id="_x0000_s1030" style="position:absolute;left:4201;top:2994;width:3522;height:413" coordorigin="4201,2995" coordsize="3522,413" o:spt="100" adj="0,,0" path="m4271,2995r-70,l4201,3407r70,l4271,2995xm6762,2995r-101,l6661,3268r-2381,l4280,3407r2381,l6762,3407r,-412xm7612,3268r-720,l6892,2995r-19,l6873,3268r,139l6882,3407r10,l7612,3407r,-139xm7723,2995r-102,l7621,3407r102,l7723,2995xe" fillcolor="#d2eaf0" stroked="f">
              <v:stroke joinstyle="round"/>
              <v:formulas/>
              <v:path arrowok="t" o:connecttype="segments"/>
            </v:shape>
            <v:shape id="_x0000_s1029" style="position:absolute;left:4191;top:2497;width:3561;height:1777" coordorigin="4191,2498" coordsize="3561,1777" o:spt="100" adj="0,,0" path="m4211,2498r-20,l4191,4274r20,l4211,2498xm6762,3407r-81,l6661,3407r-2362,l4280,3407r-69,l4211,3427r69,l4299,3427r2362,l6681,3427r81,l6762,3407xm6781,3407r-19,l6762,3427r19,l6781,3407xm6810,2498r-19,l6791,3407r-10,l6781,3427r10,l6791,4274r19,l6810,2498xm7723,3407r-82,l7621,3407r-729,l6873,3407r-63,l6810,3427r63,l6892,3427r729,l7641,3427r82,l7723,3407xm7742,3407r-19,l7723,3427r19,l7742,3407xm7752,3407r-10,l7742,3427r10,l7752,3407xe" fillcolor="#4aacc5" stroked="f">
              <v:stroke joinstyle="round"/>
              <v:formulas/>
              <v:path arrowok="t" o:connecttype="segments"/>
            </v:shape>
            <v:rect id="_x0000_s1028" style="position:absolute;left:6872;top:4130;width:20;height:144" fillcolor="#d2eaf0" stroked="f"/>
            <v:shape id="_x0000_s1027" style="position:absolute;left:4191;top:2497;width:3580;height:1796" coordorigin="4191,2498" coordsize="3580,1796" o:spt="100" adj="0,,0" path="m4211,4274r-20,l4191,4293r20,l4211,4274xm6762,4274r-81,l6661,4274r-2362,l4280,4274r-69,l4211,4293r69,l4299,4293r2362,l6681,4293r81,l6762,4274xm6781,4274r-19,l6762,4293r19,l6781,4274xm6810,4274r-19,l6781,4274r,19l6791,4293r19,l6810,4274xm7723,4274r-82,l7621,4274r-729,l6873,4274r-63,l6810,4293r63,l6892,4293r729,l7641,4293r82,l7723,4274xm7742,4274r-19,l7723,4293r19,l7742,4274xm7752,4274r-10,l7742,4293r10,l7752,4274xm7771,4274r-19,l7752,4293r19,l7771,4274xm7771,2498r-19,l7752,4274r19,l7771,2498xe" fillcolor="#4aacc5" stroked="f">
              <v:stroke joinstyle="round"/>
              <v:formulas/>
              <v:path arrowok="t" o:connecttype="segments"/>
            </v:shape>
            <w10:wrap anchorx="page"/>
          </v:group>
        </w:pict>
      </w:r>
      <w:r>
        <w:t>A rigorous index that determines whether a firm has enough short-term assets to deduct immediate liabilities without sales. The acid-test ratio is much more stringent than the working capital ratio, mainly because the working capital ratio allows for the inclusion of inventory assets. It is published: Acid Test Ratio :( Cash, Short-term Investments &amp; Receivable / Current Liabilities)</w:t>
      </w:r>
    </w:p>
    <w:p w:rsidR="00B801AF" w:rsidRDefault="00B801AF">
      <w:pPr>
        <w:pStyle w:val="BodyText"/>
        <w:rPr>
          <w:sz w:val="20"/>
        </w:rPr>
      </w:pPr>
    </w:p>
    <w:p w:rsidR="00B801AF" w:rsidRDefault="00B801AF">
      <w:pPr>
        <w:pStyle w:val="BodyText"/>
        <w:spacing w:before="6"/>
        <w:rPr>
          <w:sz w:val="17"/>
        </w:rPr>
      </w:pPr>
    </w:p>
    <w:tbl>
      <w:tblPr>
        <w:tblW w:w="0" w:type="auto"/>
        <w:tblInd w:w="207" w:type="dxa"/>
        <w:tblLayout w:type="fixed"/>
        <w:tblCellMar>
          <w:left w:w="0" w:type="dxa"/>
          <w:right w:w="0" w:type="dxa"/>
        </w:tblCellMar>
        <w:tblLook w:val="01E0" w:firstRow="1" w:lastRow="1" w:firstColumn="1" w:lastColumn="1" w:noHBand="0" w:noVBand="0"/>
      </w:tblPr>
      <w:tblGrid>
        <w:gridCol w:w="5560"/>
        <w:gridCol w:w="72"/>
        <w:gridCol w:w="3813"/>
      </w:tblGrid>
      <w:tr w:rsidR="00B801AF">
        <w:trPr>
          <w:trHeight w:val="467"/>
        </w:trPr>
        <w:tc>
          <w:tcPr>
            <w:tcW w:w="5560" w:type="dxa"/>
            <w:tcBorders>
              <w:top w:val="single" w:sz="8" w:space="0" w:color="4AACC5"/>
            </w:tcBorders>
          </w:tcPr>
          <w:p w:rsidR="00B801AF" w:rsidRDefault="00602675">
            <w:pPr>
              <w:pStyle w:val="TableParagraph"/>
              <w:spacing w:before="13"/>
              <w:ind w:right="2013"/>
              <w:jc w:val="right"/>
              <w:rPr>
                <w:b/>
                <w:sz w:val="24"/>
              </w:rPr>
            </w:pPr>
            <w:r>
              <w:rPr>
                <w:b/>
                <w:sz w:val="24"/>
              </w:rPr>
              <w:t>Year</w:t>
            </w:r>
          </w:p>
        </w:tc>
        <w:tc>
          <w:tcPr>
            <w:tcW w:w="72" w:type="dxa"/>
            <w:tcBorders>
              <w:top w:val="single" w:sz="8" w:space="0" w:color="4AACC5"/>
            </w:tcBorders>
          </w:tcPr>
          <w:p w:rsidR="00B801AF" w:rsidRDefault="00B801AF">
            <w:pPr>
              <w:pStyle w:val="TableParagraph"/>
            </w:pPr>
          </w:p>
        </w:tc>
        <w:tc>
          <w:tcPr>
            <w:tcW w:w="3813" w:type="dxa"/>
            <w:tcBorders>
              <w:top w:val="single" w:sz="8" w:space="0" w:color="4AACC5"/>
            </w:tcBorders>
          </w:tcPr>
          <w:p w:rsidR="00B801AF" w:rsidRDefault="00602675">
            <w:pPr>
              <w:pStyle w:val="TableParagraph"/>
              <w:spacing w:before="13"/>
              <w:ind w:left="9"/>
              <w:rPr>
                <w:b/>
                <w:sz w:val="24"/>
              </w:rPr>
            </w:pPr>
            <w:r>
              <w:rPr>
                <w:b/>
                <w:sz w:val="24"/>
              </w:rPr>
              <w:t>Ratio</w:t>
            </w:r>
          </w:p>
        </w:tc>
      </w:tr>
      <w:tr w:rsidR="00B801AF">
        <w:trPr>
          <w:trHeight w:val="432"/>
        </w:trPr>
        <w:tc>
          <w:tcPr>
            <w:tcW w:w="5560" w:type="dxa"/>
          </w:tcPr>
          <w:p w:rsidR="00B801AF" w:rsidRDefault="00602675">
            <w:pPr>
              <w:pStyle w:val="TableParagraph"/>
              <w:spacing w:before="6"/>
              <w:ind w:right="2038"/>
              <w:jc w:val="right"/>
              <w:rPr>
                <w:b/>
                <w:sz w:val="24"/>
              </w:rPr>
            </w:pPr>
            <w:r>
              <w:rPr>
                <w:b/>
                <w:color w:val="001F5F"/>
                <w:sz w:val="24"/>
              </w:rPr>
              <w:t>2017</w:t>
            </w:r>
          </w:p>
        </w:tc>
        <w:tc>
          <w:tcPr>
            <w:tcW w:w="72" w:type="dxa"/>
          </w:tcPr>
          <w:p w:rsidR="00B801AF" w:rsidRDefault="00B801AF">
            <w:pPr>
              <w:pStyle w:val="TableParagraph"/>
            </w:pPr>
          </w:p>
        </w:tc>
        <w:tc>
          <w:tcPr>
            <w:tcW w:w="3813" w:type="dxa"/>
          </w:tcPr>
          <w:p w:rsidR="00B801AF" w:rsidRDefault="00602675">
            <w:pPr>
              <w:pStyle w:val="TableParagraph"/>
              <w:spacing w:before="6"/>
              <w:ind w:left="9"/>
              <w:rPr>
                <w:sz w:val="24"/>
              </w:rPr>
            </w:pPr>
            <w:r>
              <w:rPr>
                <w:sz w:val="24"/>
              </w:rPr>
              <w:t>0.34 :1</w:t>
            </w:r>
          </w:p>
        </w:tc>
      </w:tr>
      <w:tr w:rsidR="00B801AF">
        <w:trPr>
          <w:trHeight w:val="456"/>
        </w:trPr>
        <w:tc>
          <w:tcPr>
            <w:tcW w:w="5560" w:type="dxa"/>
          </w:tcPr>
          <w:p w:rsidR="00B801AF" w:rsidRDefault="00602675">
            <w:pPr>
              <w:pStyle w:val="TableParagraph"/>
              <w:spacing w:before="1"/>
              <w:ind w:right="2038"/>
              <w:jc w:val="right"/>
              <w:rPr>
                <w:b/>
                <w:sz w:val="24"/>
              </w:rPr>
            </w:pPr>
            <w:r>
              <w:rPr>
                <w:b/>
                <w:color w:val="001F5F"/>
                <w:sz w:val="24"/>
              </w:rPr>
              <w:t>2016</w:t>
            </w:r>
          </w:p>
        </w:tc>
        <w:tc>
          <w:tcPr>
            <w:tcW w:w="72" w:type="dxa"/>
          </w:tcPr>
          <w:p w:rsidR="00B801AF" w:rsidRDefault="00B801AF">
            <w:pPr>
              <w:pStyle w:val="TableParagraph"/>
            </w:pPr>
          </w:p>
        </w:tc>
        <w:tc>
          <w:tcPr>
            <w:tcW w:w="3813" w:type="dxa"/>
          </w:tcPr>
          <w:p w:rsidR="00B801AF" w:rsidRDefault="00602675">
            <w:pPr>
              <w:pStyle w:val="TableParagraph"/>
              <w:spacing w:before="1"/>
              <w:ind w:left="7"/>
              <w:rPr>
                <w:sz w:val="24"/>
              </w:rPr>
            </w:pPr>
            <w:r>
              <w:rPr>
                <w:sz w:val="24"/>
              </w:rPr>
              <w:t>0.36 :1</w:t>
            </w:r>
          </w:p>
        </w:tc>
      </w:tr>
      <w:tr w:rsidR="00B801AF">
        <w:trPr>
          <w:trHeight w:val="410"/>
        </w:trPr>
        <w:tc>
          <w:tcPr>
            <w:tcW w:w="5560" w:type="dxa"/>
          </w:tcPr>
          <w:p w:rsidR="00B801AF" w:rsidRDefault="00602675">
            <w:pPr>
              <w:pStyle w:val="TableParagraph"/>
              <w:spacing w:line="266" w:lineRule="exact"/>
              <w:ind w:right="2038"/>
              <w:jc w:val="right"/>
              <w:rPr>
                <w:b/>
                <w:sz w:val="24"/>
              </w:rPr>
            </w:pPr>
            <w:r>
              <w:rPr>
                <w:b/>
                <w:color w:val="001F5F"/>
                <w:sz w:val="24"/>
              </w:rPr>
              <w:t>2015</w:t>
            </w:r>
          </w:p>
        </w:tc>
        <w:tc>
          <w:tcPr>
            <w:tcW w:w="72" w:type="dxa"/>
          </w:tcPr>
          <w:p w:rsidR="00B801AF" w:rsidRDefault="00B801AF">
            <w:pPr>
              <w:pStyle w:val="TableParagraph"/>
            </w:pPr>
          </w:p>
        </w:tc>
        <w:tc>
          <w:tcPr>
            <w:tcW w:w="3813" w:type="dxa"/>
          </w:tcPr>
          <w:p w:rsidR="00B801AF" w:rsidRDefault="00602675">
            <w:pPr>
              <w:pStyle w:val="TableParagraph"/>
              <w:spacing w:line="266" w:lineRule="exact"/>
              <w:ind w:left="9"/>
              <w:rPr>
                <w:sz w:val="24"/>
              </w:rPr>
            </w:pPr>
            <w:r>
              <w:rPr>
                <w:sz w:val="24"/>
              </w:rPr>
              <w:t>0.35 :1</w:t>
            </w:r>
          </w:p>
        </w:tc>
      </w:tr>
      <w:tr w:rsidR="00B801AF">
        <w:trPr>
          <w:trHeight w:val="789"/>
        </w:trPr>
        <w:tc>
          <w:tcPr>
            <w:tcW w:w="5560" w:type="dxa"/>
          </w:tcPr>
          <w:p w:rsidR="00B801AF" w:rsidRDefault="00B801AF">
            <w:pPr>
              <w:pStyle w:val="TableParagraph"/>
              <w:spacing w:line="245" w:lineRule="exact"/>
              <w:ind w:left="200"/>
              <w:rPr>
                <w:rFonts w:ascii="Carlito" w:hAnsi="Carlito"/>
                <w:i/>
              </w:rPr>
            </w:pPr>
          </w:p>
        </w:tc>
        <w:tc>
          <w:tcPr>
            <w:tcW w:w="72" w:type="dxa"/>
          </w:tcPr>
          <w:p w:rsidR="00B801AF" w:rsidRDefault="00B801AF">
            <w:pPr>
              <w:pStyle w:val="TableParagraph"/>
            </w:pPr>
          </w:p>
        </w:tc>
        <w:tc>
          <w:tcPr>
            <w:tcW w:w="3813" w:type="dxa"/>
          </w:tcPr>
          <w:p w:rsidR="00B801AF" w:rsidRDefault="00B801AF">
            <w:pPr>
              <w:pStyle w:val="TableParagraph"/>
              <w:spacing w:line="245" w:lineRule="exact"/>
              <w:ind w:right="197"/>
              <w:jc w:val="right"/>
              <w:rPr>
                <w:rFonts w:ascii="Carlito"/>
              </w:rPr>
            </w:pPr>
          </w:p>
        </w:tc>
      </w:tr>
    </w:tbl>
    <w:p w:rsidR="00B801AF" w:rsidRDefault="00B801AF">
      <w:pPr>
        <w:spacing w:line="245" w:lineRule="exact"/>
        <w:jc w:val="right"/>
        <w:rPr>
          <w:rFonts w:ascii="Carlito"/>
        </w:rPr>
        <w:sectPr w:rsidR="00B801AF" w:rsidSect="00B61B31">
          <w:footerReference w:type="default" r:id="rId17"/>
          <w:pgSz w:w="11900" w:h="16840"/>
          <w:pgMar w:top="1580" w:right="1100" w:bottom="280" w:left="1040" w:header="720" w:footer="720" w:gutter="0"/>
          <w:cols w:space="720"/>
          <w:docGrid w:linePitch="299"/>
        </w:sectPr>
      </w:pPr>
    </w:p>
    <w:tbl>
      <w:tblPr>
        <w:tblW w:w="0" w:type="auto"/>
        <w:tblInd w:w="3152"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2619"/>
        <w:gridCol w:w="942"/>
      </w:tblGrid>
      <w:tr w:rsidR="00B801AF">
        <w:trPr>
          <w:trHeight w:val="453"/>
        </w:trPr>
        <w:tc>
          <w:tcPr>
            <w:tcW w:w="2619" w:type="dxa"/>
          </w:tcPr>
          <w:p w:rsidR="00B801AF" w:rsidRDefault="00602675">
            <w:pPr>
              <w:pStyle w:val="TableParagraph"/>
              <w:spacing w:before="11"/>
              <w:ind w:left="220"/>
              <w:rPr>
                <w:b/>
                <w:sz w:val="24"/>
              </w:rPr>
            </w:pPr>
            <w:r>
              <w:rPr>
                <w:b/>
                <w:color w:val="001F5F"/>
                <w:sz w:val="24"/>
              </w:rPr>
              <w:lastRenderedPageBreak/>
              <w:t>2014</w:t>
            </w:r>
          </w:p>
        </w:tc>
        <w:tc>
          <w:tcPr>
            <w:tcW w:w="942" w:type="dxa"/>
          </w:tcPr>
          <w:p w:rsidR="00B801AF" w:rsidRDefault="00602675">
            <w:pPr>
              <w:pStyle w:val="TableParagraph"/>
              <w:spacing w:before="6"/>
              <w:ind w:left="143"/>
              <w:rPr>
                <w:sz w:val="24"/>
              </w:rPr>
            </w:pPr>
            <w:r>
              <w:rPr>
                <w:sz w:val="24"/>
              </w:rPr>
              <w:t>0.29 :1</w:t>
            </w:r>
          </w:p>
        </w:tc>
      </w:tr>
      <w:tr w:rsidR="00B801AF">
        <w:trPr>
          <w:trHeight w:val="390"/>
        </w:trPr>
        <w:tc>
          <w:tcPr>
            <w:tcW w:w="2619" w:type="dxa"/>
            <w:shd w:val="clear" w:color="auto" w:fill="D2EAF0"/>
          </w:tcPr>
          <w:p w:rsidR="00B801AF" w:rsidRDefault="00602675">
            <w:pPr>
              <w:pStyle w:val="TableParagraph"/>
              <w:spacing w:line="253" w:lineRule="exact"/>
              <w:ind w:left="241"/>
              <w:rPr>
                <w:b/>
                <w:sz w:val="24"/>
              </w:rPr>
            </w:pPr>
            <w:r>
              <w:rPr>
                <w:b/>
                <w:color w:val="001F5F"/>
                <w:sz w:val="24"/>
              </w:rPr>
              <w:t>2013</w:t>
            </w:r>
          </w:p>
        </w:tc>
        <w:tc>
          <w:tcPr>
            <w:tcW w:w="942" w:type="dxa"/>
            <w:shd w:val="clear" w:color="auto" w:fill="D2EAF0"/>
          </w:tcPr>
          <w:p w:rsidR="00B801AF" w:rsidRDefault="00602675">
            <w:pPr>
              <w:pStyle w:val="TableParagraph"/>
              <w:spacing w:line="253" w:lineRule="exact"/>
              <w:ind w:left="186"/>
              <w:rPr>
                <w:sz w:val="24"/>
              </w:rPr>
            </w:pPr>
            <w:r>
              <w:rPr>
                <w:sz w:val="24"/>
              </w:rPr>
              <w:t>0.33 :1</w:t>
            </w:r>
          </w:p>
        </w:tc>
      </w:tr>
    </w:tbl>
    <w:p w:rsidR="00B801AF" w:rsidRDefault="00B801AF">
      <w:pPr>
        <w:pStyle w:val="BodyText"/>
        <w:spacing w:before="6"/>
        <w:rPr>
          <w:sz w:val="16"/>
        </w:rPr>
      </w:pPr>
    </w:p>
    <w:p w:rsidR="00B801AF" w:rsidRDefault="00602675">
      <w:pPr>
        <w:pStyle w:val="Heading4"/>
        <w:spacing w:before="90"/>
        <w:ind w:left="543" w:right="482"/>
        <w:jc w:val="center"/>
      </w:pPr>
      <w:r>
        <w:rPr>
          <w:color w:val="30849B"/>
        </w:rPr>
        <w:t>Table: Acid Test Ratio of SEBL</w:t>
      </w:r>
    </w:p>
    <w:p w:rsidR="00B801AF" w:rsidRDefault="00B801AF">
      <w:pPr>
        <w:pStyle w:val="BodyText"/>
        <w:rPr>
          <w:b/>
          <w:sz w:val="20"/>
        </w:rPr>
      </w:pPr>
    </w:p>
    <w:p w:rsidR="00B801AF" w:rsidRDefault="00B801AF">
      <w:pPr>
        <w:pStyle w:val="BodyText"/>
        <w:rPr>
          <w:b/>
          <w:sz w:val="20"/>
        </w:rPr>
      </w:pPr>
    </w:p>
    <w:p w:rsidR="00B801AF" w:rsidRDefault="00B801AF">
      <w:pPr>
        <w:pStyle w:val="BodyText"/>
        <w:spacing w:before="4"/>
        <w:rPr>
          <w:b/>
          <w:sz w:val="28"/>
        </w:rPr>
      </w:pPr>
    </w:p>
    <w:p w:rsidR="00B801AF" w:rsidRDefault="00602675">
      <w:pPr>
        <w:spacing w:before="90"/>
        <w:ind w:left="400"/>
        <w:rPr>
          <w:b/>
          <w:sz w:val="24"/>
        </w:rPr>
      </w:pPr>
      <w:r>
        <w:rPr>
          <w:b/>
          <w:color w:val="00AF50"/>
          <w:sz w:val="24"/>
        </w:rPr>
        <w:t>Graphical Presentation</w:t>
      </w:r>
    </w:p>
    <w:p w:rsidR="00B801AF" w:rsidRDefault="00B801AF">
      <w:pPr>
        <w:pStyle w:val="BodyText"/>
        <w:rPr>
          <w:b/>
          <w:sz w:val="20"/>
        </w:rPr>
      </w:pPr>
    </w:p>
    <w:p w:rsidR="00B801AF" w:rsidRDefault="00B801AF">
      <w:pPr>
        <w:pStyle w:val="BodyText"/>
        <w:rPr>
          <w:b/>
          <w:sz w:val="20"/>
        </w:rPr>
      </w:pPr>
    </w:p>
    <w:p w:rsidR="00B801AF" w:rsidRDefault="00602675">
      <w:pPr>
        <w:pStyle w:val="BodyText"/>
        <w:spacing w:before="2"/>
        <w:rPr>
          <w:b/>
          <w:sz w:val="11"/>
        </w:rPr>
      </w:pPr>
      <w:r>
        <w:rPr>
          <w:noProof/>
        </w:rPr>
        <w:drawing>
          <wp:anchor distT="0" distB="0" distL="0" distR="0" simplePos="0" relativeHeight="7" behindDoc="0" locked="0" layoutInCell="1" allowOverlap="1">
            <wp:simplePos x="0" y="0"/>
            <wp:positionH relativeFrom="page">
              <wp:posOffset>1384300</wp:posOffset>
            </wp:positionH>
            <wp:positionV relativeFrom="paragraph">
              <wp:posOffset>106913</wp:posOffset>
            </wp:positionV>
            <wp:extent cx="4572000" cy="274320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8" cstate="print"/>
                    <a:stretch>
                      <a:fillRect/>
                    </a:stretch>
                  </pic:blipFill>
                  <pic:spPr>
                    <a:xfrm>
                      <a:off x="0" y="0"/>
                      <a:ext cx="4572000" cy="2743200"/>
                    </a:xfrm>
                    <a:prstGeom prst="rect">
                      <a:avLst/>
                    </a:prstGeom>
                  </pic:spPr>
                </pic:pic>
              </a:graphicData>
            </a:graphic>
          </wp:anchor>
        </w:drawing>
      </w:r>
    </w:p>
    <w:p w:rsidR="00B801AF" w:rsidRDefault="00B801AF">
      <w:pPr>
        <w:pStyle w:val="BodyText"/>
        <w:spacing w:before="4"/>
        <w:rPr>
          <w:b/>
          <w:sz w:val="18"/>
        </w:rPr>
      </w:pPr>
    </w:p>
    <w:p w:rsidR="00B801AF" w:rsidRDefault="00602675">
      <w:pPr>
        <w:spacing w:before="90"/>
        <w:ind w:left="561" w:right="339"/>
        <w:jc w:val="center"/>
        <w:rPr>
          <w:b/>
          <w:sz w:val="24"/>
        </w:rPr>
      </w:pPr>
      <w:r>
        <w:rPr>
          <w:b/>
          <w:color w:val="365F91"/>
          <w:sz w:val="24"/>
        </w:rPr>
        <w:t>Figure: Acid Test Ratio of SEBL</w:t>
      </w:r>
    </w:p>
    <w:p w:rsidR="00B801AF" w:rsidRDefault="00B801AF">
      <w:pPr>
        <w:pStyle w:val="BodyText"/>
        <w:rPr>
          <w:b/>
          <w:sz w:val="26"/>
        </w:rPr>
      </w:pPr>
    </w:p>
    <w:p w:rsidR="00B801AF" w:rsidRDefault="00B801AF">
      <w:pPr>
        <w:pStyle w:val="BodyText"/>
        <w:spacing w:before="6"/>
        <w:rPr>
          <w:b/>
        </w:rPr>
      </w:pPr>
    </w:p>
    <w:p w:rsidR="00B801AF" w:rsidRDefault="00602675">
      <w:pPr>
        <w:ind w:left="400"/>
        <w:rPr>
          <w:b/>
          <w:sz w:val="24"/>
        </w:rPr>
      </w:pPr>
      <w:r>
        <w:rPr>
          <w:b/>
          <w:color w:val="00AF50"/>
          <w:sz w:val="24"/>
        </w:rPr>
        <w:t>Interpretation:</w:t>
      </w:r>
    </w:p>
    <w:p w:rsidR="00B801AF" w:rsidRDefault="00602675">
      <w:pPr>
        <w:pStyle w:val="BodyText"/>
        <w:spacing w:before="158" w:line="357" w:lineRule="auto"/>
        <w:ind w:left="419" w:right="1922" w:hanging="10"/>
      </w:pPr>
      <w:r>
        <w:t xml:space="preserve">Companies with a ratio of less than 1 cannot pay their current liabilities, and they should be viewed with ultimate caution. </w:t>
      </w:r>
      <w:r>
        <w:rPr>
          <w:spacing w:val="-3"/>
        </w:rPr>
        <w:t xml:space="preserve">In </w:t>
      </w:r>
      <w:r>
        <w:t>addition, if the acid-test ratio is much lower than the working-capital ratio, it means that the current ratio is the standard ratio 1: 1, highly dependent on inventory. However, the ratio of SEBL to acid test is weaker than quality. To improve this ratio, TBL needs to increase cash, short-term investments and receivables, and reduce current</w:t>
      </w:r>
      <w:r>
        <w:rPr>
          <w:spacing w:val="-1"/>
        </w:rPr>
        <w:t xml:space="preserve"> </w:t>
      </w:r>
      <w:r>
        <w:t>liabilities.</w:t>
      </w:r>
    </w:p>
    <w:p w:rsidR="00B801AF" w:rsidRDefault="00B801AF">
      <w:pPr>
        <w:pStyle w:val="BodyText"/>
        <w:rPr>
          <w:sz w:val="26"/>
        </w:rPr>
      </w:pPr>
    </w:p>
    <w:p w:rsidR="00B801AF" w:rsidRDefault="00602675">
      <w:pPr>
        <w:pStyle w:val="Heading4"/>
        <w:numPr>
          <w:ilvl w:val="2"/>
          <w:numId w:val="2"/>
        </w:numPr>
        <w:tabs>
          <w:tab w:val="left" w:pos="941"/>
        </w:tabs>
        <w:spacing w:before="157"/>
        <w:ind w:hanging="541"/>
        <w:jc w:val="both"/>
      </w:pPr>
      <w:r>
        <w:t>Activity</w:t>
      </w:r>
      <w:r>
        <w:rPr>
          <w:spacing w:val="-1"/>
        </w:rPr>
        <w:t xml:space="preserve"> </w:t>
      </w:r>
      <w:r>
        <w:t>Ratio:</w:t>
      </w:r>
    </w:p>
    <w:p w:rsidR="00B801AF" w:rsidRDefault="00602675">
      <w:pPr>
        <w:pStyle w:val="BodyText"/>
        <w:spacing w:before="106" w:line="254" w:lineRule="auto"/>
        <w:ind w:left="400" w:right="859"/>
        <w:jc w:val="both"/>
      </w:pPr>
      <w:r>
        <w:t>Companies with a ratio of less than 1 cannot pay their current liabilities, and they</w:t>
      </w:r>
      <w:r>
        <w:rPr>
          <w:spacing w:val="-19"/>
        </w:rPr>
        <w:t xml:space="preserve"> </w:t>
      </w:r>
      <w:r>
        <w:t xml:space="preserve">should be viewed with ultimate caution. In addition, if the acid-test ratio is much lower than the </w:t>
      </w:r>
      <w:r>
        <w:lastRenderedPageBreak/>
        <w:t>working-capital ratio, it means that the current ratio is</w:t>
      </w:r>
      <w:bookmarkStart w:id="0" w:name="_GoBack"/>
      <w:bookmarkEnd w:id="0"/>
      <w:r>
        <w:t xml:space="preserve"> the standard ratio 1: 1,</w:t>
      </w:r>
      <w:r>
        <w:rPr>
          <w:spacing w:val="-9"/>
        </w:rPr>
        <w:t xml:space="preserve"> </w:t>
      </w:r>
      <w:r>
        <w:t>highly</w:t>
      </w:r>
    </w:p>
    <w:p w:rsidR="00B801AF" w:rsidRDefault="00B801AF">
      <w:pPr>
        <w:spacing w:line="254" w:lineRule="auto"/>
        <w:jc w:val="both"/>
        <w:sectPr w:rsidR="00B801AF" w:rsidSect="00B61B31">
          <w:footerReference w:type="default" r:id="rId19"/>
          <w:pgSz w:w="11900" w:h="16840"/>
          <w:pgMar w:top="1400" w:right="1100" w:bottom="1200" w:left="1040" w:header="720" w:footer="1007" w:gutter="0"/>
          <w:pgNumType w:start="15"/>
          <w:cols w:space="720"/>
          <w:docGrid w:linePitch="299"/>
        </w:sectPr>
      </w:pPr>
    </w:p>
    <w:p w:rsidR="00B801AF" w:rsidRDefault="00602675">
      <w:pPr>
        <w:pStyle w:val="BodyText"/>
        <w:spacing w:before="66" w:line="252" w:lineRule="auto"/>
        <w:ind w:left="400" w:right="402"/>
      </w:pPr>
      <w:r>
        <w:lastRenderedPageBreak/>
        <w:t>dependent on inventory. However, the ratio of SEBL to acid test is weaker than quality. To improve this ratio, SEBL needs to increase cash, short-term investments and receivables, and reduce current liabilities.</w:t>
      </w:r>
    </w:p>
    <w:p w:rsidR="00B801AF" w:rsidRDefault="00602675">
      <w:pPr>
        <w:pStyle w:val="Heading4"/>
        <w:numPr>
          <w:ilvl w:val="3"/>
          <w:numId w:val="2"/>
        </w:numPr>
        <w:tabs>
          <w:tab w:val="left" w:pos="1121"/>
        </w:tabs>
        <w:spacing w:before="172"/>
        <w:ind w:hanging="721"/>
        <w:rPr>
          <w:color w:val="2D75B5"/>
        </w:rPr>
      </w:pPr>
      <w:r>
        <w:rPr>
          <w:color w:val="2D75B5"/>
        </w:rPr>
        <w:t>Operating Expenses to Revenue</w:t>
      </w:r>
      <w:r>
        <w:rPr>
          <w:color w:val="2D75B5"/>
          <w:spacing w:val="-2"/>
        </w:rPr>
        <w:t xml:space="preserve"> </w:t>
      </w:r>
      <w:r>
        <w:rPr>
          <w:color w:val="2D75B5"/>
        </w:rPr>
        <w:t>(OER):</w:t>
      </w:r>
    </w:p>
    <w:p w:rsidR="00B801AF" w:rsidRDefault="00602675">
      <w:pPr>
        <w:spacing w:before="7" w:line="271" w:lineRule="auto"/>
        <w:ind w:left="400" w:right="1053"/>
        <w:rPr>
          <w:sz w:val="23"/>
        </w:rPr>
      </w:pPr>
      <w:r>
        <w:rPr>
          <w:sz w:val="23"/>
        </w:rPr>
        <w:t>A ratio that compares cost to net sales in comparison is the ability to show a company's management skills. Count as: Operating Expenses to Revenue =Total Operating Expenses</w:t>
      </w:r>
    </w:p>
    <w:p w:rsidR="00B801AF" w:rsidRDefault="00602675">
      <w:pPr>
        <w:pStyle w:val="Heading4"/>
        <w:spacing w:before="156"/>
      </w:pPr>
      <w:r>
        <w:t>Expenses/ Operating Income (revenue)</w:t>
      </w:r>
    </w:p>
    <w:p w:rsidR="00B801AF" w:rsidRDefault="00B801AF">
      <w:pPr>
        <w:pStyle w:val="BodyText"/>
        <w:spacing w:before="3"/>
        <w:rPr>
          <w:b/>
          <w:sz w:val="28"/>
        </w:rPr>
      </w:pPr>
    </w:p>
    <w:tbl>
      <w:tblPr>
        <w:tblW w:w="0" w:type="auto"/>
        <w:tblInd w:w="3152"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980"/>
        <w:gridCol w:w="93"/>
        <w:gridCol w:w="1505"/>
      </w:tblGrid>
      <w:tr w:rsidR="00B801AF">
        <w:trPr>
          <w:trHeight w:val="481"/>
        </w:trPr>
        <w:tc>
          <w:tcPr>
            <w:tcW w:w="1980" w:type="dxa"/>
          </w:tcPr>
          <w:p w:rsidR="00B801AF" w:rsidRDefault="00602675">
            <w:pPr>
              <w:pStyle w:val="TableParagraph"/>
              <w:spacing w:before="10"/>
              <w:ind w:left="119"/>
              <w:rPr>
                <w:b/>
                <w:sz w:val="24"/>
              </w:rPr>
            </w:pPr>
            <w:r>
              <w:rPr>
                <w:b/>
                <w:sz w:val="24"/>
              </w:rPr>
              <w:t>Year</w:t>
            </w:r>
          </w:p>
        </w:tc>
        <w:tc>
          <w:tcPr>
            <w:tcW w:w="1598" w:type="dxa"/>
            <w:gridSpan w:val="2"/>
          </w:tcPr>
          <w:p w:rsidR="00B801AF" w:rsidRDefault="00602675">
            <w:pPr>
              <w:pStyle w:val="TableParagraph"/>
              <w:spacing w:before="10"/>
              <w:ind w:left="98"/>
              <w:rPr>
                <w:b/>
                <w:sz w:val="24"/>
              </w:rPr>
            </w:pPr>
            <w:r>
              <w:rPr>
                <w:b/>
                <w:sz w:val="24"/>
              </w:rPr>
              <w:t>Ratio</w:t>
            </w:r>
          </w:p>
        </w:tc>
      </w:tr>
      <w:tr w:rsidR="00B801AF">
        <w:trPr>
          <w:trHeight w:val="479"/>
        </w:trPr>
        <w:tc>
          <w:tcPr>
            <w:tcW w:w="1980" w:type="dxa"/>
            <w:shd w:val="clear" w:color="auto" w:fill="D2EAF0"/>
          </w:tcPr>
          <w:p w:rsidR="00B801AF" w:rsidRDefault="00602675">
            <w:pPr>
              <w:pStyle w:val="TableParagraph"/>
              <w:spacing w:line="272" w:lineRule="exact"/>
              <w:ind w:left="119"/>
              <w:rPr>
                <w:b/>
                <w:sz w:val="24"/>
              </w:rPr>
            </w:pPr>
            <w:r>
              <w:rPr>
                <w:b/>
                <w:color w:val="001F5F"/>
                <w:sz w:val="24"/>
              </w:rPr>
              <w:t>2017</w:t>
            </w:r>
          </w:p>
        </w:tc>
        <w:tc>
          <w:tcPr>
            <w:tcW w:w="93" w:type="dxa"/>
            <w:tcBorders>
              <w:right w:val="nil"/>
            </w:tcBorders>
            <w:shd w:val="clear" w:color="auto" w:fill="D2EAF0"/>
          </w:tcPr>
          <w:p w:rsidR="00B801AF" w:rsidRDefault="00B801AF">
            <w:pPr>
              <w:pStyle w:val="TableParagraph"/>
            </w:pPr>
          </w:p>
        </w:tc>
        <w:tc>
          <w:tcPr>
            <w:tcW w:w="1505" w:type="dxa"/>
            <w:tcBorders>
              <w:left w:val="nil"/>
            </w:tcBorders>
            <w:shd w:val="clear" w:color="auto" w:fill="D2EAF0"/>
          </w:tcPr>
          <w:p w:rsidR="00B801AF" w:rsidRDefault="00602675">
            <w:pPr>
              <w:pStyle w:val="TableParagraph"/>
              <w:spacing w:line="272" w:lineRule="exact"/>
              <w:ind w:left="15"/>
              <w:rPr>
                <w:sz w:val="24"/>
              </w:rPr>
            </w:pPr>
            <w:r>
              <w:rPr>
                <w:sz w:val="24"/>
              </w:rPr>
              <w:t>57.16%</w:t>
            </w:r>
          </w:p>
        </w:tc>
      </w:tr>
      <w:tr w:rsidR="00B801AF">
        <w:trPr>
          <w:trHeight w:val="481"/>
        </w:trPr>
        <w:tc>
          <w:tcPr>
            <w:tcW w:w="1980" w:type="dxa"/>
          </w:tcPr>
          <w:p w:rsidR="00B801AF" w:rsidRDefault="00602675">
            <w:pPr>
              <w:pStyle w:val="TableParagraph"/>
              <w:spacing w:line="268" w:lineRule="exact"/>
              <w:ind w:left="129"/>
              <w:rPr>
                <w:b/>
                <w:sz w:val="24"/>
              </w:rPr>
            </w:pPr>
            <w:r>
              <w:rPr>
                <w:b/>
                <w:color w:val="001F5F"/>
                <w:sz w:val="24"/>
              </w:rPr>
              <w:t>2016</w:t>
            </w:r>
          </w:p>
        </w:tc>
        <w:tc>
          <w:tcPr>
            <w:tcW w:w="93" w:type="dxa"/>
            <w:tcBorders>
              <w:right w:val="nil"/>
            </w:tcBorders>
          </w:tcPr>
          <w:p w:rsidR="00B801AF" w:rsidRDefault="00B801AF">
            <w:pPr>
              <w:pStyle w:val="TableParagraph"/>
            </w:pPr>
          </w:p>
        </w:tc>
        <w:tc>
          <w:tcPr>
            <w:tcW w:w="1505" w:type="dxa"/>
            <w:tcBorders>
              <w:left w:val="nil"/>
            </w:tcBorders>
          </w:tcPr>
          <w:p w:rsidR="00B801AF" w:rsidRDefault="00602675">
            <w:pPr>
              <w:pStyle w:val="TableParagraph"/>
              <w:spacing w:line="268" w:lineRule="exact"/>
              <w:ind w:left="17"/>
              <w:rPr>
                <w:sz w:val="24"/>
              </w:rPr>
            </w:pPr>
            <w:r>
              <w:rPr>
                <w:sz w:val="24"/>
              </w:rPr>
              <w:t>62.94%</w:t>
            </w:r>
          </w:p>
        </w:tc>
      </w:tr>
      <w:tr w:rsidR="00B801AF">
        <w:trPr>
          <w:trHeight w:val="421"/>
        </w:trPr>
        <w:tc>
          <w:tcPr>
            <w:tcW w:w="1980" w:type="dxa"/>
            <w:shd w:val="clear" w:color="auto" w:fill="D2EAF0"/>
          </w:tcPr>
          <w:p w:rsidR="00B801AF" w:rsidRDefault="00602675">
            <w:pPr>
              <w:pStyle w:val="TableParagraph"/>
              <w:spacing w:line="253" w:lineRule="exact"/>
              <w:ind w:left="119"/>
              <w:rPr>
                <w:b/>
                <w:sz w:val="24"/>
              </w:rPr>
            </w:pPr>
            <w:r>
              <w:rPr>
                <w:b/>
                <w:color w:val="001F5F"/>
                <w:sz w:val="24"/>
              </w:rPr>
              <w:t>2015</w:t>
            </w:r>
          </w:p>
        </w:tc>
        <w:tc>
          <w:tcPr>
            <w:tcW w:w="93" w:type="dxa"/>
            <w:tcBorders>
              <w:right w:val="nil"/>
            </w:tcBorders>
            <w:shd w:val="clear" w:color="auto" w:fill="D2EAF0"/>
          </w:tcPr>
          <w:p w:rsidR="00B801AF" w:rsidRDefault="00B801AF">
            <w:pPr>
              <w:pStyle w:val="TableParagraph"/>
            </w:pPr>
          </w:p>
        </w:tc>
        <w:tc>
          <w:tcPr>
            <w:tcW w:w="1505" w:type="dxa"/>
            <w:tcBorders>
              <w:left w:val="nil"/>
            </w:tcBorders>
            <w:shd w:val="clear" w:color="auto" w:fill="D2EAF0"/>
          </w:tcPr>
          <w:p w:rsidR="00B801AF" w:rsidRDefault="00602675">
            <w:pPr>
              <w:pStyle w:val="TableParagraph"/>
              <w:spacing w:line="253" w:lineRule="exact"/>
              <w:ind w:left="15"/>
              <w:rPr>
                <w:sz w:val="24"/>
              </w:rPr>
            </w:pPr>
            <w:r>
              <w:rPr>
                <w:sz w:val="24"/>
              </w:rPr>
              <w:t>57.81%</w:t>
            </w:r>
          </w:p>
        </w:tc>
      </w:tr>
      <w:tr w:rsidR="00B801AF">
        <w:trPr>
          <w:trHeight w:val="457"/>
        </w:trPr>
        <w:tc>
          <w:tcPr>
            <w:tcW w:w="1980" w:type="dxa"/>
          </w:tcPr>
          <w:p w:rsidR="00B801AF" w:rsidRDefault="00602675">
            <w:pPr>
              <w:pStyle w:val="TableParagraph"/>
              <w:spacing w:line="263" w:lineRule="exact"/>
              <w:ind w:left="129"/>
              <w:rPr>
                <w:b/>
                <w:sz w:val="24"/>
              </w:rPr>
            </w:pPr>
            <w:r>
              <w:rPr>
                <w:b/>
                <w:color w:val="001F5F"/>
                <w:sz w:val="24"/>
              </w:rPr>
              <w:t>2014</w:t>
            </w:r>
          </w:p>
        </w:tc>
        <w:tc>
          <w:tcPr>
            <w:tcW w:w="1598" w:type="dxa"/>
            <w:gridSpan w:val="2"/>
          </w:tcPr>
          <w:p w:rsidR="00B801AF" w:rsidRDefault="00602675">
            <w:pPr>
              <w:pStyle w:val="TableParagraph"/>
              <w:spacing w:line="263" w:lineRule="exact"/>
              <w:ind w:left="100"/>
              <w:rPr>
                <w:sz w:val="24"/>
              </w:rPr>
            </w:pPr>
            <w:r>
              <w:rPr>
                <w:sz w:val="24"/>
              </w:rPr>
              <w:t>44.00%</w:t>
            </w:r>
          </w:p>
        </w:tc>
      </w:tr>
      <w:tr w:rsidR="00B801AF">
        <w:trPr>
          <w:trHeight w:val="416"/>
        </w:trPr>
        <w:tc>
          <w:tcPr>
            <w:tcW w:w="1980" w:type="dxa"/>
            <w:shd w:val="clear" w:color="auto" w:fill="D2EAF0"/>
          </w:tcPr>
          <w:p w:rsidR="00B801AF" w:rsidRDefault="00602675">
            <w:pPr>
              <w:pStyle w:val="TableParagraph"/>
              <w:spacing w:line="253" w:lineRule="exact"/>
              <w:ind w:left="119"/>
              <w:rPr>
                <w:b/>
                <w:sz w:val="24"/>
              </w:rPr>
            </w:pPr>
            <w:r>
              <w:rPr>
                <w:b/>
                <w:color w:val="001F5F"/>
                <w:sz w:val="24"/>
              </w:rPr>
              <w:t>2013</w:t>
            </w:r>
          </w:p>
        </w:tc>
        <w:tc>
          <w:tcPr>
            <w:tcW w:w="1598" w:type="dxa"/>
            <w:gridSpan w:val="2"/>
            <w:shd w:val="clear" w:color="auto" w:fill="D2EAF0"/>
          </w:tcPr>
          <w:p w:rsidR="00B801AF" w:rsidRDefault="00602675">
            <w:pPr>
              <w:pStyle w:val="TableParagraph"/>
              <w:spacing w:line="251" w:lineRule="exact"/>
              <w:ind w:left="98"/>
              <w:rPr>
                <w:sz w:val="24"/>
              </w:rPr>
            </w:pPr>
            <w:r>
              <w:rPr>
                <w:sz w:val="24"/>
              </w:rPr>
              <w:t>36.04%</w:t>
            </w:r>
          </w:p>
        </w:tc>
      </w:tr>
    </w:tbl>
    <w:p w:rsidR="00B801AF" w:rsidRDefault="00602675">
      <w:pPr>
        <w:spacing w:line="554" w:lineRule="auto"/>
        <w:ind w:left="400" w:right="5353"/>
        <w:rPr>
          <w:b/>
          <w:sz w:val="24"/>
        </w:rPr>
      </w:pPr>
      <w:r>
        <w:rPr>
          <w:b/>
          <w:color w:val="30849B"/>
          <w:sz w:val="24"/>
        </w:rPr>
        <w:t xml:space="preserve">Table: Operating Expenses to Revenue </w:t>
      </w:r>
      <w:r>
        <w:rPr>
          <w:b/>
          <w:color w:val="00AF50"/>
          <w:sz w:val="24"/>
        </w:rPr>
        <w:t>Graphical Presentation:</w:t>
      </w:r>
    </w:p>
    <w:p w:rsidR="00B801AF" w:rsidRDefault="00602675">
      <w:pPr>
        <w:pStyle w:val="BodyText"/>
        <w:rPr>
          <w:b/>
          <w:sz w:val="17"/>
        </w:rPr>
      </w:pPr>
      <w:r>
        <w:rPr>
          <w:noProof/>
        </w:rPr>
        <w:drawing>
          <wp:anchor distT="0" distB="0" distL="0" distR="0" simplePos="0" relativeHeight="8" behindDoc="0" locked="0" layoutInCell="1" allowOverlap="1">
            <wp:simplePos x="0" y="0"/>
            <wp:positionH relativeFrom="page">
              <wp:posOffset>1689100</wp:posOffset>
            </wp:positionH>
            <wp:positionV relativeFrom="paragraph">
              <wp:posOffset>149003</wp:posOffset>
            </wp:positionV>
            <wp:extent cx="4572000" cy="274320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0" cstate="print"/>
                    <a:stretch>
                      <a:fillRect/>
                    </a:stretch>
                  </pic:blipFill>
                  <pic:spPr>
                    <a:xfrm>
                      <a:off x="0" y="0"/>
                      <a:ext cx="4572000" cy="2743200"/>
                    </a:xfrm>
                    <a:prstGeom prst="rect">
                      <a:avLst/>
                    </a:prstGeom>
                  </pic:spPr>
                </pic:pic>
              </a:graphicData>
            </a:graphic>
          </wp:anchor>
        </w:drawing>
      </w:r>
    </w:p>
    <w:p w:rsidR="00B801AF" w:rsidRDefault="00B801AF">
      <w:pPr>
        <w:pStyle w:val="BodyText"/>
        <w:spacing w:before="10"/>
        <w:rPr>
          <w:b/>
          <w:sz w:val="25"/>
        </w:rPr>
      </w:pPr>
    </w:p>
    <w:p w:rsidR="00B801AF" w:rsidRDefault="00602675">
      <w:pPr>
        <w:spacing w:before="1"/>
        <w:ind w:left="400"/>
        <w:rPr>
          <w:b/>
          <w:sz w:val="24"/>
        </w:rPr>
      </w:pPr>
      <w:r>
        <w:rPr>
          <w:b/>
          <w:color w:val="30849B"/>
          <w:sz w:val="24"/>
        </w:rPr>
        <w:t xml:space="preserve">Figure: Operating Expenses to Revenue </w:t>
      </w:r>
      <w:r>
        <w:rPr>
          <w:b/>
          <w:color w:val="00AF50"/>
          <w:sz w:val="24"/>
        </w:rPr>
        <w:t>Interpretation:</w:t>
      </w:r>
    </w:p>
    <w:p w:rsidR="00B801AF" w:rsidRDefault="00602675">
      <w:pPr>
        <w:pStyle w:val="BodyText"/>
        <w:spacing w:before="192" w:line="357" w:lineRule="auto"/>
        <w:ind w:left="400" w:right="2348"/>
      </w:pPr>
      <w:r>
        <w:t xml:space="preserve">The survey knows that this ratio measures the operating efficiency of the bank by measuring the part if the total operating expenses and the ratio of operating income of the bank are high, the operating efficiency is low. </w:t>
      </w:r>
      <w:r>
        <w:lastRenderedPageBreak/>
        <w:t>SEBL's operating expenses are lower at 2013 but this is increasing later.</w:t>
      </w:r>
    </w:p>
    <w:p w:rsidR="00B801AF" w:rsidRDefault="00B801AF">
      <w:pPr>
        <w:spacing w:line="357" w:lineRule="auto"/>
        <w:sectPr w:rsidR="00B801AF">
          <w:pgSz w:w="11900" w:h="16840"/>
          <w:pgMar w:top="1360" w:right="1100" w:bottom="1220" w:left="1040" w:header="0" w:footer="1007" w:gutter="0"/>
          <w:cols w:space="720"/>
        </w:sectPr>
      </w:pPr>
    </w:p>
    <w:p w:rsidR="00B801AF" w:rsidRDefault="00602675">
      <w:pPr>
        <w:pStyle w:val="BodyText"/>
        <w:spacing w:before="63" w:line="352" w:lineRule="auto"/>
        <w:ind w:left="400" w:right="3101"/>
      </w:pPr>
      <w:r>
        <w:lastRenderedPageBreak/>
        <w:t>So it can be said that the operating efficiency of SEBL is not in a better position than in previous years that they are not in a good position to reduce their operating expenses.</w:t>
      </w:r>
    </w:p>
    <w:p w:rsidR="00B801AF" w:rsidRDefault="00602675">
      <w:pPr>
        <w:pStyle w:val="Heading4"/>
        <w:numPr>
          <w:ilvl w:val="3"/>
          <w:numId w:val="2"/>
        </w:numPr>
        <w:tabs>
          <w:tab w:val="left" w:pos="1121"/>
        </w:tabs>
        <w:spacing w:before="60"/>
        <w:ind w:hanging="721"/>
        <w:rPr>
          <w:color w:val="2D75B5"/>
        </w:rPr>
      </w:pPr>
      <w:r>
        <w:rPr>
          <w:color w:val="2D75B5"/>
        </w:rPr>
        <w:t>Total Asset Turnover</w:t>
      </w:r>
      <w:r>
        <w:rPr>
          <w:color w:val="2D75B5"/>
          <w:spacing w:val="-4"/>
        </w:rPr>
        <w:t xml:space="preserve"> </w:t>
      </w:r>
      <w:r>
        <w:rPr>
          <w:color w:val="2D75B5"/>
        </w:rPr>
        <w:t>Ratios:</w:t>
      </w:r>
    </w:p>
    <w:p w:rsidR="00B801AF" w:rsidRDefault="00602675">
      <w:pPr>
        <w:pStyle w:val="BodyText"/>
        <w:spacing w:before="10" w:line="345" w:lineRule="auto"/>
        <w:ind w:left="400" w:right="322"/>
      </w:pPr>
      <w:r>
        <w:t>The total asset turnover indicates the efficiency with which the firm is able to use all its assets to generate sales. Calculated as: Total Asset Turnover= Operating Income/Total Asset</w:t>
      </w:r>
    </w:p>
    <w:p w:rsidR="00B801AF" w:rsidRDefault="00B801AF">
      <w:pPr>
        <w:pStyle w:val="BodyText"/>
        <w:rPr>
          <w:sz w:val="15"/>
        </w:rPr>
      </w:pPr>
    </w:p>
    <w:tbl>
      <w:tblPr>
        <w:tblW w:w="0" w:type="auto"/>
        <w:tblInd w:w="3130"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2122"/>
        <w:gridCol w:w="94"/>
        <w:gridCol w:w="1386"/>
      </w:tblGrid>
      <w:tr w:rsidR="00B801AF">
        <w:trPr>
          <w:trHeight w:val="479"/>
        </w:trPr>
        <w:tc>
          <w:tcPr>
            <w:tcW w:w="2122" w:type="dxa"/>
          </w:tcPr>
          <w:p w:rsidR="00B801AF" w:rsidRDefault="00602675">
            <w:pPr>
              <w:pStyle w:val="TableParagraph"/>
              <w:spacing w:before="10"/>
              <w:ind w:left="131"/>
              <w:rPr>
                <w:b/>
                <w:sz w:val="24"/>
              </w:rPr>
            </w:pPr>
            <w:r>
              <w:rPr>
                <w:b/>
                <w:sz w:val="24"/>
              </w:rPr>
              <w:t>Year</w:t>
            </w:r>
          </w:p>
        </w:tc>
        <w:tc>
          <w:tcPr>
            <w:tcW w:w="1480" w:type="dxa"/>
            <w:gridSpan w:val="2"/>
          </w:tcPr>
          <w:p w:rsidR="00B801AF" w:rsidRDefault="00602675">
            <w:pPr>
              <w:pStyle w:val="TableParagraph"/>
              <w:spacing w:before="10"/>
              <w:ind w:left="97"/>
              <w:rPr>
                <w:b/>
                <w:sz w:val="24"/>
              </w:rPr>
            </w:pPr>
            <w:r>
              <w:rPr>
                <w:b/>
                <w:sz w:val="24"/>
              </w:rPr>
              <w:t>Ratio</w:t>
            </w:r>
          </w:p>
        </w:tc>
      </w:tr>
      <w:tr w:rsidR="00B801AF">
        <w:trPr>
          <w:trHeight w:val="465"/>
        </w:trPr>
        <w:tc>
          <w:tcPr>
            <w:tcW w:w="2122" w:type="dxa"/>
            <w:shd w:val="clear" w:color="auto" w:fill="D2EAF0"/>
          </w:tcPr>
          <w:p w:rsidR="00B801AF" w:rsidRDefault="00602675">
            <w:pPr>
              <w:pStyle w:val="TableParagraph"/>
              <w:spacing w:line="275" w:lineRule="exact"/>
              <w:ind w:left="119"/>
              <w:rPr>
                <w:b/>
                <w:sz w:val="24"/>
              </w:rPr>
            </w:pPr>
            <w:r>
              <w:rPr>
                <w:b/>
                <w:color w:val="001F5F"/>
                <w:sz w:val="24"/>
              </w:rPr>
              <w:t>2017</w:t>
            </w:r>
          </w:p>
        </w:tc>
        <w:tc>
          <w:tcPr>
            <w:tcW w:w="94" w:type="dxa"/>
            <w:tcBorders>
              <w:right w:val="nil"/>
            </w:tcBorders>
            <w:shd w:val="clear" w:color="auto" w:fill="D2EAF0"/>
          </w:tcPr>
          <w:p w:rsidR="00B801AF" w:rsidRDefault="00B801AF">
            <w:pPr>
              <w:pStyle w:val="TableParagraph"/>
            </w:pPr>
          </w:p>
        </w:tc>
        <w:tc>
          <w:tcPr>
            <w:tcW w:w="1386" w:type="dxa"/>
            <w:tcBorders>
              <w:left w:val="nil"/>
            </w:tcBorders>
            <w:shd w:val="clear" w:color="auto" w:fill="D2EAF0"/>
          </w:tcPr>
          <w:p w:rsidR="00B801AF" w:rsidRDefault="00602675">
            <w:pPr>
              <w:pStyle w:val="TableParagraph"/>
              <w:spacing w:line="272" w:lineRule="exact"/>
              <w:ind w:left="13"/>
              <w:rPr>
                <w:sz w:val="24"/>
              </w:rPr>
            </w:pPr>
            <w:r>
              <w:rPr>
                <w:sz w:val="24"/>
              </w:rPr>
              <w:t>4.23%</w:t>
            </w:r>
          </w:p>
        </w:tc>
      </w:tr>
      <w:tr w:rsidR="00B801AF">
        <w:trPr>
          <w:trHeight w:val="503"/>
        </w:trPr>
        <w:tc>
          <w:tcPr>
            <w:tcW w:w="2122" w:type="dxa"/>
          </w:tcPr>
          <w:p w:rsidR="00B801AF" w:rsidRDefault="00602675">
            <w:pPr>
              <w:pStyle w:val="TableParagraph"/>
              <w:spacing w:line="270" w:lineRule="exact"/>
              <w:ind w:left="131"/>
              <w:rPr>
                <w:b/>
                <w:sz w:val="24"/>
              </w:rPr>
            </w:pPr>
            <w:r>
              <w:rPr>
                <w:b/>
                <w:color w:val="001F5F"/>
                <w:sz w:val="24"/>
              </w:rPr>
              <w:t>2016</w:t>
            </w:r>
          </w:p>
        </w:tc>
        <w:tc>
          <w:tcPr>
            <w:tcW w:w="94" w:type="dxa"/>
            <w:tcBorders>
              <w:right w:val="nil"/>
            </w:tcBorders>
          </w:tcPr>
          <w:p w:rsidR="00B801AF" w:rsidRDefault="00B801AF">
            <w:pPr>
              <w:pStyle w:val="TableParagraph"/>
            </w:pPr>
          </w:p>
        </w:tc>
        <w:tc>
          <w:tcPr>
            <w:tcW w:w="1386" w:type="dxa"/>
            <w:tcBorders>
              <w:left w:val="nil"/>
            </w:tcBorders>
          </w:tcPr>
          <w:p w:rsidR="00B801AF" w:rsidRDefault="00602675">
            <w:pPr>
              <w:pStyle w:val="TableParagraph"/>
              <w:spacing w:line="270" w:lineRule="exact"/>
              <w:ind w:left="16"/>
              <w:rPr>
                <w:sz w:val="24"/>
              </w:rPr>
            </w:pPr>
            <w:r>
              <w:rPr>
                <w:sz w:val="24"/>
              </w:rPr>
              <w:t>3.48%</w:t>
            </w:r>
          </w:p>
        </w:tc>
      </w:tr>
      <w:tr w:rsidR="00B801AF">
        <w:trPr>
          <w:trHeight w:val="387"/>
        </w:trPr>
        <w:tc>
          <w:tcPr>
            <w:tcW w:w="2122" w:type="dxa"/>
            <w:shd w:val="clear" w:color="auto" w:fill="D2EAF0"/>
          </w:tcPr>
          <w:p w:rsidR="00B801AF" w:rsidRDefault="00602675">
            <w:pPr>
              <w:pStyle w:val="TableParagraph"/>
              <w:spacing w:line="248" w:lineRule="exact"/>
              <w:ind w:left="119"/>
              <w:rPr>
                <w:b/>
                <w:sz w:val="24"/>
              </w:rPr>
            </w:pPr>
            <w:r>
              <w:rPr>
                <w:b/>
                <w:color w:val="001F5F"/>
                <w:sz w:val="24"/>
              </w:rPr>
              <w:t>2015</w:t>
            </w:r>
          </w:p>
        </w:tc>
        <w:tc>
          <w:tcPr>
            <w:tcW w:w="94" w:type="dxa"/>
            <w:tcBorders>
              <w:right w:val="nil"/>
            </w:tcBorders>
            <w:shd w:val="clear" w:color="auto" w:fill="D2EAF0"/>
          </w:tcPr>
          <w:p w:rsidR="00B801AF" w:rsidRDefault="00B801AF">
            <w:pPr>
              <w:pStyle w:val="TableParagraph"/>
            </w:pPr>
          </w:p>
        </w:tc>
        <w:tc>
          <w:tcPr>
            <w:tcW w:w="1386" w:type="dxa"/>
            <w:tcBorders>
              <w:left w:val="nil"/>
            </w:tcBorders>
            <w:shd w:val="clear" w:color="auto" w:fill="D2EAF0"/>
          </w:tcPr>
          <w:p w:rsidR="00B801AF" w:rsidRDefault="00602675">
            <w:pPr>
              <w:pStyle w:val="TableParagraph"/>
              <w:spacing w:line="251" w:lineRule="exact"/>
              <w:ind w:left="13"/>
              <w:rPr>
                <w:sz w:val="24"/>
              </w:rPr>
            </w:pPr>
            <w:r>
              <w:rPr>
                <w:sz w:val="24"/>
              </w:rPr>
              <w:t>3.95%</w:t>
            </w:r>
          </w:p>
        </w:tc>
      </w:tr>
      <w:tr w:rsidR="00B801AF">
        <w:trPr>
          <w:trHeight w:val="460"/>
        </w:trPr>
        <w:tc>
          <w:tcPr>
            <w:tcW w:w="2122" w:type="dxa"/>
          </w:tcPr>
          <w:p w:rsidR="00B801AF" w:rsidRDefault="00602675">
            <w:pPr>
              <w:pStyle w:val="TableParagraph"/>
              <w:spacing w:line="275" w:lineRule="exact"/>
              <w:ind w:left="131"/>
              <w:rPr>
                <w:b/>
                <w:sz w:val="24"/>
              </w:rPr>
            </w:pPr>
            <w:r>
              <w:rPr>
                <w:b/>
                <w:color w:val="001F5F"/>
                <w:sz w:val="24"/>
              </w:rPr>
              <w:t>2014</w:t>
            </w:r>
          </w:p>
        </w:tc>
        <w:tc>
          <w:tcPr>
            <w:tcW w:w="1480" w:type="dxa"/>
            <w:gridSpan w:val="2"/>
          </w:tcPr>
          <w:p w:rsidR="00B801AF" w:rsidRDefault="00602675">
            <w:pPr>
              <w:pStyle w:val="TableParagraph"/>
              <w:spacing w:line="272" w:lineRule="exact"/>
              <w:ind w:left="100"/>
              <w:rPr>
                <w:sz w:val="24"/>
              </w:rPr>
            </w:pPr>
            <w:r>
              <w:rPr>
                <w:sz w:val="24"/>
              </w:rPr>
              <w:t>5.34%</w:t>
            </w:r>
          </w:p>
        </w:tc>
      </w:tr>
      <w:tr w:rsidR="00B801AF">
        <w:trPr>
          <w:trHeight w:val="438"/>
        </w:trPr>
        <w:tc>
          <w:tcPr>
            <w:tcW w:w="2122" w:type="dxa"/>
            <w:shd w:val="clear" w:color="auto" w:fill="D2EAF0"/>
          </w:tcPr>
          <w:p w:rsidR="00B801AF" w:rsidRDefault="00602675">
            <w:pPr>
              <w:pStyle w:val="TableParagraph"/>
              <w:spacing w:line="270" w:lineRule="exact"/>
              <w:ind w:left="119"/>
              <w:rPr>
                <w:b/>
                <w:sz w:val="24"/>
              </w:rPr>
            </w:pPr>
            <w:r>
              <w:rPr>
                <w:b/>
                <w:color w:val="001F5F"/>
                <w:sz w:val="24"/>
              </w:rPr>
              <w:t>2013</w:t>
            </w:r>
          </w:p>
        </w:tc>
        <w:tc>
          <w:tcPr>
            <w:tcW w:w="1480" w:type="dxa"/>
            <w:gridSpan w:val="2"/>
            <w:shd w:val="clear" w:color="auto" w:fill="D2EAF0"/>
          </w:tcPr>
          <w:p w:rsidR="00B801AF" w:rsidRDefault="00602675">
            <w:pPr>
              <w:pStyle w:val="TableParagraph"/>
              <w:spacing w:line="268" w:lineRule="exact"/>
              <w:ind w:left="97"/>
              <w:rPr>
                <w:sz w:val="24"/>
              </w:rPr>
            </w:pPr>
            <w:r>
              <w:rPr>
                <w:sz w:val="24"/>
              </w:rPr>
              <w:t>4.48%</w:t>
            </w:r>
          </w:p>
        </w:tc>
      </w:tr>
    </w:tbl>
    <w:p w:rsidR="00B801AF" w:rsidRDefault="00B801AF">
      <w:pPr>
        <w:pStyle w:val="BodyText"/>
        <w:spacing w:before="10"/>
        <w:rPr>
          <w:sz w:val="37"/>
        </w:rPr>
      </w:pPr>
    </w:p>
    <w:p w:rsidR="00B801AF" w:rsidRDefault="00602675">
      <w:pPr>
        <w:pStyle w:val="Heading4"/>
        <w:ind w:left="561" w:right="481"/>
        <w:jc w:val="center"/>
      </w:pPr>
      <w:r>
        <w:rPr>
          <w:color w:val="30849B"/>
        </w:rPr>
        <w:t>Table: Total Asset Turnover of SEBL</w:t>
      </w:r>
    </w:p>
    <w:p w:rsidR="00B801AF" w:rsidRDefault="00B801AF">
      <w:pPr>
        <w:pStyle w:val="BodyText"/>
        <w:rPr>
          <w:b/>
          <w:sz w:val="20"/>
        </w:rPr>
      </w:pPr>
    </w:p>
    <w:p w:rsidR="00B801AF" w:rsidRDefault="00602675">
      <w:pPr>
        <w:pStyle w:val="BodyText"/>
        <w:spacing w:before="3"/>
        <w:rPr>
          <w:b/>
          <w:sz w:val="28"/>
        </w:rPr>
      </w:pPr>
      <w:r>
        <w:rPr>
          <w:noProof/>
        </w:rPr>
        <w:drawing>
          <wp:anchor distT="0" distB="0" distL="0" distR="0" simplePos="0" relativeHeight="9" behindDoc="0" locked="0" layoutInCell="1" allowOverlap="1">
            <wp:simplePos x="0" y="0"/>
            <wp:positionH relativeFrom="page">
              <wp:posOffset>1496060</wp:posOffset>
            </wp:positionH>
            <wp:positionV relativeFrom="paragraph">
              <wp:posOffset>231380</wp:posOffset>
            </wp:positionV>
            <wp:extent cx="4571999" cy="2743200"/>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1" cstate="print"/>
                    <a:stretch>
                      <a:fillRect/>
                    </a:stretch>
                  </pic:blipFill>
                  <pic:spPr>
                    <a:xfrm>
                      <a:off x="0" y="0"/>
                      <a:ext cx="4571999" cy="2743200"/>
                    </a:xfrm>
                    <a:prstGeom prst="rect">
                      <a:avLst/>
                    </a:prstGeom>
                  </pic:spPr>
                </pic:pic>
              </a:graphicData>
            </a:graphic>
          </wp:anchor>
        </w:drawing>
      </w:r>
    </w:p>
    <w:p w:rsidR="00B801AF" w:rsidRDefault="00B801AF">
      <w:pPr>
        <w:pStyle w:val="BodyText"/>
        <w:spacing w:before="3"/>
        <w:rPr>
          <w:b/>
          <w:sz w:val="26"/>
        </w:rPr>
      </w:pPr>
    </w:p>
    <w:p w:rsidR="00B801AF" w:rsidRDefault="00602675">
      <w:pPr>
        <w:ind w:left="561" w:right="479"/>
        <w:jc w:val="center"/>
        <w:rPr>
          <w:b/>
          <w:sz w:val="24"/>
        </w:rPr>
      </w:pPr>
      <w:r>
        <w:rPr>
          <w:b/>
          <w:color w:val="30849B"/>
          <w:sz w:val="24"/>
        </w:rPr>
        <w:t>Figure: Total Asset Turnover of SEBL</w:t>
      </w:r>
    </w:p>
    <w:p w:rsidR="00B801AF" w:rsidRDefault="00B801AF">
      <w:pPr>
        <w:pStyle w:val="BodyText"/>
        <w:spacing w:before="8"/>
        <w:rPr>
          <w:b/>
          <w:sz w:val="31"/>
        </w:rPr>
      </w:pPr>
    </w:p>
    <w:p w:rsidR="00B801AF" w:rsidRDefault="00602675">
      <w:pPr>
        <w:ind w:left="400"/>
        <w:rPr>
          <w:b/>
          <w:sz w:val="24"/>
        </w:rPr>
      </w:pPr>
      <w:r>
        <w:rPr>
          <w:b/>
          <w:color w:val="00AF50"/>
          <w:sz w:val="24"/>
        </w:rPr>
        <w:t>Interpretation:</w:t>
      </w:r>
    </w:p>
    <w:p w:rsidR="00B801AF" w:rsidRDefault="00602675">
      <w:pPr>
        <w:pStyle w:val="BodyText"/>
        <w:spacing w:before="144" w:line="357" w:lineRule="auto"/>
        <w:ind w:left="400" w:right="336"/>
        <w:jc w:val="both"/>
        <w:rPr>
          <w:rFonts w:ascii="Carlito"/>
          <w:sz w:val="22"/>
        </w:rPr>
      </w:pPr>
      <w:r>
        <w:t xml:space="preserve">The turnover ratio of banks' total assets, which is 4.48 to 5.34 times in 2013-2014 years the more we know total asset turnover, the more efficient it is and 4 to 6 times the standard position but it depends on the industry. SEBL's total asset turnover ratio fluctuates from year </w:t>
      </w:r>
      <w:r>
        <w:lastRenderedPageBreak/>
        <w:t>to year, but rising at 2017, which is a good sign for the bank</w:t>
      </w:r>
      <w:r>
        <w:rPr>
          <w:rFonts w:ascii="Carlito"/>
          <w:sz w:val="22"/>
        </w:rPr>
        <w:t>.</w:t>
      </w:r>
    </w:p>
    <w:p w:rsidR="00B801AF" w:rsidRDefault="00B801AF">
      <w:pPr>
        <w:spacing w:line="357" w:lineRule="auto"/>
        <w:jc w:val="both"/>
        <w:rPr>
          <w:rFonts w:ascii="Carlito"/>
        </w:rPr>
        <w:sectPr w:rsidR="00B801AF">
          <w:pgSz w:w="11900" w:h="16840"/>
          <w:pgMar w:top="1360" w:right="1100" w:bottom="1220" w:left="1040" w:header="0" w:footer="1007" w:gutter="0"/>
          <w:cols w:space="720"/>
        </w:sectPr>
      </w:pPr>
    </w:p>
    <w:p w:rsidR="00B801AF" w:rsidRDefault="00602675">
      <w:pPr>
        <w:pStyle w:val="Heading4"/>
        <w:numPr>
          <w:ilvl w:val="3"/>
          <w:numId w:val="2"/>
        </w:numPr>
        <w:tabs>
          <w:tab w:val="left" w:pos="1121"/>
        </w:tabs>
        <w:spacing w:before="74"/>
        <w:ind w:hanging="721"/>
        <w:rPr>
          <w:color w:val="2D75B5"/>
        </w:rPr>
      </w:pPr>
      <w:r>
        <w:rPr>
          <w:color w:val="2D75B5"/>
        </w:rPr>
        <w:lastRenderedPageBreak/>
        <w:t>Operating Expenses to Assets</w:t>
      </w:r>
      <w:r>
        <w:rPr>
          <w:color w:val="2D75B5"/>
          <w:spacing w:val="-1"/>
        </w:rPr>
        <w:t xml:space="preserve"> </w:t>
      </w:r>
      <w:r>
        <w:rPr>
          <w:color w:val="2D75B5"/>
        </w:rPr>
        <w:t>Ratio:</w:t>
      </w:r>
    </w:p>
    <w:p w:rsidR="00B801AF" w:rsidRDefault="00602675">
      <w:pPr>
        <w:pStyle w:val="BodyText"/>
        <w:spacing w:before="7" w:line="254" w:lineRule="auto"/>
        <w:ind w:left="400" w:right="869"/>
      </w:pPr>
      <w:r>
        <w:t>The expense ratio for any asset fund is the total percentage of fund assets used for administrative, management, advertising and all other expenses. A ratio of 1% to annual expenditures means that the fund will be deducted 1% of total assets each year. Count as: Operating Expense to Assets (OEA) =Total operating Expenses/ Total Assets</w:t>
      </w:r>
    </w:p>
    <w:p w:rsidR="00B801AF" w:rsidRDefault="00B801AF">
      <w:pPr>
        <w:pStyle w:val="BodyText"/>
        <w:rPr>
          <w:sz w:val="20"/>
        </w:rPr>
      </w:pPr>
    </w:p>
    <w:p w:rsidR="00B801AF" w:rsidRDefault="00B801AF">
      <w:pPr>
        <w:pStyle w:val="BodyText"/>
        <w:rPr>
          <w:sz w:val="20"/>
        </w:rPr>
      </w:pPr>
    </w:p>
    <w:p w:rsidR="00B801AF" w:rsidRDefault="00B801AF">
      <w:pPr>
        <w:pStyle w:val="BodyText"/>
        <w:spacing w:before="6"/>
        <w:rPr>
          <w:sz w:val="12"/>
        </w:rPr>
      </w:pPr>
    </w:p>
    <w:tbl>
      <w:tblPr>
        <w:tblW w:w="0" w:type="auto"/>
        <w:tblInd w:w="3171"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2060"/>
        <w:gridCol w:w="1482"/>
      </w:tblGrid>
      <w:tr w:rsidR="00B801AF">
        <w:trPr>
          <w:trHeight w:val="479"/>
        </w:trPr>
        <w:tc>
          <w:tcPr>
            <w:tcW w:w="2060" w:type="dxa"/>
          </w:tcPr>
          <w:p w:rsidR="00B801AF" w:rsidRDefault="00602675">
            <w:pPr>
              <w:pStyle w:val="TableParagraph"/>
              <w:spacing w:before="8"/>
              <w:ind w:left="110"/>
              <w:rPr>
                <w:b/>
                <w:sz w:val="24"/>
              </w:rPr>
            </w:pPr>
            <w:r>
              <w:rPr>
                <w:b/>
                <w:sz w:val="24"/>
              </w:rPr>
              <w:t>Year</w:t>
            </w:r>
          </w:p>
        </w:tc>
        <w:tc>
          <w:tcPr>
            <w:tcW w:w="1482" w:type="dxa"/>
          </w:tcPr>
          <w:p w:rsidR="00B801AF" w:rsidRDefault="00602675">
            <w:pPr>
              <w:pStyle w:val="TableParagraph"/>
              <w:spacing w:before="8"/>
              <w:ind w:left="100"/>
              <w:rPr>
                <w:b/>
                <w:sz w:val="24"/>
              </w:rPr>
            </w:pPr>
            <w:r>
              <w:rPr>
                <w:b/>
                <w:sz w:val="24"/>
              </w:rPr>
              <w:t>Ratio</w:t>
            </w:r>
          </w:p>
        </w:tc>
      </w:tr>
      <w:tr w:rsidR="00B801AF">
        <w:trPr>
          <w:trHeight w:val="481"/>
        </w:trPr>
        <w:tc>
          <w:tcPr>
            <w:tcW w:w="2060" w:type="dxa"/>
            <w:shd w:val="clear" w:color="auto" w:fill="D2EAF0"/>
          </w:tcPr>
          <w:p w:rsidR="00B801AF" w:rsidRDefault="00602675">
            <w:pPr>
              <w:pStyle w:val="TableParagraph"/>
              <w:spacing w:line="272" w:lineRule="exact"/>
              <w:ind w:left="110"/>
              <w:rPr>
                <w:b/>
                <w:sz w:val="24"/>
              </w:rPr>
            </w:pPr>
            <w:r>
              <w:rPr>
                <w:b/>
                <w:color w:val="001F5F"/>
                <w:sz w:val="24"/>
              </w:rPr>
              <w:t>2017</w:t>
            </w:r>
          </w:p>
        </w:tc>
        <w:tc>
          <w:tcPr>
            <w:tcW w:w="1482" w:type="dxa"/>
            <w:shd w:val="clear" w:color="auto" w:fill="D2EAF0"/>
          </w:tcPr>
          <w:p w:rsidR="00B801AF" w:rsidRDefault="00602675">
            <w:pPr>
              <w:pStyle w:val="TableParagraph"/>
              <w:spacing w:line="275" w:lineRule="exact"/>
              <w:ind w:left="100"/>
              <w:rPr>
                <w:sz w:val="24"/>
              </w:rPr>
            </w:pPr>
            <w:r>
              <w:rPr>
                <w:sz w:val="24"/>
              </w:rPr>
              <w:t>2.42%</w:t>
            </w:r>
          </w:p>
        </w:tc>
      </w:tr>
      <w:tr w:rsidR="00B801AF">
        <w:trPr>
          <w:trHeight w:val="453"/>
        </w:trPr>
        <w:tc>
          <w:tcPr>
            <w:tcW w:w="2060" w:type="dxa"/>
          </w:tcPr>
          <w:p w:rsidR="00B801AF" w:rsidRDefault="00602675">
            <w:pPr>
              <w:pStyle w:val="TableParagraph"/>
              <w:spacing w:line="263" w:lineRule="exact"/>
              <w:ind w:left="110"/>
              <w:rPr>
                <w:b/>
                <w:sz w:val="24"/>
              </w:rPr>
            </w:pPr>
            <w:r>
              <w:rPr>
                <w:b/>
                <w:color w:val="001F5F"/>
                <w:sz w:val="24"/>
              </w:rPr>
              <w:t>2016</w:t>
            </w:r>
          </w:p>
        </w:tc>
        <w:tc>
          <w:tcPr>
            <w:tcW w:w="1482" w:type="dxa"/>
          </w:tcPr>
          <w:p w:rsidR="00B801AF" w:rsidRDefault="00602675">
            <w:pPr>
              <w:pStyle w:val="TableParagraph"/>
              <w:spacing w:line="263" w:lineRule="exact"/>
              <w:ind w:left="100"/>
              <w:rPr>
                <w:sz w:val="24"/>
              </w:rPr>
            </w:pPr>
            <w:r>
              <w:rPr>
                <w:sz w:val="24"/>
              </w:rPr>
              <w:t>2.19%</w:t>
            </w:r>
          </w:p>
        </w:tc>
      </w:tr>
      <w:tr w:rsidR="00B801AF">
        <w:trPr>
          <w:trHeight w:val="440"/>
        </w:trPr>
        <w:tc>
          <w:tcPr>
            <w:tcW w:w="2060" w:type="dxa"/>
            <w:shd w:val="clear" w:color="auto" w:fill="D2EAF0"/>
          </w:tcPr>
          <w:p w:rsidR="00B801AF" w:rsidRDefault="00602675">
            <w:pPr>
              <w:pStyle w:val="TableParagraph"/>
              <w:spacing w:line="268" w:lineRule="exact"/>
              <w:ind w:left="110"/>
              <w:rPr>
                <w:b/>
                <w:sz w:val="24"/>
              </w:rPr>
            </w:pPr>
            <w:r>
              <w:rPr>
                <w:b/>
                <w:color w:val="001F5F"/>
                <w:sz w:val="24"/>
              </w:rPr>
              <w:t>2015</w:t>
            </w:r>
          </w:p>
        </w:tc>
        <w:tc>
          <w:tcPr>
            <w:tcW w:w="1482" w:type="dxa"/>
            <w:shd w:val="clear" w:color="auto" w:fill="D2EAF0"/>
          </w:tcPr>
          <w:p w:rsidR="00B801AF" w:rsidRDefault="00602675">
            <w:pPr>
              <w:pStyle w:val="TableParagraph"/>
              <w:spacing w:line="268" w:lineRule="exact"/>
              <w:ind w:left="100"/>
              <w:rPr>
                <w:sz w:val="24"/>
              </w:rPr>
            </w:pPr>
            <w:r>
              <w:rPr>
                <w:sz w:val="24"/>
              </w:rPr>
              <w:t>2.28%</w:t>
            </w:r>
          </w:p>
        </w:tc>
      </w:tr>
      <w:tr w:rsidR="00B801AF">
        <w:trPr>
          <w:trHeight w:val="436"/>
        </w:trPr>
        <w:tc>
          <w:tcPr>
            <w:tcW w:w="2060" w:type="dxa"/>
          </w:tcPr>
          <w:p w:rsidR="00B801AF" w:rsidRDefault="00602675">
            <w:pPr>
              <w:pStyle w:val="TableParagraph"/>
              <w:spacing w:line="268" w:lineRule="exact"/>
              <w:ind w:left="110"/>
              <w:rPr>
                <w:b/>
                <w:sz w:val="24"/>
              </w:rPr>
            </w:pPr>
            <w:r>
              <w:rPr>
                <w:b/>
                <w:color w:val="001F5F"/>
                <w:sz w:val="24"/>
              </w:rPr>
              <w:t>2014</w:t>
            </w:r>
          </w:p>
        </w:tc>
        <w:tc>
          <w:tcPr>
            <w:tcW w:w="1482" w:type="dxa"/>
          </w:tcPr>
          <w:p w:rsidR="00B801AF" w:rsidRDefault="00602675">
            <w:pPr>
              <w:pStyle w:val="TableParagraph"/>
              <w:spacing w:line="270" w:lineRule="exact"/>
              <w:ind w:left="100"/>
              <w:rPr>
                <w:sz w:val="24"/>
              </w:rPr>
            </w:pPr>
            <w:r>
              <w:rPr>
                <w:sz w:val="24"/>
              </w:rPr>
              <w:t>2.35%</w:t>
            </w:r>
          </w:p>
        </w:tc>
      </w:tr>
      <w:tr w:rsidR="00B801AF">
        <w:trPr>
          <w:trHeight w:val="432"/>
        </w:trPr>
        <w:tc>
          <w:tcPr>
            <w:tcW w:w="2060" w:type="dxa"/>
            <w:tcBorders>
              <w:bottom w:val="single" w:sz="12" w:space="0" w:color="4AACC5"/>
            </w:tcBorders>
            <w:shd w:val="clear" w:color="auto" w:fill="D2EAF0"/>
          </w:tcPr>
          <w:p w:rsidR="00B801AF" w:rsidRDefault="00602675">
            <w:pPr>
              <w:pStyle w:val="TableParagraph"/>
              <w:spacing w:line="270" w:lineRule="exact"/>
              <w:ind w:left="110"/>
              <w:rPr>
                <w:b/>
                <w:sz w:val="24"/>
              </w:rPr>
            </w:pPr>
            <w:r>
              <w:rPr>
                <w:b/>
                <w:color w:val="001F5F"/>
                <w:sz w:val="24"/>
              </w:rPr>
              <w:t>2013</w:t>
            </w:r>
          </w:p>
        </w:tc>
        <w:tc>
          <w:tcPr>
            <w:tcW w:w="1482" w:type="dxa"/>
            <w:tcBorders>
              <w:bottom w:val="single" w:sz="12" w:space="0" w:color="4AACC5"/>
            </w:tcBorders>
            <w:shd w:val="clear" w:color="auto" w:fill="D2EAF0"/>
          </w:tcPr>
          <w:p w:rsidR="00B801AF" w:rsidRDefault="00602675">
            <w:pPr>
              <w:pStyle w:val="TableParagraph"/>
              <w:spacing w:line="268" w:lineRule="exact"/>
              <w:ind w:left="100"/>
              <w:rPr>
                <w:sz w:val="24"/>
              </w:rPr>
            </w:pPr>
            <w:r>
              <w:rPr>
                <w:sz w:val="24"/>
              </w:rPr>
              <w:t>1.74%</w:t>
            </w:r>
          </w:p>
        </w:tc>
      </w:tr>
    </w:tbl>
    <w:p w:rsidR="00B801AF" w:rsidRDefault="00602675">
      <w:pPr>
        <w:pStyle w:val="Heading4"/>
        <w:spacing w:line="717" w:lineRule="auto"/>
        <w:ind w:right="4753"/>
      </w:pPr>
      <w:r>
        <w:rPr>
          <w:noProof/>
        </w:rPr>
        <w:drawing>
          <wp:anchor distT="0" distB="0" distL="0" distR="0" simplePos="0" relativeHeight="486621184" behindDoc="1" locked="0" layoutInCell="1" allowOverlap="1">
            <wp:simplePos x="0" y="0"/>
            <wp:positionH relativeFrom="page">
              <wp:posOffset>1554480</wp:posOffset>
            </wp:positionH>
            <wp:positionV relativeFrom="paragraph">
              <wp:posOffset>789979</wp:posOffset>
            </wp:positionV>
            <wp:extent cx="4572000" cy="2743200"/>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2" cstate="print"/>
                    <a:stretch>
                      <a:fillRect/>
                    </a:stretch>
                  </pic:blipFill>
                  <pic:spPr>
                    <a:xfrm>
                      <a:off x="0" y="0"/>
                      <a:ext cx="4572000" cy="2743200"/>
                    </a:xfrm>
                    <a:prstGeom prst="rect">
                      <a:avLst/>
                    </a:prstGeom>
                  </pic:spPr>
                </pic:pic>
              </a:graphicData>
            </a:graphic>
          </wp:anchor>
        </w:drawing>
      </w:r>
      <w:r>
        <w:rPr>
          <w:color w:val="30849B"/>
        </w:rPr>
        <w:t xml:space="preserve">Table: Operating Expense to Assets of SEBL </w:t>
      </w:r>
      <w:r>
        <w:rPr>
          <w:color w:val="00AF50"/>
        </w:rPr>
        <w:t>Graphical Presentation:</w:t>
      </w: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B801AF">
      <w:pPr>
        <w:pStyle w:val="BodyText"/>
        <w:rPr>
          <w:b/>
          <w:sz w:val="26"/>
        </w:rPr>
      </w:pPr>
    </w:p>
    <w:p w:rsidR="00B801AF" w:rsidRDefault="00602675">
      <w:pPr>
        <w:spacing w:before="156"/>
        <w:ind w:left="543" w:right="482"/>
        <w:jc w:val="center"/>
        <w:rPr>
          <w:b/>
          <w:sz w:val="24"/>
        </w:rPr>
      </w:pPr>
      <w:r>
        <w:rPr>
          <w:b/>
          <w:color w:val="30849B"/>
          <w:sz w:val="24"/>
        </w:rPr>
        <w:t>Figure: Operating Expense to Assets of SEBL</w:t>
      </w:r>
    </w:p>
    <w:p w:rsidR="00B801AF" w:rsidRDefault="00B801AF">
      <w:pPr>
        <w:pStyle w:val="BodyText"/>
        <w:spacing w:before="7"/>
        <w:rPr>
          <w:b/>
          <w:sz w:val="34"/>
        </w:rPr>
      </w:pPr>
    </w:p>
    <w:p w:rsidR="00B801AF" w:rsidRDefault="00602675">
      <w:pPr>
        <w:ind w:left="400"/>
        <w:rPr>
          <w:b/>
          <w:sz w:val="24"/>
        </w:rPr>
      </w:pPr>
      <w:r>
        <w:rPr>
          <w:b/>
          <w:color w:val="00AF50"/>
          <w:sz w:val="24"/>
        </w:rPr>
        <w:t>Interpretation:</w:t>
      </w:r>
    </w:p>
    <w:p w:rsidR="00B801AF" w:rsidRDefault="00602675">
      <w:pPr>
        <w:spacing w:before="132" w:line="362" w:lineRule="auto"/>
        <w:ind w:left="400" w:right="435"/>
        <w:rPr>
          <w:sz w:val="24"/>
        </w:rPr>
      </w:pPr>
      <w:r>
        <w:rPr>
          <w:sz w:val="24"/>
        </w:rPr>
        <w:t xml:space="preserve">It is important to consider the expense ratios when selecting funds, as they can significantly </w:t>
      </w:r>
      <w:r>
        <w:rPr>
          <w:sz w:val="23"/>
        </w:rPr>
        <w:t xml:space="preserve">affect income. From the chart we can see that there is a tendency for operating expenses relative </w:t>
      </w:r>
      <w:r>
        <w:rPr>
          <w:sz w:val="24"/>
        </w:rPr>
        <w:t>to the ratio of assets. In 2013, the ratio is only 1.74% but it has increased to 2.42% in 2017 years. This means that the cost of operation is increasing compared to the previous year.</w:t>
      </w:r>
    </w:p>
    <w:p w:rsidR="00B801AF" w:rsidRDefault="00B801AF">
      <w:pPr>
        <w:spacing w:line="362" w:lineRule="auto"/>
        <w:rPr>
          <w:sz w:val="24"/>
        </w:rPr>
        <w:sectPr w:rsidR="00B801AF">
          <w:pgSz w:w="11900" w:h="16840"/>
          <w:pgMar w:top="1340" w:right="1100" w:bottom="1220" w:left="1040" w:header="0" w:footer="1007" w:gutter="0"/>
          <w:cols w:space="720"/>
        </w:sect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spacing w:before="10"/>
        <w:rPr>
          <w:sz w:val="22"/>
        </w:rPr>
      </w:pPr>
    </w:p>
    <w:p w:rsidR="00B801AF" w:rsidRDefault="00602675">
      <w:pPr>
        <w:pStyle w:val="Heading4"/>
        <w:numPr>
          <w:ilvl w:val="2"/>
          <w:numId w:val="2"/>
        </w:numPr>
        <w:tabs>
          <w:tab w:val="left" w:pos="941"/>
        </w:tabs>
        <w:spacing w:before="90"/>
        <w:ind w:hanging="541"/>
      </w:pPr>
      <w:r>
        <w:t>Debt</w:t>
      </w:r>
      <w:r>
        <w:rPr>
          <w:spacing w:val="-1"/>
        </w:rPr>
        <w:t xml:space="preserve"> </w:t>
      </w:r>
      <w:r>
        <w:t>Ratio:</w:t>
      </w:r>
    </w:p>
    <w:p w:rsidR="00B801AF" w:rsidRDefault="00602675">
      <w:pPr>
        <w:pStyle w:val="ListParagraph"/>
        <w:numPr>
          <w:ilvl w:val="3"/>
          <w:numId w:val="2"/>
        </w:numPr>
        <w:tabs>
          <w:tab w:val="left" w:pos="1121"/>
        </w:tabs>
        <w:spacing w:before="96" w:line="274" w:lineRule="exact"/>
        <w:ind w:hanging="721"/>
        <w:rPr>
          <w:b/>
          <w:color w:val="2D75B5"/>
          <w:sz w:val="24"/>
        </w:rPr>
      </w:pPr>
      <w:r>
        <w:rPr>
          <w:b/>
          <w:color w:val="2D75B5"/>
          <w:sz w:val="24"/>
        </w:rPr>
        <w:t>Debt</w:t>
      </w:r>
      <w:r>
        <w:rPr>
          <w:b/>
          <w:color w:val="2D75B5"/>
          <w:spacing w:val="-1"/>
          <w:sz w:val="24"/>
        </w:rPr>
        <w:t xml:space="preserve"> </w:t>
      </w:r>
      <w:r>
        <w:rPr>
          <w:b/>
          <w:color w:val="2D75B5"/>
          <w:sz w:val="24"/>
        </w:rPr>
        <w:t>Ratio:</w:t>
      </w:r>
    </w:p>
    <w:p w:rsidR="00B801AF" w:rsidRDefault="00602675">
      <w:pPr>
        <w:pStyle w:val="BodyText"/>
        <w:spacing w:line="274" w:lineRule="exact"/>
        <w:ind w:left="400"/>
      </w:pPr>
      <w:r>
        <w:t>The debt ratio measures the preparation of total assets provided by the firm’s creditors.</w:t>
      </w:r>
    </w:p>
    <w:p w:rsidR="00B801AF" w:rsidRDefault="00B801AF">
      <w:pPr>
        <w:pStyle w:val="BodyText"/>
        <w:spacing w:before="10"/>
        <w:rPr>
          <w:sz w:val="31"/>
        </w:rPr>
      </w:pPr>
    </w:p>
    <w:p w:rsidR="00B801AF" w:rsidRDefault="00602675">
      <w:pPr>
        <w:ind w:left="400"/>
        <w:rPr>
          <w:sz w:val="28"/>
        </w:rPr>
      </w:pPr>
      <w:r>
        <w:rPr>
          <w:sz w:val="28"/>
        </w:rPr>
        <w:t>Debt ratio= Total Liabilities/Total Assets</w:t>
      </w:r>
    </w:p>
    <w:p w:rsidR="00B801AF" w:rsidRDefault="00B801AF">
      <w:pPr>
        <w:pStyle w:val="BodyText"/>
        <w:spacing w:before="1"/>
        <w:rPr>
          <w:sz w:val="28"/>
        </w:rPr>
      </w:pPr>
    </w:p>
    <w:tbl>
      <w:tblPr>
        <w:tblW w:w="0" w:type="auto"/>
        <w:tblInd w:w="3171"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2040"/>
        <w:gridCol w:w="96"/>
        <w:gridCol w:w="1405"/>
      </w:tblGrid>
      <w:tr w:rsidR="00B801AF">
        <w:trPr>
          <w:trHeight w:val="479"/>
        </w:trPr>
        <w:tc>
          <w:tcPr>
            <w:tcW w:w="2040" w:type="dxa"/>
          </w:tcPr>
          <w:p w:rsidR="00B801AF" w:rsidRDefault="00602675">
            <w:pPr>
              <w:pStyle w:val="TableParagraph"/>
              <w:spacing w:before="10"/>
              <w:ind w:left="119"/>
              <w:rPr>
                <w:b/>
                <w:sz w:val="24"/>
              </w:rPr>
            </w:pPr>
            <w:r>
              <w:rPr>
                <w:b/>
                <w:sz w:val="24"/>
              </w:rPr>
              <w:t>Year</w:t>
            </w:r>
          </w:p>
        </w:tc>
        <w:tc>
          <w:tcPr>
            <w:tcW w:w="1501" w:type="dxa"/>
            <w:gridSpan w:val="2"/>
          </w:tcPr>
          <w:p w:rsidR="00B801AF" w:rsidRDefault="00602675">
            <w:pPr>
              <w:pStyle w:val="TableParagraph"/>
              <w:spacing w:before="10"/>
              <w:ind w:left="100"/>
              <w:rPr>
                <w:b/>
                <w:sz w:val="24"/>
              </w:rPr>
            </w:pPr>
            <w:r>
              <w:rPr>
                <w:b/>
                <w:sz w:val="24"/>
              </w:rPr>
              <w:t>Ratio</w:t>
            </w:r>
          </w:p>
        </w:tc>
      </w:tr>
      <w:tr w:rsidR="00B801AF">
        <w:trPr>
          <w:trHeight w:val="483"/>
        </w:trPr>
        <w:tc>
          <w:tcPr>
            <w:tcW w:w="2040" w:type="dxa"/>
            <w:shd w:val="clear" w:color="auto" w:fill="D2EAF0"/>
          </w:tcPr>
          <w:p w:rsidR="00B801AF" w:rsidRDefault="00602675">
            <w:pPr>
              <w:pStyle w:val="TableParagraph"/>
              <w:spacing w:line="272" w:lineRule="exact"/>
              <w:ind w:left="119"/>
              <w:rPr>
                <w:b/>
                <w:sz w:val="24"/>
              </w:rPr>
            </w:pPr>
            <w:r>
              <w:rPr>
                <w:b/>
                <w:color w:val="001F5F"/>
                <w:sz w:val="24"/>
              </w:rPr>
              <w:t>2017</w:t>
            </w:r>
          </w:p>
        </w:tc>
        <w:tc>
          <w:tcPr>
            <w:tcW w:w="96" w:type="dxa"/>
            <w:tcBorders>
              <w:right w:val="nil"/>
            </w:tcBorders>
            <w:shd w:val="clear" w:color="auto" w:fill="D2EAF0"/>
          </w:tcPr>
          <w:p w:rsidR="00B801AF" w:rsidRDefault="00B801AF">
            <w:pPr>
              <w:pStyle w:val="TableParagraph"/>
              <w:rPr>
                <w:sz w:val="24"/>
              </w:rPr>
            </w:pPr>
          </w:p>
        </w:tc>
        <w:tc>
          <w:tcPr>
            <w:tcW w:w="1405" w:type="dxa"/>
            <w:tcBorders>
              <w:left w:val="nil"/>
            </w:tcBorders>
            <w:shd w:val="clear" w:color="auto" w:fill="D2EAF0"/>
          </w:tcPr>
          <w:p w:rsidR="00B801AF" w:rsidRDefault="00602675">
            <w:pPr>
              <w:pStyle w:val="TableParagraph"/>
              <w:spacing w:line="272" w:lineRule="exact"/>
              <w:ind w:left="14"/>
              <w:rPr>
                <w:sz w:val="24"/>
              </w:rPr>
            </w:pPr>
            <w:r>
              <w:rPr>
                <w:sz w:val="24"/>
              </w:rPr>
              <w:t>0.945</w:t>
            </w:r>
          </w:p>
        </w:tc>
      </w:tr>
      <w:tr w:rsidR="00B801AF">
        <w:trPr>
          <w:trHeight w:val="481"/>
        </w:trPr>
        <w:tc>
          <w:tcPr>
            <w:tcW w:w="2040" w:type="dxa"/>
          </w:tcPr>
          <w:p w:rsidR="00B801AF" w:rsidRDefault="00602675">
            <w:pPr>
              <w:pStyle w:val="TableParagraph"/>
              <w:spacing w:line="270" w:lineRule="exact"/>
              <w:ind w:left="129"/>
              <w:rPr>
                <w:b/>
                <w:sz w:val="24"/>
              </w:rPr>
            </w:pPr>
            <w:r>
              <w:rPr>
                <w:b/>
                <w:color w:val="001F5F"/>
                <w:sz w:val="24"/>
              </w:rPr>
              <w:t>2016</w:t>
            </w:r>
          </w:p>
        </w:tc>
        <w:tc>
          <w:tcPr>
            <w:tcW w:w="96" w:type="dxa"/>
            <w:tcBorders>
              <w:right w:val="nil"/>
            </w:tcBorders>
          </w:tcPr>
          <w:p w:rsidR="00B801AF" w:rsidRDefault="00B801AF">
            <w:pPr>
              <w:pStyle w:val="TableParagraph"/>
              <w:rPr>
                <w:sz w:val="24"/>
              </w:rPr>
            </w:pPr>
          </w:p>
        </w:tc>
        <w:tc>
          <w:tcPr>
            <w:tcW w:w="1405" w:type="dxa"/>
            <w:tcBorders>
              <w:left w:val="nil"/>
            </w:tcBorders>
          </w:tcPr>
          <w:p w:rsidR="00B801AF" w:rsidRDefault="00602675">
            <w:pPr>
              <w:pStyle w:val="TableParagraph"/>
              <w:spacing w:line="268" w:lineRule="exact"/>
              <w:ind w:left="14"/>
              <w:rPr>
                <w:sz w:val="24"/>
              </w:rPr>
            </w:pPr>
            <w:r>
              <w:rPr>
                <w:sz w:val="24"/>
              </w:rPr>
              <w:t>0.947</w:t>
            </w:r>
          </w:p>
        </w:tc>
      </w:tr>
      <w:tr w:rsidR="00B801AF">
        <w:trPr>
          <w:trHeight w:val="421"/>
        </w:trPr>
        <w:tc>
          <w:tcPr>
            <w:tcW w:w="2040" w:type="dxa"/>
            <w:shd w:val="clear" w:color="auto" w:fill="D2EAF0"/>
          </w:tcPr>
          <w:p w:rsidR="00B801AF" w:rsidRDefault="00602675">
            <w:pPr>
              <w:pStyle w:val="TableParagraph"/>
              <w:spacing w:line="256" w:lineRule="exact"/>
              <w:ind w:left="119"/>
              <w:rPr>
                <w:b/>
                <w:sz w:val="24"/>
              </w:rPr>
            </w:pPr>
            <w:r>
              <w:rPr>
                <w:b/>
                <w:color w:val="001F5F"/>
                <w:sz w:val="24"/>
              </w:rPr>
              <w:t>2015</w:t>
            </w:r>
          </w:p>
        </w:tc>
        <w:tc>
          <w:tcPr>
            <w:tcW w:w="96" w:type="dxa"/>
            <w:tcBorders>
              <w:right w:val="nil"/>
            </w:tcBorders>
            <w:shd w:val="clear" w:color="auto" w:fill="D2EAF0"/>
          </w:tcPr>
          <w:p w:rsidR="00B801AF" w:rsidRDefault="00B801AF">
            <w:pPr>
              <w:pStyle w:val="TableParagraph"/>
              <w:rPr>
                <w:sz w:val="24"/>
              </w:rPr>
            </w:pPr>
          </w:p>
        </w:tc>
        <w:tc>
          <w:tcPr>
            <w:tcW w:w="1405" w:type="dxa"/>
            <w:tcBorders>
              <w:left w:val="nil"/>
            </w:tcBorders>
            <w:shd w:val="clear" w:color="auto" w:fill="D2EAF0"/>
          </w:tcPr>
          <w:p w:rsidR="00B801AF" w:rsidRDefault="00602675">
            <w:pPr>
              <w:pStyle w:val="TableParagraph"/>
              <w:spacing w:line="253" w:lineRule="exact"/>
              <w:ind w:left="14"/>
              <w:rPr>
                <w:sz w:val="24"/>
              </w:rPr>
            </w:pPr>
            <w:r>
              <w:rPr>
                <w:sz w:val="24"/>
              </w:rPr>
              <w:t>0.936</w:t>
            </w:r>
          </w:p>
        </w:tc>
      </w:tr>
      <w:tr w:rsidR="00B801AF">
        <w:trPr>
          <w:trHeight w:val="460"/>
        </w:trPr>
        <w:tc>
          <w:tcPr>
            <w:tcW w:w="2040" w:type="dxa"/>
          </w:tcPr>
          <w:p w:rsidR="00B801AF" w:rsidRDefault="00602675">
            <w:pPr>
              <w:pStyle w:val="TableParagraph"/>
              <w:spacing w:line="268" w:lineRule="exact"/>
              <w:ind w:left="129"/>
              <w:rPr>
                <w:b/>
                <w:sz w:val="24"/>
              </w:rPr>
            </w:pPr>
            <w:r>
              <w:rPr>
                <w:b/>
                <w:color w:val="001F5F"/>
                <w:sz w:val="24"/>
              </w:rPr>
              <w:t>2014</w:t>
            </w:r>
          </w:p>
        </w:tc>
        <w:tc>
          <w:tcPr>
            <w:tcW w:w="1501" w:type="dxa"/>
            <w:gridSpan w:val="2"/>
          </w:tcPr>
          <w:p w:rsidR="00B801AF" w:rsidRDefault="00602675">
            <w:pPr>
              <w:pStyle w:val="TableParagraph"/>
              <w:spacing w:line="268" w:lineRule="exact"/>
              <w:ind w:left="100"/>
              <w:rPr>
                <w:sz w:val="24"/>
              </w:rPr>
            </w:pPr>
            <w:r>
              <w:rPr>
                <w:sz w:val="24"/>
              </w:rPr>
              <w:t>0.927</w:t>
            </w:r>
          </w:p>
        </w:tc>
      </w:tr>
      <w:tr w:rsidR="00B801AF">
        <w:trPr>
          <w:trHeight w:val="410"/>
        </w:trPr>
        <w:tc>
          <w:tcPr>
            <w:tcW w:w="2040" w:type="dxa"/>
            <w:tcBorders>
              <w:bottom w:val="single" w:sz="12" w:space="0" w:color="4AACC5"/>
            </w:tcBorders>
            <w:shd w:val="clear" w:color="auto" w:fill="D2EAF0"/>
          </w:tcPr>
          <w:p w:rsidR="00B801AF" w:rsidRDefault="00602675">
            <w:pPr>
              <w:pStyle w:val="TableParagraph"/>
              <w:spacing w:line="251" w:lineRule="exact"/>
              <w:ind w:left="119"/>
              <w:rPr>
                <w:b/>
                <w:sz w:val="24"/>
              </w:rPr>
            </w:pPr>
            <w:r>
              <w:rPr>
                <w:b/>
                <w:color w:val="001F5F"/>
                <w:sz w:val="24"/>
              </w:rPr>
              <w:t>2013</w:t>
            </w:r>
          </w:p>
        </w:tc>
        <w:tc>
          <w:tcPr>
            <w:tcW w:w="1501" w:type="dxa"/>
            <w:gridSpan w:val="2"/>
            <w:tcBorders>
              <w:bottom w:val="single" w:sz="12" w:space="0" w:color="4AACC5"/>
            </w:tcBorders>
            <w:shd w:val="clear" w:color="auto" w:fill="D2EAF0"/>
          </w:tcPr>
          <w:p w:rsidR="00B801AF" w:rsidRDefault="00602675">
            <w:pPr>
              <w:pStyle w:val="TableParagraph"/>
              <w:spacing w:line="251" w:lineRule="exact"/>
              <w:ind w:left="100"/>
              <w:rPr>
                <w:sz w:val="24"/>
              </w:rPr>
            </w:pPr>
            <w:r>
              <w:rPr>
                <w:sz w:val="24"/>
              </w:rPr>
              <w:t>0.930</w:t>
            </w:r>
          </w:p>
        </w:tc>
      </w:tr>
    </w:tbl>
    <w:p w:rsidR="00B801AF" w:rsidRDefault="00B801AF">
      <w:pPr>
        <w:pStyle w:val="BodyText"/>
        <w:rPr>
          <w:sz w:val="30"/>
        </w:rPr>
      </w:pPr>
    </w:p>
    <w:p w:rsidR="00B801AF" w:rsidRDefault="00B801AF">
      <w:pPr>
        <w:pStyle w:val="BodyText"/>
        <w:spacing w:before="1"/>
        <w:rPr>
          <w:sz w:val="26"/>
        </w:rPr>
      </w:pPr>
    </w:p>
    <w:p w:rsidR="00B801AF" w:rsidRDefault="00602675">
      <w:pPr>
        <w:pStyle w:val="Heading4"/>
        <w:ind w:left="541" w:right="482"/>
        <w:jc w:val="center"/>
      </w:pPr>
      <w:r>
        <w:rPr>
          <w:color w:val="30849B"/>
        </w:rPr>
        <w:t>Table: Debt Ratio of SEBL</w:t>
      </w:r>
    </w:p>
    <w:p w:rsidR="00B801AF" w:rsidRDefault="00B801AF">
      <w:pPr>
        <w:pStyle w:val="BodyText"/>
        <w:spacing w:before="3"/>
        <w:rPr>
          <w:b/>
          <w:sz w:val="36"/>
        </w:rPr>
      </w:pPr>
    </w:p>
    <w:p w:rsidR="00B801AF" w:rsidRDefault="00602675">
      <w:pPr>
        <w:spacing w:before="1"/>
        <w:ind w:left="419"/>
        <w:rPr>
          <w:b/>
          <w:sz w:val="24"/>
        </w:rPr>
      </w:pPr>
      <w:r>
        <w:rPr>
          <w:b/>
          <w:color w:val="00AF50"/>
          <w:sz w:val="24"/>
        </w:rPr>
        <w:t>Graphical Presentation:</w:t>
      </w:r>
    </w:p>
    <w:p w:rsidR="00B801AF" w:rsidRDefault="00B801AF">
      <w:pPr>
        <w:pStyle w:val="BodyText"/>
        <w:rPr>
          <w:b/>
          <w:sz w:val="20"/>
        </w:rPr>
      </w:pPr>
    </w:p>
    <w:p w:rsidR="00B801AF" w:rsidRDefault="00602675">
      <w:pPr>
        <w:pStyle w:val="BodyText"/>
        <w:spacing w:before="2"/>
        <w:rPr>
          <w:b/>
          <w:sz w:val="13"/>
        </w:rPr>
      </w:pPr>
      <w:r>
        <w:rPr>
          <w:noProof/>
        </w:rPr>
        <w:drawing>
          <wp:anchor distT="0" distB="0" distL="0" distR="0" simplePos="0" relativeHeight="11" behindDoc="0" locked="0" layoutInCell="1" allowOverlap="1">
            <wp:simplePos x="0" y="0"/>
            <wp:positionH relativeFrom="page">
              <wp:posOffset>1493519</wp:posOffset>
            </wp:positionH>
            <wp:positionV relativeFrom="paragraph">
              <wp:posOffset>121257</wp:posOffset>
            </wp:positionV>
            <wp:extent cx="4572000" cy="274320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3" cstate="print"/>
                    <a:stretch>
                      <a:fillRect/>
                    </a:stretch>
                  </pic:blipFill>
                  <pic:spPr>
                    <a:xfrm>
                      <a:off x="0" y="0"/>
                      <a:ext cx="4572000" cy="2743200"/>
                    </a:xfrm>
                    <a:prstGeom prst="rect">
                      <a:avLst/>
                    </a:prstGeom>
                  </pic:spPr>
                </pic:pic>
              </a:graphicData>
            </a:graphic>
          </wp:anchor>
        </w:drawing>
      </w:r>
    </w:p>
    <w:p w:rsidR="00B801AF" w:rsidRDefault="00B801AF">
      <w:pPr>
        <w:pStyle w:val="BodyText"/>
        <w:spacing w:before="5"/>
        <w:rPr>
          <w:b/>
          <w:sz w:val="27"/>
        </w:rPr>
      </w:pPr>
    </w:p>
    <w:p w:rsidR="00B801AF" w:rsidRDefault="00602675">
      <w:pPr>
        <w:ind w:left="543" w:right="482"/>
        <w:jc w:val="center"/>
        <w:rPr>
          <w:b/>
          <w:sz w:val="24"/>
        </w:rPr>
      </w:pPr>
      <w:r>
        <w:rPr>
          <w:b/>
          <w:color w:val="30849B"/>
          <w:sz w:val="24"/>
        </w:rPr>
        <w:t>Figure: Debt Ratio of SEBL</w:t>
      </w:r>
    </w:p>
    <w:p w:rsidR="00B801AF" w:rsidRDefault="00B801AF">
      <w:pPr>
        <w:jc w:val="center"/>
        <w:rPr>
          <w:sz w:val="24"/>
        </w:rPr>
        <w:sectPr w:rsidR="00B801AF">
          <w:pgSz w:w="11900" w:h="16840"/>
          <w:pgMar w:top="1580" w:right="1100" w:bottom="1220" w:left="1040" w:header="0" w:footer="1007" w:gutter="0"/>
          <w:cols w:space="720"/>
        </w:sectPr>
      </w:pPr>
    </w:p>
    <w:p w:rsidR="00B801AF" w:rsidRDefault="00602675">
      <w:pPr>
        <w:spacing w:before="78"/>
        <w:ind w:left="400"/>
        <w:rPr>
          <w:b/>
          <w:sz w:val="24"/>
        </w:rPr>
      </w:pPr>
      <w:r>
        <w:rPr>
          <w:b/>
          <w:color w:val="00AF50"/>
          <w:sz w:val="24"/>
        </w:rPr>
        <w:lastRenderedPageBreak/>
        <w:t>Interpretation:</w:t>
      </w:r>
    </w:p>
    <w:p w:rsidR="00B801AF" w:rsidRDefault="00602675">
      <w:pPr>
        <w:pStyle w:val="BodyText"/>
        <w:spacing w:before="144" w:line="357" w:lineRule="auto"/>
        <w:ind w:left="400" w:right="402"/>
        <w:rPr>
          <w:rFonts w:ascii="Carlito"/>
          <w:sz w:val="22"/>
        </w:rPr>
      </w:pPr>
      <w:r>
        <w:t>The higher the ratio, the higher the risk will be associated with the firm's activities. Accordingly, high debt to asset ratios indicate a firm's ability to take on less debt, thereby reducing the firm's financial flexibility. This graph shows that; the ratio of the debt was increasing year after year. Ratio is the ratio of total assets paid by the firm or suppliers. Their debt to debt ratio is indicative of a rising trend that indicates a negative sign</w:t>
      </w:r>
      <w:r>
        <w:rPr>
          <w:rFonts w:ascii="Carlito"/>
          <w:sz w:val="22"/>
        </w:rPr>
        <w:t>.</w:t>
      </w:r>
    </w:p>
    <w:p w:rsidR="00B801AF" w:rsidRDefault="00B801AF">
      <w:pPr>
        <w:pStyle w:val="BodyText"/>
        <w:rPr>
          <w:rFonts w:ascii="Carlito"/>
          <w:sz w:val="26"/>
        </w:rPr>
      </w:pPr>
    </w:p>
    <w:p w:rsidR="00B801AF" w:rsidRDefault="00602675">
      <w:pPr>
        <w:pStyle w:val="Heading4"/>
        <w:numPr>
          <w:ilvl w:val="3"/>
          <w:numId w:val="2"/>
        </w:numPr>
        <w:tabs>
          <w:tab w:val="left" w:pos="1121"/>
        </w:tabs>
        <w:spacing w:before="173"/>
        <w:ind w:hanging="721"/>
        <w:rPr>
          <w:color w:val="2D75B5"/>
        </w:rPr>
      </w:pPr>
      <w:bookmarkStart w:id="1" w:name="_TOC_250008"/>
      <w:r>
        <w:rPr>
          <w:color w:val="2D75B5"/>
        </w:rPr>
        <w:t>Times Interest Earned</w:t>
      </w:r>
      <w:r>
        <w:rPr>
          <w:color w:val="2D75B5"/>
          <w:spacing w:val="-1"/>
        </w:rPr>
        <w:t xml:space="preserve"> </w:t>
      </w:r>
      <w:bookmarkEnd w:id="1"/>
      <w:r>
        <w:rPr>
          <w:color w:val="2D75B5"/>
        </w:rPr>
        <w:t>Ratio:</w:t>
      </w:r>
    </w:p>
    <w:p w:rsidR="00B801AF" w:rsidRDefault="00602675">
      <w:pPr>
        <w:pStyle w:val="BodyText"/>
        <w:spacing w:before="3" w:line="254" w:lineRule="auto"/>
        <w:ind w:left="400" w:right="719"/>
      </w:pPr>
      <w:r>
        <w:t>Interest earning ratio, sometimes called interest coverage ratio, measures the firm's ability to pay contractual interest. Times Interest Earned Ratio =Earnings before Interest and Taxes/Interest Expense</w:t>
      </w: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spacing w:before="1"/>
        <w:rPr>
          <w:sz w:val="10"/>
        </w:rPr>
      </w:pPr>
    </w:p>
    <w:tbl>
      <w:tblPr>
        <w:tblW w:w="0" w:type="auto"/>
        <w:tblInd w:w="2718"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2483"/>
        <w:gridCol w:w="94"/>
        <w:gridCol w:w="1866"/>
      </w:tblGrid>
      <w:tr w:rsidR="00B801AF">
        <w:trPr>
          <w:trHeight w:val="450"/>
        </w:trPr>
        <w:tc>
          <w:tcPr>
            <w:tcW w:w="2483" w:type="dxa"/>
            <w:tcBorders>
              <w:left w:val="single" w:sz="12" w:space="0" w:color="4AACC5"/>
            </w:tcBorders>
          </w:tcPr>
          <w:p w:rsidR="00B801AF" w:rsidRDefault="00602675">
            <w:pPr>
              <w:pStyle w:val="TableParagraph"/>
              <w:spacing w:before="10"/>
              <w:ind w:left="116"/>
              <w:rPr>
                <w:b/>
                <w:sz w:val="24"/>
              </w:rPr>
            </w:pPr>
            <w:r>
              <w:rPr>
                <w:b/>
                <w:sz w:val="24"/>
              </w:rPr>
              <w:t>Year</w:t>
            </w:r>
          </w:p>
        </w:tc>
        <w:tc>
          <w:tcPr>
            <w:tcW w:w="1960" w:type="dxa"/>
            <w:gridSpan w:val="2"/>
          </w:tcPr>
          <w:p w:rsidR="00B801AF" w:rsidRDefault="00602675">
            <w:pPr>
              <w:pStyle w:val="TableParagraph"/>
              <w:spacing w:before="10"/>
              <w:ind w:left="98"/>
              <w:rPr>
                <w:b/>
                <w:sz w:val="24"/>
              </w:rPr>
            </w:pPr>
            <w:r>
              <w:rPr>
                <w:b/>
                <w:sz w:val="24"/>
              </w:rPr>
              <w:t>Ratio</w:t>
            </w:r>
          </w:p>
        </w:tc>
      </w:tr>
      <w:tr w:rsidR="00B801AF">
        <w:trPr>
          <w:trHeight w:val="416"/>
        </w:trPr>
        <w:tc>
          <w:tcPr>
            <w:tcW w:w="2483" w:type="dxa"/>
            <w:tcBorders>
              <w:left w:val="single" w:sz="12" w:space="0" w:color="4AACC5"/>
            </w:tcBorders>
            <w:shd w:val="clear" w:color="auto" w:fill="D2EAF0"/>
          </w:tcPr>
          <w:p w:rsidR="00B801AF" w:rsidRDefault="00602675">
            <w:pPr>
              <w:pStyle w:val="TableParagraph"/>
              <w:spacing w:line="275" w:lineRule="exact"/>
              <w:ind w:left="97"/>
              <w:rPr>
                <w:b/>
                <w:sz w:val="24"/>
              </w:rPr>
            </w:pPr>
            <w:r>
              <w:rPr>
                <w:b/>
                <w:color w:val="001F5F"/>
                <w:sz w:val="24"/>
              </w:rPr>
              <w:t>2017</w:t>
            </w:r>
          </w:p>
        </w:tc>
        <w:tc>
          <w:tcPr>
            <w:tcW w:w="94" w:type="dxa"/>
            <w:tcBorders>
              <w:right w:val="nil"/>
            </w:tcBorders>
            <w:shd w:val="clear" w:color="auto" w:fill="D2EAF0"/>
          </w:tcPr>
          <w:p w:rsidR="00B801AF" w:rsidRDefault="00B801AF">
            <w:pPr>
              <w:pStyle w:val="TableParagraph"/>
            </w:pPr>
          </w:p>
        </w:tc>
        <w:tc>
          <w:tcPr>
            <w:tcW w:w="1866" w:type="dxa"/>
            <w:tcBorders>
              <w:left w:val="nil"/>
            </w:tcBorders>
            <w:shd w:val="clear" w:color="auto" w:fill="D2EAF0"/>
          </w:tcPr>
          <w:p w:rsidR="00B801AF" w:rsidRDefault="00602675">
            <w:pPr>
              <w:pStyle w:val="TableParagraph"/>
              <w:spacing w:line="272" w:lineRule="exact"/>
              <w:ind w:left="14"/>
              <w:rPr>
                <w:sz w:val="24"/>
              </w:rPr>
            </w:pPr>
            <w:r>
              <w:rPr>
                <w:sz w:val="24"/>
              </w:rPr>
              <w:t>1.16</w:t>
            </w:r>
          </w:p>
        </w:tc>
      </w:tr>
      <w:tr w:rsidR="00B801AF">
        <w:trPr>
          <w:trHeight w:val="433"/>
        </w:trPr>
        <w:tc>
          <w:tcPr>
            <w:tcW w:w="2483" w:type="dxa"/>
            <w:tcBorders>
              <w:left w:val="single" w:sz="12" w:space="0" w:color="4AACC5"/>
            </w:tcBorders>
          </w:tcPr>
          <w:p w:rsidR="00B801AF" w:rsidRDefault="00602675">
            <w:pPr>
              <w:pStyle w:val="TableParagraph"/>
              <w:spacing w:line="268" w:lineRule="exact"/>
              <w:ind w:left="109"/>
              <w:rPr>
                <w:b/>
                <w:sz w:val="24"/>
              </w:rPr>
            </w:pPr>
            <w:r>
              <w:rPr>
                <w:b/>
                <w:color w:val="001F5F"/>
                <w:sz w:val="24"/>
              </w:rPr>
              <w:t>2016</w:t>
            </w:r>
          </w:p>
        </w:tc>
        <w:tc>
          <w:tcPr>
            <w:tcW w:w="94" w:type="dxa"/>
            <w:tcBorders>
              <w:right w:val="nil"/>
            </w:tcBorders>
          </w:tcPr>
          <w:p w:rsidR="00B801AF" w:rsidRDefault="00B801AF">
            <w:pPr>
              <w:pStyle w:val="TableParagraph"/>
            </w:pPr>
          </w:p>
        </w:tc>
        <w:tc>
          <w:tcPr>
            <w:tcW w:w="1866" w:type="dxa"/>
            <w:tcBorders>
              <w:left w:val="nil"/>
            </w:tcBorders>
          </w:tcPr>
          <w:p w:rsidR="00B801AF" w:rsidRDefault="00602675">
            <w:pPr>
              <w:pStyle w:val="TableParagraph"/>
              <w:spacing w:line="268" w:lineRule="exact"/>
              <w:ind w:left="16"/>
              <w:rPr>
                <w:sz w:val="24"/>
              </w:rPr>
            </w:pPr>
            <w:r>
              <w:rPr>
                <w:sz w:val="24"/>
              </w:rPr>
              <w:t>1.10</w:t>
            </w:r>
          </w:p>
        </w:tc>
      </w:tr>
      <w:tr w:rsidR="00B801AF">
        <w:trPr>
          <w:trHeight w:val="388"/>
        </w:trPr>
        <w:tc>
          <w:tcPr>
            <w:tcW w:w="2483" w:type="dxa"/>
            <w:tcBorders>
              <w:left w:val="single" w:sz="12" w:space="0" w:color="4AACC5"/>
            </w:tcBorders>
            <w:shd w:val="clear" w:color="auto" w:fill="D2EAF0"/>
          </w:tcPr>
          <w:p w:rsidR="00B801AF" w:rsidRDefault="00602675">
            <w:pPr>
              <w:pStyle w:val="TableParagraph"/>
              <w:spacing w:line="253" w:lineRule="exact"/>
              <w:ind w:left="97"/>
              <w:rPr>
                <w:b/>
                <w:sz w:val="24"/>
              </w:rPr>
            </w:pPr>
            <w:r>
              <w:rPr>
                <w:b/>
                <w:color w:val="001F5F"/>
                <w:sz w:val="24"/>
              </w:rPr>
              <w:t>2015</w:t>
            </w:r>
          </w:p>
        </w:tc>
        <w:tc>
          <w:tcPr>
            <w:tcW w:w="94" w:type="dxa"/>
            <w:tcBorders>
              <w:right w:val="nil"/>
            </w:tcBorders>
            <w:shd w:val="clear" w:color="auto" w:fill="D2EAF0"/>
          </w:tcPr>
          <w:p w:rsidR="00B801AF" w:rsidRDefault="00B801AF">
            <w:pPr>
              <w:pStyle w:val="TableParagraph"/>
            </w:pPr>
          </w:p>
        </w:tc>
        <w:tc>
          <w:tcPr>
            <w:tcW w:w="1866" w:type="dxa"/>
            <w:tcBorders>
              <w:left w:val="nil"/>
            </w:tcBorders>
            <w:shd w:val="clear" w:color="auto" w:fill="D2EAF0"/>
          </w:tcPr>
          <w:p w:rsidR="00B801AF" w:rsidRDefault="00602675">
            <w:pPr>
              <w:pStyle w:val="TableParagraph"/>
              <w:spacing w:line="253" w:lineRule="exact"/>
              <w:ind w:left="14"/>
              <w:rPr>
                <w:sz w:val="24"/>
              </w:rPr>
            </w:pPr>
            <w:r>
              <w:rPr>
                <w:sz w:val="24"/>
              </w:rPr>
              <w:t>1.20</w:t>
            </w:r>
          </w:p>
        </w:tc>
      </w:tr>
      <w:tr w:rsidR="00B801AF">
        <w:trPr>
          <w:trHeight w:val="436"/>
        </w:trPr>
        <w:tc>
          <w:tcPr>
            <w:tcW w:w="2483" w:type="dxa"/>
            <w:tcBorders>
              <w:left w:val="single" w:sz="12" w:space="0" w:color="4AACC5"/>
            </w:tcBorders>
          </w:tcPr>
          <w:p w:rsidR="00B801AF" w:rsidRDefault="00602675">
            <w:pPr>
              <w:pStyle w:val="TableParagraph"/>
              <w:spacing w:line="268" w:lineRule="exact"/>
              <w:ind w:left="109"/>
              <w:rPr>
                <w:b/>
                <w:sz w:val="24"/>
              </w:rPr>
            </w:pPr>
            <w:r>
              <w:rPr>
                <w:b/>
                <w:color w:val="001F5F"/>
                <w:sz w:val="24"/>
              </w:rPr>
              <w:t>2014</w:t>
            </w:r>
          </w:p>
        </w:tc>
        <w:tc>
          <w:tcPr>
            <w:tcW w:w="94" w:type="dxa"/>
            <w:tcBorders>
              <w:right w:val="nil"/>
            </w:tcBorders>
          </w:tcPr>
          <w:p w:rsidR="00B801AF" w:rsidRDefault="00B801AF">
            <w:pPr>
              <w:pStyle w:val="TableParagraph"/>
            </w:pPr>
          </w:p>
        </w:tc>
        <w:tc>
          <w:tcPr>
            <w:tcW w:w="1866" w:type="dxa"/>
            <w:tcBorders>
              <w:left w:val="nil"/>
            </w:tcBorders>
          </w:tcPr>
          <w:p w:rsidR="00B801AF" w:rsidRDefault="00602675">
            <w:pPr>
              <w:pStyle w:val="TableParagraph"/>
              <w:spacing w:line="268" w:lineRule="exact"/>
              <w:ind w:left="16"/>
              <w:rPr>
                <w:sz w:val="24"/>
              </w:rPr>
            </w:pPr>
            <w:r>
              <w:rPr>
                <w:sz w:val="24"/>
              </w:rPr>
              <w:t>1.37</w:t>
            </w:r>
          </w:p>
        </w:tc>
      </w:tr>
      <w:tr w:rsidR="00B801AF">
        <w:trPr>
          <w:trHeight w:val="390"/>
        </w:trPr>
        <w:tc>
          <w:tcPr>
            <w:tcW w:w="2483" w:type="dxa"/>
            <w:tcBorders>
              <w:left w:val="single" w:sz="12" w:space="0" w:color="4AACC5"/>
            </w:tcBorders>
            <w:shd w:val="clear" w:color="auto" w:fill="D2EAF0"/>
          </w:tcPr>
          <w:p w:rsidR="00B801AF" w:rsidRDefault="00602675">
            <w:pPr>
              <w:pStyle w:val="TableParagraph"/>
              <w:spacing w:line="251" w:lineRule="exact"/>
              <w:ind w:left="97"/>
              <w:rPr>
                <w:b/>
                <w:sz w:val="24"/>
              </w:rPr>
            </w:pPr>
            <w:r>
              <w:rPr>
                <w:b/>
                <w:color w:val="001F5F"/>
                <w:sz w:val="24"/>
              </w:rPr>
              <w:t>2013</w:t>
            </w:r>
          </w:p>
        </w:tc>
        <w:tc>
          <w:tcPr>
            <w:tcW w:w="94" w:type="dxa"/>
            <w:tcBorders>
              <w:right w:val="nil"/>
            </w:tcBorders>
            <w:shd w:val="clear" w:color="auto" w:fill="D2EAF0"/>
          </w:tcPr>
          <w:p w:rsidR="00B801AF" w:rsidRDefault="00B801AF">
            <w:pPr>
              <w:pStyle w:val="TableParagraph"/>
            </w:pPr>
          </w:p>
        </w:tc>
        <w:tc>
          <w:tcPr>
            <w:tcW w:w="1866" w:type="dxa"/>
            <w:tcBorders>
              <w:left w:val="nil"/>
            </w:tcBorders>
            <w:shd w:val="clear" w:color="auto" w:fill="D2EAF0"/>
          </w:tcPr>
          <w:p w:rsidR="00B801AF" w:rsidRDefault="00602675">
            <w:pPr>
              <w:pStyle w:val="TableParagraph"/>
              <w:spacing w:line="251" w:lineRule="exact"/>
              <w:ind w:left="14"/>
              <w:rPr>
                <w:sz w:val="24"/>
              </w:rPr>
            </w:pPr>
            <w:r>
              <w:rPr>
                <w:sz w:val="24"/>
              </w:rPr>
              <w:t>1.40</w:t>
            </w:r>
          </w:p>
        </w:tc>
      </w:tr>
    </w:tbl>
    <w:p w:rsidR="00B801AF" w:rsidRDefault="00602675">
      <w:pPr>
        <w:pStyle w:val="Heading4"/>
        <w:spacing w:before="18" w:after="5" w:line="357" w:lineRule="auto"/>
        <w:ind w:right="2533" w:firstLine="2220"/>
      </w:pPr>
      <w:r>
        <w:rPr>
          <w:color w:val="30849B"/>
        </w:rPr>
        <w:t xml:space="preserve">Table: Times Interest Earned Ratio of SEBL </w:t>
      </w:r>
      <w:r>
        <w:rPr>
          <w:color w:val="00AF50"/>
        </w:rPr>
        <w:t>Graphical Presentation:</w:t>
      </w:r>
    </w:p>
    <w:p w:rsidR="00B801AF" w:rsidRDefault="00602675">
      <w:pPr>
        <w:pStyle w:val="BodyText"/>
        <w:ind w:left="1408"/>
        <w:rPr>
          <w:sz w:val="20"/>
        </w:rPr>
      </w:pPr>
      <w:r>
        <w:rPr>
          <w:noProof/>
          <w:sz w:val="20"/>
        </w:rPr>
        <w:drawing>
          <wp:inline distT="0" distB="0" distL="0" distR="0">
            <wp:extent cx="4572000" cy="274320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4" cstate="print"/>
                    <a:stretch>
                      <a:fillRect/>
                    </a:stretch>
                  </pic:blipFill>
                  <pic:spPr>
                    <a:xfrm>
                      <a:off x="0" y="0"/>
                      <a:ext cx="4572000" cy="2743200"/>
                    </a:xfrm>
                    <a:prstGeom prst="rect">
                      <a:avLst/>
                    </a:prstGeom>
                  </pic:spPr>
                </pic:pic>
              </a:graphicData>
            </a:graphic>
          </wp:inline>
        </w:drawing>
      </w:r>
    </w:p>
    <w:p w:rsidR="00B801AF" w:rsidRDefault="00602675">
      <w:pPr>
        <w:spacing w:before="133"/>
        <w:ind w:left="561" w:right="479"/>
        <w:jc w:val="center"/>
        <w:rPr>
          <w:b/>
          <w:sz w:val="24"/>
        </w:rPr>
      </w:pPr>
      <w:r>
        <w:rPr>
          <w:b/>
          <w:color w:val="30849B"/>
          <w:sz w:val="24"/>
        </w:rPr>
        <w:t>Table: Times Interest Earned Ratio of SEBL</w:t>
      </w:r>
    </w:p>
    <w:p w:rsidR="00B801AF" w:rsidRDefault="00B801AF">
      <w:pPr>
        <w:pStyle w:val="BodyText"/>
        <w:spacing w:before="6"/>
        <w:rPr>
          <w:b/>
          <w:sz w:val="31"/>
        </w:rPr>
      </w:pPr>
    </w:p>
    <w:p w:rsidR="00B801AF" w:rsidRDefault="00602675">
      <w:pPr>
        <w:spacing w:before="1"/>
        <w:ind w:left="400"/>
        <w:rPr>
          <w:b/>
          <w:sz w:val="24"/>
        </w:rPr>
      </w:pPr>
      <w:r>
        <w:rPr>
          <w:b/>
          <w:color w:val="00AF50"/>
          <w:sz w:val="24"/>
        </w:rPr>
        <w:lastRenderedPageBreak/>
        <w:t>Interpretation:</w:t>
      </w:r>
    </w:p>
    <w:p w:rsidR="00B801AF" w:rsidRDefault="00B801AF">
      <w:pPr>
        <w:rPr>
          <w:sz w:val="24"/>
        </w:rPr>
        <w:sectPr w:rsidR="00B801AF">
          <w:pgSz w:w="11900" w:h="16840"/>
          <w:pgMar w:top="1340" w:right="1100" w:bottom="1200" w:left="1040" w:header="0" w:footer="1007" w:gutter="0"/>
          <w:cols w:space="720"/>
        </w:sectPr>
      </w:pPr>
    </w:p>
    <w:p w:rsidR="00B801AF" w:rsidRDefault="00602675">
      <w:pPr>
        <w:pStyle w:val="BodyText"/>
        <w:spacing w:before="66" w:line="357" w:lineRule="auto"/>
        <w:ind w:left="400" w:right="337"/>
        <w:jc w:val="both"/>
      </w:pPr>
      <w:r>
        <w:lastRenderedPageBreak/>
        <w:t>The time-to-interest ratio for SEBL is satisfactory but has been declining somewhat over the past three years. Thus, a high ratio should be maintained by reducing the operating cost of SEBL to achieve sufficient returns to meet interest obligations. A high ratio may indicate that a company has an unwarranted debt or is paying off excessive debt on the revenue used for other projects. It is losing the opportunity to come at the right time to pay interest.</w:t>
      </w:r>
    </w:p>
    <w:p w:rsidR="00B801AF" w:rsidRDefault="00602675">
      <w:pPr>
        <w:pStyle w:val="Heading4"/>
        <w:numPr>
          <w:ilvl w:val="2"/>
          <w:numId w:val="2"/>
        </w:numPr>
        <w:tabs>
          <w:tab w:val="left" w:pos="941"/>
        </w:tabs>
        <w:spacing w:before="5"/>
        <w:ind w:hanging="541"/>
        <w:jc w:val="both"/>
      </w:pPr>
      <w:bookmarkStart w:id="2" w:name="_TOC_250007"/>
      <w:r>
        <w:t>Profitability</w:t>
      </w:r>
      <w:r>
        <w:rPr>
          <w:spacing w:val="-1"/>
        </w:rPr>
        <w:t xml:space="preserve"> </w:t>
      </w:r>
      <w:bookmarkEnd w:id="2"/>
      <w:r>
        <w:t>Ratio:</w:t>
      </w:r>
    </w:p>
    <w:p w:rsidR="00B801AF" w:rsidRDefault="00602675">
      <w:pPr>
        <w:pStyle w:val="Heading4"/>
        <w:numPr>
          <w:ilvl w:val="3"/>
          <w:numId w:val="2"/>
        </w:numPr>
        <w:tabs>
          <w:tab w:val="left" w:pos="1121"/>
        </w:tabs>
        <w:spacing w:before="96" w:line="272" w:lineRule="exact"/>
        <w:ind w:hanging="721"/>
        <w:jc w:val="both"/>
        <w:rPr>
          <w:color w:val="2D75B5"/>
        </w:rPr>
      </w:pPr>
      <w:bookmarkStart w:id="3" w:name="_TOC_250006"/>
      <w:r>
        <w:rPr>
          <w:color w:val="2D75B5"/>
        </w:rPr>
        <w:t>Investment to Deposit</w:t>
      </w:r>
      <w:r>
        <w:rPr>
          <w:color w:val="2D75B5"/>
          <w:spacing w:val="-1"/>
        </w:rPr>
        <w:t xml:space="preserve"> </w:t>
      </w:r>
      <w:bookmarkEnd w:id="3"/>
      <w:r>
        <w:rPr>
          <w:color w:val="2D75B5"/>
        </w:rPr>
        <w:t>Ratio:</w:t>
      </w:r>
    </w:p>
    <w:p w:rsidR="00B801AF" w:rsidRDefault="00602675">
      <w:pPr>
        <w:pStyle w:val="BodyText"/>
        <w:spacing w:line="272" w:lineRule="exact"/>
        <w:ind w:left="400"/>
        <w:jc w:val="both"/>
      </w:pPr>
      <w:r>
        <w:t>It is expressed as:</w:t>
      </w:r>
    </w:p>
    <w:p w:rsidR="00B801AF" w:rsidRDefault="00B801AF">
      <w:pPr>
        <w:pStyle w:val="BodyText"/>
        <w:spacing w:before="8"/>
        <w:rPr>
          <w:sz w:val="30"/>
        </w:rPr>
      </w:pPr>
    </w:p>
    <w:p w:rsidR="00B801AF" w:rsidRDefault="00602675">
      <w:pPr>
        <w:pStyle w:val="BodyText"/>
        <w:spacing w:before="1"/>
        <w:ind w:left="400"/>
        <w:jc w:val="both"/>
      </w:pPr>
      <w:r>
        <w:t>Investment to Deposit Ratio=Total Investment/Total Deposit</w:t>
      </w:r>
    </w:p>
    <w:p w:rsidR="00B801AF" w:rsidRDefault="00B801AF">
      <w:pPr>
        <w:pStyle w:val="BodyText"/>
        <w:rPr>
          <w:sz w:val="20"/>
        </w:rPr>
      </w:pPr>
    </w:p>
    <w:p w:rsidR="00B801AF" w:rsidRDefault="00B801AF">
      <w:pPr>
        <w:pStyle w:val="BodyText"/>
        <w:rPr>
          <w:sz w:val="20"/>
        </w:rPr>
      </w:pPr>
    </w:p>
    <w:p w:rsidR="00B801AF" w:rsidRDefault="00B801AF">
      <w:pPr>
        <w:pStyle w:val="BodyText"/>
        <w:spacing w:before="2"/>
        <w:rPr>
          <w:sz w:val="25"/>
        </w:rPr>
      </w:pPr>
    </w:p>
    <w:tbl>
      <w:tblPr>
        <w:tblW w:w="0" w:type="auto"/>
        <w:tblInd w:w="2931"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940"/>
        <w:gridCol w:w="96"/>
        <w:gridCol w:w="1985"/>
      </w:tblGrid>
      <w:tr w:rsidR="00B801AF">
        <w:trPr>
          <w:trHeight w:val="455"/>
        </w:trPr>
        <w:tc>
          <w:tcPr>
            <w:tcW w:w="1940" w:type="dxa"/>
          </w:tcPr>
          <w:p w:rsidR="00B801AF" w:rsidRDefault="00602675">
            <w:pPr>
              <w:pStyle w:val="TableParagraph"/>
              <w:spacing w:before="10"/>
              <w:ind w:left="110"/>
              <w:rPr>
                <w:b/>
                <w:sz w:val="24"/>
              </w:rPr>
            </w:pPr>
            <w:r>
              <w:rPr>
                <w:b/>
                <w:sz w:val="24"/>
              </w:rPr>
              <w:t>Year</w:t>
            </w:r>
          </w:p>
        </w:tc>
        <w:tc>
          <w:tcPr>
            <w:tcW w:w="2081" w:type="dxa"/>
            <w:gridSpan w:val="2"/>
          </w:tcPr>
          <w:p w:rsidR="00B801AF" w:rsidRDefault="00602675">
            <w:pPr>
              <w:pStyle w:val="TableParagraph"/>
              <w:spacing w:before="10"/>
              <w:ind w:left="100"/>
              <w:rPr>
                <w:b/>
                <w:sz w:val="24"/>
              </w:rPr>
            </w:pPr>
            <w:r>
              <w:rPr>
                <w:b/>
                <w:sz w:val="24"/>
              </w:rPr>
              <w:t>Ratio</w:t>
            </w:r>
          </w:p>
        </w:tc>
      </w:tr>
      <w:tr w:rsidR="00B801AF">
        <w:trPr>
          <w:trHeight w:val="522"/>
        </w:trPr>
        <w:tc>
          <w:tcPr>
            <w:tcW w:w="1940" w:type="dxa"/>
            <w:shd w:val="clear" w:color="auto" w:fill="D2EAF0"/>
          </w:tcPr>
          <w:p w:rsidR="00B801AF" w:rsidRDefault="00602675">
            <w:pPr>
              <w:pStyle w:val="TableParagraph"/>
              <w:spacing w:line="272" w:lineRule="exact"/>
              <w:ind w:left="100"/>
              <w:rPr>
                <w:b/>
                <w:sz w:val="24"/>
              </w:rPr>
            </w:pPr>
            <w:r>
              <w:rPr>
                <w:b/>
                <w:color w:val="001F5F"/>
                <w:sz w:val="24"/>
              </w:rPr>
              <w:t>2017</w:t>
            </w:r>
          </w:p>
        </w:tc>
        <w:tc>
          <w:tcPr>
            <w:tcW w:w="96" w:type="dxa"/>
            <w:tcBorders>
              <w:right w:val="nil"/>
            </w:tcBorders>
            <w:shd w:val="clear" w:color="auto" w:fill="D2EAF0"/>
          </w:tcPr>
          <w:p w:rsidR="00B801AF" w:rsidRDefault="00B801AF">
            <w:pPr>
              <w:pStyle w:val="TableParagraph"/>
            </w:pPr>
          </w:p>
        </w:tc>
        <w:tc>
          <w:tcPr>
            <w:tcW w:w="1985" w:type="dxa"/>
            <w:tcBorders>
              <w:left w:val="nil"/>
            </w:tcBorders>
            <w:shd w:val="clear" w:color="auto" w:fill="D2EAF0"/>
          </w:tcPr>
          <w:p w:rsidR="00B801AF" w:rsidRDefault="00602675">
            <w:pPr>
              <w:pStyle w:val="TableParagraph"/>
              <w:spacing w:line="275" w:lineRule="exact"/>
              <w:ind w:left="13"/>
              <w:rPr>
                <w:sz w:val="24"/>
              </w:rPr>
            </w:pPr>
            <w:r>
              <w:rPr>
                <w:sz w:val="24"/>
              </w:rPr>
              <w:t>0.303</w:t>
            </w:r>
          </w:p>
        </w:tc>
      </w:tr>
      <w:tr w:rsidR="00B801AF">
        <w:trPr>
          <w:trHeight w:val="433"/>
        </w:trPr>
        <w:tc>
          <w:tcPr>
            <w:tcW w:w="1940" w:type="dxa"/>
          </w:tcPr>
          <w:p w:rsidR="00B801AF" w:rsidRDefault="00602675">
            <w:pPr>
              <w:pStyle w:val="TableParagraph"/>
              <w:spacing w:line="263" w:lineRule="exact"/>
              <w:ind w:left="110"/>
              <w:rPr>
                <w:b/>
                <w:sz w:val="24"/>
              </w:rPr>
            </w:pPr>
            <w:r>
              <w:rPr>
                <w:b/>
                <w:color w:val="001F5F"/>
                <w:sz w:val="24"/>
              </w:rPr>
              <w:t>2016</w:t>
            </w:r>
          </w:p>
        </w:tc>
        <w:tc>
          <w:tcPr>
            <w:tcW w:w="96" w:type="dxa"/>
            <w:tcBorders>
              <w:right w:val="nil"/>
            </w:tcBorders>
          </w:tcPr>
          <w:p w:rsidR="00B801AF" w:rsidRDefault="00B801AF">
            <w:pPr>
              <w:pStyle w:val="TableParagraph"/>
            </w:pPr>
          </w:p>
        </w:tc>
        <w:tc>
          <w:tcPr>
            <w:tcW w:w="1985" w:type="dxa"/>
            <w:tcBorders>
              <w:left w:val="nil"/>
            </w:tcBorders>
          </w:tcPr>
          <w:p w:rsidR="00B801AF" w:rsidRDefault="00602675">
            <w:pPr>
              <w:pStyle w:val="TableParagraph"/>
              <w:spacing w:line="263" w:lineRule="exact"/>
              <w:ind w:left="13"/>
              <w:rPr>
                <w:sz w:val="24"/>
              </w:rPr>
            </w:pPr>
            <w:r>
              <w:rPr>
                <w:sz w:val="24"/>
              </w:rPr>
              <w:t>0.306</w:t>
            </w:r>
          </w:p>
        </w:tc>
      </w:tr>
      <w:tr w:rsidR="00B801AF">
        <w:trPr>
          <w:trHeight w:val="387"/>
        </w:trPr>
        <w:tc>
          <w:tcPr>
            <w:tcW w:w="1940" w:type="dxa"/>
            <w:shd w:val="clear" w:color="auto" w:fill="D2EAF0"/>
          </w:tcPr>
          <w:p w:rsidR="00B801AF" w:rsidRDefault="00602675">
            <w:pPr>
              <w:pStyle w:val="TableParagraph"/>
              <w:spacing w:line="253" w:lineRule="exact"/>
              <w:ind w:left="100"/>
              <w:rPr>
                <w:b/>
                <w:sz w:val="24"/>
              </w:rPr>
            </w:pPr>
            <w:r>
              <w:rPr>
                <w:b/>
                <w:color w:val="001F5F"/>
                <w:sz w:val="24"/>
              </w:rPr>
              <w:t>2015</w:t>
            </w:r>
          </w:p>
        </w:tc>
        <w:tc>
          <w:tcPr>
            <w:tcW w:w="96" w:type="dxa"/>
            <w:tcBorders>
              <w:right w:val="nil"/>
            </w:tcBorders>
            <w:shd w:val="clear" w:color="auto" w:fill="D2EAF0"/>
          </w:tcPr>
          <w:p w:rsidR="00B801AF" w:rsidRDefault="00B801AF">
            <w:pPr>
              <w:pStyle w:val="TableParagraph"/>
            </w:pPr>
          </w:p>
        </w:tc>
        <w:tc>
          <w:tcPr>
            <w:tcW w:w="1985" w:type="dxa"/>
            <w:tcBorders>
              <w:left w:val="nil"/>
            </w:tcBorders>
            <w:shd w:val="clear" w:color="auto" w:fill="D2EAF0"/>
          </w:tcPr>
          <w:p w:rsidR="00B801AF" w:rsidRDefault="00602675">
            <w:pPr>
              <w:pStyle w:val="TableParagraph"/>
              <w:spacing w:line="253" w:lineRule="exact"/>
              <w:ind w:left="13"/>
              <w:rPr>
                <w:sz w:val="24"/>
              </w:rPr>
            </w:pPr>
            <w:r>
              <w:rPr>
                <w:sz w:val="24"/>
              </w:rPr>
              <w:t>0.328</w:t>
            </w:r>
          </w:p>
        </w:tc>
      </w:tr>
      <w:tr w:rsidR="00B801AF">
        <w:trPr>
          <w:trHeight w:val="460"/>
        </w:trPr>
        <w:tc>
          <w:tcPr>
            <w:tcW w:w="1940" w:type="dxa"/>
          </w:tcPr>
          <w:p w:rsidR="00B801AF" w:rsidRDefault="00602675">
            <w:pPr>
              <w:pStyle w:val="TableParagraph"/>
              <w:spacing w:line="268" w:lineRule="exact"/>
              <w:ind w:left="110"/>
              <w:rPr>
                <w:b/>
                <w:sz w:val="24"/>
              </w:rPr>
            </w:pPr>
            <w:r>
              <w:rPr>
                <w:b/>
                <w:color w:val="001F5F"/>
                <w:sz w:val="24"/>
              </w:rPr>
              <w:t>2014</w:t>
            </w:r>
          </w:p>
        </w:tc>
        <w:tc>
          <w:tcPr>
            <w:tcW w:w="96" w:type="dxa"/>
            <w:tcBorders>
              <w:right w:val="nil"/>
            </w:tcBorders>
          </w:tcPr>
          <w:p w:rsidR="00B801AF" w:rsidRDefault="00B801AF">
            <w:pPr>
              <w:pStyle w:val="TableParagraph"/>
            </w:pPr>
          </w:p>
        </w:tc>
        <w:tc>
          <w:tcPr>
            <w:tcW w:w="1985" w:type="dxa"/>
            <w:tcBorders>
              <w:left w:val="nil"/>
            </w:tcBorders>
          </w:tcPr>
          <w:p w:rsidR="00B801AF" w:rsidRDefault="00602675">
            <w:pPr>
              <w:pStyle w:val="TableParagraph"/>
              <w:spacing w:line="268" w:lineRule="exact"/>
              <w:ind w:left="13"/>
              <w:rPr>
                <w:sz w:val="24"/>
              </w:rPr>
            </w:pPr>
            <w:r>
              <w:rPr>
                <w:sz w:val="24"/>
              </w:rPr>
              <w:t>0.198</w:t>
            </w:r>
          </w:p>
        </w:tc>
      </w:tr>
      <w:tr w:rsidR="00B801AF">
        <w:trPr>
          <w:trHeight w:val="371"/>
        </w:trPr>
        <w:tc>
          <w:tcPr>
            <w:tcW w:w="1940" w:type="dxa"/>
            <w:shd w:val="clear" w:color="auto" w:fill="D2EAF0"/>
          </w:tcPr>
          <w:p w:rsidR="00B801AF" w:rsidRDefault="00602675">
            <w:pPr>
              <w:pStyle w:val="TableParagraph"/>
              <w:spacing w:line="234" w:lineRule="exact"/>
              <w:ind w:left="100"/>
              <w:rPr>
                <w:b/>
                <w:sz w:val="24"/>
              </w:rPr>
            </w:pPr>
            <w:r>
              <w:rPr>
                <w:b/>
                <w:color w:val="001F5F"/>
                <w:sz w:val="24"/>
              </w:rPr>
              <w:t>2013</w:t>
            </w:r>
          </w:p>
        </w:tc>
        <w:tc>
          <w:tcPr>
            <w:tcW w:w="96" w:type="dxa"/>
            <w:tcBorders>
              <w:right w:val="nil"/>
            </w:tcBorders>
            <w:shd w:val="clear" w:color="auto" w:fill="D2EAF0"/>
          </w:tcPr>
          <w:p w:rsidR="00B801AF" w:rsidRDefault="00B801AF">
            <w:pPr>
              <w:pStyle w:val="TableParagraph"/>
            </w:pPr>
          </w:p>
        </w:tc>
        <w:tc>
          <w:tcPr>
            <w:tcW w:w="1985" w:type="dxa"/>
            <w:tcBorders>
              <w:left w:val="nil"/>
            </w:tcBorders>
            <w:shd w:val="clear" w:color="auto" w:fill="D2EAF0"/>
          </w:tcPr>
          <w:p w:rsidR="00B801AF" w:rsidRDefault="00602675">
            <w:pPr>
              <w:pStyle w:val="TableParagraph"/>
              <w:spacing w:line="239" w:lineRule="exact"/>
              <w:ind w:left="13"/>
              <w:rPr>
                <w:sz w:val="24"/>
              </w:rPr>
            </w:pPr>
            <w:r>
              <w:rPr>
                <w:sz w:val="24"/>
              </w:rPr>
              <w:t>0.225</w:t>
            </w:r>
          </w:p>
        </w:tc>
      </w:tr>
    </w:tbl>
    <w:p w:rsidR="00B801AF" w:rsidRDefault="00602675">
      <w:pPr>
        <w:pStyle w:val="Heading4"/>
        <w:spacing w:line="273" w:lineRule="exact"/>
      </w:pPr>
      <w:r>
        <w:rPr>
          <w:noProof/>
        </w:rPr>
        <w:drawing>
          <wp:anchor distT="0" distB="0" distL="0" distR="0" simplePos="0" relativeHeight="12" behindDoc="0" locked="0" layoutInCell="1" allowOverlap="1">
            <wp:simplePos x="0" y="0"/>
            <wp:positionH relativeFrom="page">
              <wp:posOffset>1549400</wp:posOffset>
            </wp:positionH>
            <wp:positionV relativeFrom="paragraph">
              <wp:posOffset>259206</wp:posOffset>
            </wp:positionV>
            <wp:extent cx="4572000" cy="2743200"/>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5" cstate="print"/>
                    <a:stretch>
                      <a:fillRect/>
                    </a:stretch>
                  </pic:blipFill>
                  <pic:spPr>
                    <a:xfrm>
                      <a:off x="0" y="0"/>
                      <a:ext cx="4572000" cy="2743200"/>
                    </a:xfrm>
                    <a:prstGeom prst="rect">
                      <a:avLst/>
                    </a:prstGeom>
                  </pic:spPr>
                </pic:pic>
              </a:graphicData>
            </a:graphic>
          </wp:anchor>
        </w:drawing>
      </w:r>
      <w:r>
        <w:rPr>
          <w:color w:val="30849B"/>
        </w:rPr>
        <w:t xml:space="preserve">Table: Investment to Deposit Ratio of SEBL </w:t>
      </w:r>
      <w:r>
        <w:rPr>
          <w:color w:val="00AF50"/>
        </w:rPr>
        <w:t>Graphical Presentation:</w:t>
      </w:r>
    </w:p>
    <w:p w:rsidR="00B801AF" w:rsidRDefault="00602675">
      <w:pPr>
        <w:spacing w:before="124"/>
        <w:ind w:left="561" w:right="479"/>
        <w:jc w:val="center"/>
        <w:rPr>
          <w:b/>
          <w:sz w:val="24"/>
        </w:rPr>
      </w:pPr>
      <w:r>
        <w:rPr>
          <w:b/>
          <w:color w:val="30849B"/>
          <w:sz w:val="24"/>
        </w:rPr>
        <w:t>Figure: Investment to Deposit Ratio of SEBL</w:t>
      </w:r>
    </w:p>
    <w:p w:rsidR="00B801AF" w:rsidRDefault="00B801AF">
      <w:pPr>
        <w:pStyle w:val="BodyText"/>
        <w:spacing w:before="10"/>
        <w:rPr>
          <w:b/>
          <w:sz w:val="30"/>
        </w:rPr>
      </w:pPr>
    </w:p>
    <w:p w:rsidR="00B801AF" w:rsidRDefault="00602675">
      <w:pPr>
        <w:ind w:left="400"/>
        <w:rPr>
          <w:b/>
          <w:sz w:val="24"/>
        </w:rPr>
      </w:pPr>
      <w:r>
        <w:rPr>
          <w:b/>
          <w:color w:val="00AF50"/>
          <w:sz w:val="24"/>
        </w:rPr>
        <w:t>Interpretation:</w:t>
      </w:r>
    </w:p>
    <w:p w:rsidR="00B801AF" w:rsidRDefault="00B801AF">
      <w:pPr>
        <w:pStyle w:val="BodyText"/>
        <w:spacing w:before="1"/>
        <w:rPr>
          <w:b/>
          <w:sz w:val="31"/>
        </w:rPr>
      </w:pPr>
    </w:p>
    <w:p w:rsidR="00B801AF" w:rsidRDefault="00602675">
      <w:pPr>
        <w:pStyle w:val="BodyText"/>
        <w:spacing w:before="1" w:line="350" w:lineRule="auto"/>
        <w:ind w:left="400" w:right="327" w:firstLine="60"/>
      </w:pPr>
      <w:r>
        <w:t xml:space="preserve">Investment in the ratio of deposits shows that the amount of money used as a deposit </w:t>
      </w:r>
      <w:r>
        <w:lastRenderedPageBreak/>
        <w:t>investment. SEBL's investment in deposit ratio is increasing year after year. That means the</w:t>
      </w:r>
    </w:p>
    <w:p w:rsidR="00B801AF" w:rsidRDefault="00B801AF">
      <w:pPr>
        <w:spacing w:line="350" w:lineRule="auto"/>
        <w:sectPr w:rsidR="00B801AF">
          <w:pgSz w:w="11900" w:h="16840"/>
          <w:pgMar w:top="1360" w:right="1100" w:bottom="1220" w:left="1040" w:header="0" w:footer="1007" w:gutter="0"/>
          <w:cols w:space="720"/>
        </w:sectPr>
      </w:pPr>
    </w:p>
    <w:p w:rsidR="00B801AF" w:rsidRDefault="00602675">
      <w:pPr>
        <w:pStyle w:val="BodyText"/>
        <w:spacing w:before="69"/>
        <w:ind w:left="400"/>
      </w:pPr>
      <w:r>
        <w:lastRenderedPageBreak/>
        <w:t>bank is using their deposits properly</w:t>
      </w:r>
    </w:p>
    <w:p w:rsidR="00B801AF" w:rsidRDefault="00B801AF">
      <w:pPr>
        <w:pStyle w:val="BodyText"/>
        <w:spacing w:before="3"/>
        <w:rPr>
          <w:sz w:val="26"/>
        </w:rPr>
      </w:pPr>
    </w:p>
    <w:p w:rsidR="00B801AF" w:rsidRDefault="00602675">
      <w:pPr>
        <w:pStyle w:val="Heading4"/>
        <w:numPr>
          <w:ilvl w:val="3"/>
          <w:numId w:val="2"/>
        </w:numPr>
        <w:tabs>
          <w:tab w:val="left" w:pos="1121"/>
        </w:tabs>
        <w:ind w:hanging="721"/>
        <w:jc w:val="both"/>
      </w:pPr>
      <w:bookmarkStart w:id="4" w:name="_TOC_250005"/>
      <w:bookmarkEnd w:id="4"/>
      <w:r>
        <w:t>Net Profit Margin:</w:t>
      </w:r>
    </w:p>
    <w:p w:rsidR="00B801AF" w:rsidRDefault="00602675">
      <w:pPr>
        <w:pStyle w:val="BodyText"/>
        <w:spacing w:before="10" w:line="357" w:lineRule="auto"/>
        <w:ind w:left="400" w:right="358"/>
        <w:jc w:val="both"/>
      </w:pPr>
      <w:r>
        <w:t>Gross profit margin measures the percentage of sales dollars after all expenses, including taxes. The higher the firm's net profit, the better. Net profit margin is a commonly cited measure of a company's success in sales related earnings: Net Profit Margin=Net Profit after Tax/Operating Income</w:t>
      </w:r>
    </w:p>
    <w:p w:rsidR="00B801AF" w:rsidRDefault="00B801AF">
      <w:pPr>
        <w:pStyle w:val="BodyText"/>
        <w:spacing w:before="5"/>
        <w:rPr>
          <w:sz w:val="20"/>
        </w:rPr>
      </w:pPr>
    </w:p>
    <w:tbl>
      <w:tblPr>
        <w:tblW w:w="0" w:type="auto"/>
        <w:tblInd w:w="2890"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3202"/>
        <w:gridCol w:w="1779"/>
      </w:tblGrid>
      <w:tr w:rsidR="00B801AF">
        <w:trPr>
          <w:trHeight w:val="450"/>
        </w:trPr>
        <w:tc>
          <w:tcPr>
            <w:tcW w:w="3202" w:type="dxa"/>
          </w:tcPr>
          <w:p w:rsidR="00B801AF" w:rsidRDefault="00602675">
            <w:pPr>
              <w:pStyle w:val="TableParagraph"/>
              <w:spacing w:before="6"/>
              <w:ind w:left="119"/>
              <w:rPr>
                <w:b/>
                <w:sz w:val="24"/>
              </w:rPr>
            </w:pPr>
            <w:r>
              <w:rPr>
                <w:b/>
                <w:sz w:val="24"/>
              </w:rPr>
              <w:t>Year</w:t>
            </w:r>
          </w:p>
        </w:tc>
        <w:tc>
          <w:tcPr>
            <w:tcW w:w="1779" w:type="dxa"/>
          </w:tcPr>
          <w:p w:rsidR="00B801AF" w:rsidRDefault="00602675">
            <w:pPr>
              <w:pStyle w:val="TableParagraph"/>
              <w:spacing w:before="6"/>
              <w:ind w:left="78"/>
              <w:rPr>
                <w:b/>
                <w:sz w:val="24"/>
              </w:rPr>
            </w:pPr>
            <w:r>
              <w:rPr>
                <w:b/>
                <w:sz w:val="24"/>
              </w:rPr>
              <w:t>Ratio</w:t>
            </w:r>
          </w:p>
        </w:tc>
      </w:tr>
      <w:tr w:rsidR="00B801AF">
        <w:trPr>
          <w:trHeight w:val="662"/>
        </w:trPr>
        <w:tc>
          <w:tcPr>
            <w:tcW w:w="3202" w:type="dxa"/>
            <w:shd w:val="clear" w:color="auto" w:fill="D2EAF0"/>
          </w:tcPr>
          <w:p w:rsidR="00B801AF" w:rsidRDefault="00602675">
            <w:pPr>
              <w:pStyle w:val="TableParagraph"/>
              <w:spacing w:line="275" w:lineRule="exact"/>
              <w:ind w:left="119"/>
              <w:rPr>
                <w:b/>
                <w:sz w:val="24"/>
              </w:rPr>
            </w:pPr>
            <w:r>
              <w:rPr>
                <w:b/>
                <w:color w:val="001F5F"/>
                <w:sz w:val="24"/>
              </w:rPr>
              <w:t>2017</w:t>
            </w:r>
          </w:p>
        </w:tc>
        <w:tc>
          <w:tcPr>
            <w:tcW w:w="1779" w:type="dxa"/>
            <w:shd w:val="clear" w:color="auto" w:fill="D2EAF0"/>
          </w:tcPr>
          <w:p w:rsidR="00B801AF" w:rsidRDefault="00602675">
            <w:pPr>
              <w:pStyle w:val="TableParagraph"/>
              <w:spacing w:line="272" w:lineRule="exact"/>
              <w:ind w:left="78"/>
              <w:rPr>
                <w:sz w:val="24"/>
              </w:rPr>
            </w:pPr>
            <w:r>
              <w:rPr>
                <w:sz w:val="24"/>
              </w:rPr>
              <w:t>0.165811</w:t>
            </w:r>
          </w:p>
        </w:tc>
      </w:tr>
      <w:tr w:rsidR="00B801AF">
        <w:trPr>
          <w:trHeight w:val="500"/>
        </w:trPr>
        <w:tc>
          <w:tcPr>
            <w:tcW w:w="3202" w:type="dxa"/>
          </w:tcPr>
          <w:p w:rsidR="00B801AF" w:rsidRDefault="00602675">
            <w:pPr>
              <w:pStyle w:val="TableParagraph"/>
              <w:spacing w:line="268" w:lineRule="exact"/>
              <w:ind w:left="131"/>
              <w:rPr>
                <w:b/>
                <w:sz w:val="24"/>
              </w:rPr>
            </w:pPr>
            <w:r>
              <w:rPr>
                <w:b/>
                <w:color w:val="001F5F"/>
                <w:sz w:val="24"/>
              </w:rPr>
              <w:t>2016</w:t>
            </w:r>
          </w:p>
        </w:tc>
        <w:tc>
          <w:tcPr>
            <w:tcW w:w="1779" w:type="dxa"/>
          </w:tcPr>
          <w:p w:rsidR="00B801AF" w:rsidRDefault="00602675">
            <w:pPr>
              <w:pStyle w:val="TableParagraph"/>
              <w:spacing w:line="268" w:lineRule="exact"/>
              <w:ind w:left="78"/>
              <w:rPr>
                <w:sz w:val="24"/>
              </w:rPr>
            </w:pPr>
            <w:r>
              <w:rPr>
                <w:sz w:val="24"/>
              </w:rPr>
              <w:t>0.147800</w:t>
            </w:r>
          </w:p>
        </w:tc>
      </w:tr>
      <w:tr w:rsidR="00B801AF">
        <w:trPr>
          <w:trHeight w:val="496"/>
        </w:trPr>
        <w:tc>
          <w:tcPr>
            <w:tcW w:w="3202" w:type="dxa"/>
            <w:shd w:val="clear" w:color="auto" w:fill="D2EAF0"/>
          </w:tcPr>
          <w:p w:rsidR="00B801AF" w:rsidRDefault="00602675">
            <w:pPr>
              <w:pStyle w:val="TableParagraph"/>
              <w:spacing w:line="253" w:lineRule="exact"/>
              <w:ind w:left="119"/>
              <w:rPr>
                <w:b/>
                <w:sz w:val="24"/>
              </w:rPr>
            </w:pPr>
            <w:r>
              <w:rPr>
                <w:b/>
                <w:color w:val="001F5F"/>
                <w:sz w:val="24"/>
              </w:rPr>
              <w:t>2015</w:t>
            </w:r>
          </w:p>
        </w:tc>
        <w:tc>
          <w:tcPr>
            <w:tcW w:w="1779" w:type="dxa"/>
            <w:shd w:val="clear" w:color="auto" w:fill="D2EAF0"/>
          </w:tcPr>
          <w:p w:rsidR="00B801AF" w:rsidRDefault="00602675">
            <w:pPr>
              <w:pStyle w:val="TableParagraph"/>
              <w:spacing w:line="253" w:lineRule="exact"/>
              <w:ind w:left="78"/>
              <w:rPr>
                <w:sz w:val="24"/>
              </w:rPr>
            </w:pPr>
            <w:r>
              <w:rPr>
                <w:sz w:val="24"/>
              </w:rPr>
              <w:t>0.200434</w:t>
            </w:r>
          </w:p>
        </w:tc>
      </w:tr>
      <w:tr w:rsidR="00B801AF">
        <w:trPr>
          <w:trHeight w:val="536"/>
        </w:trPr>
        <w:tc>
          <w:tcPr>
            <w:tcW w:w="3202" w:type="dxa"/>
          </w:tcPr>
          <w:p w:rsidR="00B801AF" w:rsidRDefault="00602675">
            <w:pPr>
              <w:pStyle w:val="TableParagraph"/>
              <w:spacing w:line="263" w:lineRule="exact"/>
              <w:ind w:left="131"/>
              <w:rPr>
                <w:b/>
                <w:sz w:val="24"/>
              </w:rPr>
            </w:pPr>
            <w:r>
              <w:rPr>
                <w:b/>
                <w:color w:val="001F5F"/>
                <w:sz w:val="24"/>
              </w:rPr>
              <w:t>2014</w:t>
            </w:r>
          </w:p>
        </w:tc>
        <w:tc>
          <w:tcPr>
            <w:tcW w:w="1779" w:type="dxa"/>
          </w:tcPr>
          <w:p w:rsidR="00B801AF" w:rsidRDefault="00602675">
            <w:pPr>
              <w:pStyle w:val="TableParagraph"/>
              <w:spacing w:line="263" w:lineRule="exact"/>
              <w:ind w:left="78"/>
              <w:rPr>
                <w:sz w:val="24"/>
              </w:rPr>
            </w:pPr>
            <w:r>
              <w:rPr>
                <w:sz w:val="24"/>
              </w:rPr>
              <w:t>0.267133</w:t>
            </w:r>
          </w:p>
        </w:tc>
      </w:tr>
      <w:tr w:rsidR="00B801AF">
        <w:trPr>
          <w:trHeight w:val="392"/>
        </w:trPr>
        <w:tc>
          <w:tcPr>
            <w:tcW w:w="3202" w:type="dxa"/>
            <w:shd w:val="clear" w:color="auto" w:fill="D2EAF0"/>
          </w:tcPr>
          <w:p w:rsidR="00B801AF" w:rsidRDefault="00602675">
            <w:pPr>
              <w:pStyle w:val="TableParagraph"/>
              <w:spacing w:line="253" w:lineRule="exact"/>
              <w:ind w:left="119"/>
              <w:rPr>
                <w:b/>
                <w:sz w:val="24"/>
              </w:rPr>
            </w:pPr>
            <w:r>
              <w:rPr>
                <w:b/>
                <w:color w:val="001F5F"/>
                <w:sz w:val="24"/>
              </w:rPr>
              <w:t>2013</w:t>
            </w:r>
          </w:p>
        </w:tc>
        <w:tc>
          <w:tcPr>
            <w:tcW w:w="1779" w:type="dxa"/>
            <w:shd w:val="clear" w:color="auto" w:fill="D2EAF0"/>
          </w:tcPr>
          <w:p w:rsidR="00B801AF" w:rsidRDefault="00602675">
            <w:pPr>
              <w:pStyle w:val="TableParagraph"/>
              <w:spacing w:line="253" w:lineRule="exact"/>
              <w:ind w:left="78"/>
              <w:rPr>
                <w:sz w:val="24"/>
              </w:rPr>
            </w:pPr>
            <w:r>
              <w:rPr>
                <w:sz w:val="24"/>
              </w:rPr>
              <w:t>0.352562</w:t>
            </w:r>
          </w:p>
        </w:tc>
      </w:tr>
    </w:tbl>
    <w:p w:rsidR="00B801AF" w:rsidRDefault="00602675">
      <w:pPr>
        <w:pStyle w:val="Heading4"/>
        <w:spacing w:line="554" w:lineRule="auto"/>
        <w:ind w:left="779" w:right="2962" w:firstLine="2285"/>
      </w:pPr>
      <w:r>
        <w:rPr>
          <w:color w:val="30849B"/>
        </w:rPr>
        <w:t xml:space="preserve">Table: Profit Margin Ratio of SEBL </w:t>
      </w:r>
      <w:r>
        <w:rPr>
          <w:color w:val="00AF50"/>
        </w:rPr>
        <w:t>Graphical Presentation:</w:t>
      </w:r>
    </w:p>
    <w:p w:rsidR="00B801AF" w:rsidRDefault="00602675">
      <w:pPr>
        <w:pStyle w:val="BodyText"/>
        <w:spacing w:before="7"/>
        <w:rPr>
          <w:b/>
          <w:sz w:val="13"/>
        </w:rPr>
      </w:pPr>
      <w:r>
        <w:rPr>
          <w:noProof/>
        </w:rPr>
        <w:drawing>
          <wp:anchor distT="0" distB="0" distL="0" distR="0" simplePos="0" relativeHeight="13" behindDoc="0" locked="0" layoutInCell="1" allowOverlap="1">
            <wp:simplePos x="0" y="0"/>
            <wp:positionH relativeFrom="page">
              <wp:posOffset>1148080</wp:posOffset>
            </wp:positionH>
            <wp:positionV relativeFrom="paragraph">
              <wp:posOffset>124746</wp:posOffset>
            </wp:positionV>
            <wp:extent cx="4572000" cy="2743200"/>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6" cstate="print"/>
                    <a:stretch>
                      <a:fillRect/>
                    </a:stretch>
                  </pic:blipFill>
                  <pic:spPr>
                    <a:xfrm>
                      <a:off x="0" y="0"/>
                      <a:ext cx="4572000" cy="2743200"/>
                    </a:xfrm>
                    <a:prstGeom prst="rect">
                      <a:avLst/>
                    </a:prstGeom>
                  </pic:spPr>
                </pic:pic>
              </a:graphicData>
            </a:graphic>
          </wp:anchor>
        </w:drawing>
      </w:r>
    </w:p>
    <w:p w:rsidR="00B801AF" w:rsidRDefault="00602675">
      <w:pPr>
        <w:spacing w:before="103"/>
        <w:ind w:left="561" w:right="111"/>
        <w:jc w:val="center"/>
        <w:rPr>
          <w:b/>
          <w:sz w:val="24"/>
        </w:rPr>
      </w:pPr>
      <w:r>
        <w:rPr>
          <w:b/>
          <w:color w:val="30849B"/>
          <w:sz w:val="24"/>
        </w:rPr>
        <w:t>Figure: Profit Margin Ratio of SEBL</w:t>
      </w:r>
    </w:p>
    <w:p w:rsidR="00B801AF" w:rsidRDefault="00B801AF">
      <w:pPr>
        <w:pStyle w:val="BodyText"/>
        <w:spacing w:before="6"/>
        <w:rPr>
          <w:b/>
          <w:sz w:val="31"/>
        </w:rPr>
      </w:pPr>
    </w:p>
    <w:p w:rsidR="00B801AF" w:rsidRDefault="00602675">
      <w:pPr>
        <w:ind w:left="400"/>
        <w:rPr>
          <w:b/>
          <w:sz w:val="24"/>
        </w:rPr>
      </w:pPr>
      <w:r>
        <w:rPr>
          <w:b/>
          <w:color w:val="00AF50"/>
          <w:sz w:val="24"/>
        </w:rPr>
        <w:t>Interpretation:</w:t>
      </w:r>
    </w:p>
    <w:p w:rsidR="00B801AF" w:rsidRDefault="00B801AF">
      <w:pPr>
        <w:pStyle w:val="BodyText"/>
        <w:spacing w:before="2"/>
        <w:rPr>
          <w:b/>
          <w:sz w:val="32"/>
        </w:rPr>
      </w:pPr>
    </w:p>
    <w:p w:rsidR="00B801AF" w:rsidRDefault="00602675">
      <w:pPr>
        <w:spacing w:line="374" w:lineRule="auto"/>
        <w:ind w:left="400" w:right="327"/>
        <w:rPr>
          <w:sz w:val="23"/>
        </w:rPr>
      </w:pPr>
      <w:r>
        <w:rPr>
          <w:sz w:val="23"/>
        </w:rPr>
        <w:t xml:space="preserve">The bank's net profit margin (0.35-0.16) at 2013-2017 indicates that the profit margin is </w:t>
      </w:r>
      <w:r>
        <w:rPr>
          <w:sz w:val="23"/>
        </w:rPr>
        <w:lastRenderedPageBreak/>
        <w:t>decreasing day by day and this is not a good situation. SEBL's net profit margin is declining,</w:t>
      </w:r>
    </w:p>
    <w:p w:rsidR="00B801AF" w:rsidRDefault="00B801AF">
      <w:pPr>
        <w:spacing w:line="374" w:lineRule="auto"/>
        <w:rPr>
          <w:sz w:val="23"/>
        </w:rPr>
        <w:sectPr w:rsidR="00B801AF">
          <w:pgSz w:w="11900" w:h="16840"/>
          <w:pgMar w:top="1340" w:right="1100" w:bottom="1220" w:left="1040" w:header="0" w:footer="1007" w:gutter="0"/>
          <w:cols w:space="720"/>
        </w:sectPr>
      </w:pPr>
    </w:p>
    <w:p w:rsidR="00B801AF" w:rsidRDefault="00602675">
      <w:pPr>
        <w:pStyle w:val="BodyText"/>
        <w:spacing w:before="63" w:line="352" w:lineRule="auto"/>
        <w:ind w:left="400" w:right="732"/>
      </w:pPr>
      <w:r>
        <w:lastRenderedPageBreak/>
        <w:t>indicating that banks' profit margins are declining. The profit margin ratio value is 0.075, from the above graph we can see that the SEBL profit margin ratio is higher than the value but it is decreasing in nature.</w:t>
      </w:r>
    </w:p>
    <w:p w:rsidR="00B801AF" w:rsidRDefault="00B801AF">
      <w:pPr>
        <w:pStyle w:val="BodyText"/>
        <w:rPr>
          <w:sz w:val="26"/>
        </w:rPr>
      </w:pPr>
    </w:p>
    <w:p w:rsidR="00B801AF" w:rsidRDefault="00B801AF">
      <w:pPr>
        <w:pStyle w:val="BodyText"/>
        <w:rPr>
          <w:sz w:val="26"/>
        </w:rPr>
      </w:pPr>
    </w:p>
    <w:p w:rsidR="00B801AF" w:rsidRDefault="00B801AF">
      <w:pPr>
        <w:pStyle w:val="BodyText"/>
        <w:spacing w:before="7"/>
      </w:pPr>
    </w:p>
    <w:p w:rsidR="00B801AF" w:rsidRDefault="00602675">
      <w:pPr>
        <w:pStyle w:val="Heading4"/>
        <w:numPr>
          <w:ilvl w:val="3"/>
          <w:numId w:val="2"/>
        </w:numPr>
        <w:tabs>
          <w:tab w:val="left" w:pos="1121"/>
        </w:tabs>
        <w:ind w:hanging="721"/>
        <w:jc w:val="both"/>
      </w:pPr>
      <w:bookmarkStart w:id="5" w:name="_TOC_250004"/>
      <w:bookmarkEnd w:id="5"/>
      <w:r>
        <w:t>Return on Asset (ROA):</w:t>
      </w:r>
    </w:p>
    <w:p w:rsidR="00B801AF" w:rsidRDefault="00602675">
      <w:pPr>
        <w:pStyle w:val="BodyText"/>
        <w:spacing w:before="7" w:line="352" w:lineRule="auto"/>
        <w:ind w:left="400" w:right="361"/>
        <w:jc w:val="both"/>
      </w:pPr>
      <w:r>
        <w:t>Return Assets (ROA), often referred to as the firm's return on total assets, measures management's overall effectiveness in making a profit with its available assets. The proportion is better Return on Asset (ROA) =Net Profit after Tax/Total Asset</w:t>
      </w:r>
    </w:p>
    <w:p w:rsidR="00B801AF" w:rsidRDefault="00B801AF">
      <w:pPr>
        <w:pStyle w:val="BodyText"/>
        <w:spacing w:before="4"/>
        <w:rPr>
          <w:sz w:val="20"/>
        </w:rPr>
      </w:pPr>
    </w:p>
    <w:tbl>
      <w:tblPr>
        <w:tblW w:w="0" w:type="auto"/>
        <w:tblInd w:w="3190"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740"/>
        <w:gridCol w:w="96"/>
        <w:gridCol w:w="1645"/>
      </w:tblGrid>
      <w:tr w:rsidR="00B801AF">
        <w:trPr>
          <w:trHeight w:val="479"/>
        </w:trPr>
        <w:tc>
          <w:tcPr>
            <w:tcW w:w="1740" w:type="dxa"/>
          </w:tcPr>
          <w:p w:rsidR="00B801AF" w:rsidRDefault="00602675">
            <w:pPr>
              <w:pStyle w:val="TableParagraph"/>
              <w:spacing w:before="10"/>
              <w:ind w:left="138"/>
              <w:rPr>
                <w:b/>
                <w:sz w:val="24"/>
              </w:rPr>
            </w:pPr>
            <w:r>
              <w:rPr>
                <w:b/>
                <w:sz w:val="24"/>
              </w:rPr>
              <w:t>Year</w:t>
            </w:r>
          </w:p>
        </w:tc>
        <w:tc>
          <w:tcPr>
            <w:tcW w:w="1741" w:type="dxa"/>
            <w:gridSpan w:val="2"/>
          </w:tcPr>
          <w:p w:rsidR="00B801AF" w:rsidRDefault="00602675">
            <w:pPr>
              <w:pStyle w:val="TableParagraph"/>
              <w:spacing w:before="10"/>
              <w:ind w:left="100"/>
              <w:rPr>
                <w:b/>
                <w:sz w:val="24"/>
              </w:rPr>
            </w:pPr>
            <w:r>
              <w:rPr>
                <w:b/>
                <w:sz w:val="24"/>
              </w:rPr>
              <w:t>Ratio</w:t>
            </w:r>
          </w:p>
        </w:tc>
      </w:tr>
      <w:tr w:rsidR="00B801AF">
        <w:trPr>
          <w:trHeight w:val="483"/>
        </w:trPr>
        <w:tc>
          <w:tcPr>
            <w:tcW w:w="1740" w:type="dxa"/>
            <w:shd w:val="clear" w:color="auto" w:fill="D2EAF0"/>
          </w:tcPr>
          <w:p w:rsidR="00B801AF" w:rsidRDefault="00602675">
            <w:pPr>
              <w:pStyle w:val="TableParagraph"/>
              <w:spacing w:line="272" w:lineRule="exact"/>
              <w:ind w:left="119"/>
              <w:rPr>
                <w:b/>
                <w:sz w:val="24"/>
              </w:rPr>
            </w:pPr>
            <w:r>
              <w:rPr>
                <w:b/>
                <w:color w:val="001F5F"/>
                <w:sz w:val="24"/>
              </w:rPr>
              <w:t>2017</w:t>
            </w:r>
          </w:p>
        </w:tc>
        <w:tc>
          <w:tcPr>
            <w:tcW w:w="96" w:type="dxa"/>
            <w:tcBorders>
              <w:right w:val="nil"/>
            </w:tcBorders>
            <w:shd w:val="clear" w:color="auto" w:fill="D2EAF0"/>
          </w:tcPr>
          <w:p w:rsidR="00B801AF" w:rsidRDefault="00B801AF">
            <w:pPr>
              <w:pStyle w:val="TableParagraph"/>
            </w:pPr>
          </w:p>
        </w:tc>
        <w:tc>
          <w:tcPr>
            <w:tcW w:w="1645" w:type="dxa"/>
            <w:tcBorders>
              <w:left w:val="nil"/>
            </w:tcBorders>
            <w:shd w:val="clear" w:color="auto" w:fill="D2EAF0"/>
          </w:tcPr>
          <w:p w:rsidR="00B801AF" w:rsidRDefault="00602675">
            <w:pPr>
              <w:pStyle w:val="TableParagraph"/>
              <w:spacing w:line="272" w:lineRule="exact"/>
              <w:ind w:left="158"/>
              <w:rPr>
                <w:sz w:val="24"/>
              </w:rPr>
            </w:pPr>
            <w:r>
              <w:rPr>
                <w:sz w:val="24"/>
              </w:rPr>
              <w:t>0.60%</w:t>
            </w:r>
          </w:p>
        </w:tc>
      </w:tr>
      <w:tr w:rsidR="00B801AF">
        <w:trPr>
          <w:trHeight w:val="481"/>
        </w:trPr>
        <w:tc>
          <w:tcPr>
            <w:tcW w:w="1740" w:type="dxa"/>
          </w:tcPr>
          <w:p w:rsidR="00B801AF" w:rsidRDefault="00602675">
            <w:pPr>
              <w:pStyle w:val="TableParagraph"/>
              <w:spacing w:line="270" w:lineRule="exact"/>
              <w:ind w:left="131"/>
              <w:rPr>
                <w:b/>
                <w:sz w:val="24"/>
              </w:rPr>
            </w:pPr>
            <w:r>
              <w:rPr>
                <w:b/>
                <w:color w:val="001F5F"/>
                <w:sz w:val="24"/>
              </w:rPr>
              <w:t>2016</w:t>
            </w:r>
          </w:p>
        </w:tc>
        <w:tc>
          <w:tcPr>
            <w:tcW w:w="96" w:type="dxa"/>
            <w:tcBorders>
              <w:right w:val="nil"/>
            </w:tcBorders>
          </w:tcPr>
          <w:p w:rsidR="00B801AF" w:rsidRDefault="00B801AF">
            <w:pPr>
              <w:pStyle w:val="TableParagraph"/>
            </w:pPr>
          </w:p>
        </w:tc>
        <w:tc>
          <w:tcPr>
            <w:tcW w:w="1645" w:type="dxa"/>
            <w:tcBorders>
              <w:left w:val="nil"/>
            </w:tcBorders>
          </w:tcPr>
          <w:p w:rsidR="00B801AF" w:rsidRDefault="00602675">
            <w:pPr>
              <w:pStyle w:val="TableParagraph"/>
              <w:spacing w:line="268" w:lineRule="exact"/>
              <w:ind w:left="125"/>
              <w:rPr>
                <w:sz w:val="24"/>
              </w:rPr>
            </w:pPr>
            <w:r>
              <w:rPr>
                <w:sz w:val="24"/>
              </w:rPr>
              <w:t>0.30%</w:t>
            </w:r>
          </w:p>
        </w:tc>
      </w:tr>
      <w:tr w:rsidR="00B801AF">
        <w:trPr>
          <w:trHeight w:val="421"/>
        </w:trPr>
        <w:tc>
          <w:tcPr>
            <w:tcW w:w="1740" w:type="dxa"/>
            <w:shd w:val="clear" w:color="auto" w:fill="D2EAF0"/>
          </w:tcPr>
          <w:p w:rsidR="00B801AF" w:rsidRDefault="00602675">
            <w:pPr>
              <w:pStyle w:val="TableParagraph"/>
              <w:spacing w:line="253" w:lineRule="exact"/>
              <w:ind w:left="119"/>
              <w:rPr>
                <w:b/>
                <w:sz w:val="24"/>
              </w:rPr>
            </w:pPr>
            <w:r>
              <w:rPr>
                <w:b/>
                <w:color w:val="001F5F"/>
                <w:sz w:val="24"/>
              </w:rPr>
              <w:t>2015</w:t>
            </w:r>
          </w:p>
        </w:tc>
        <w:tc>
          <w:tcPr>
            <w:tcW w:w="96" w:type="dxa"/>
            <w:tcBorders>
              <w:right w:val="nil"/>
            </w:tcBorders>
            <w:shd w:val="clear" w:color="auto" w:fill="D2EAF0"/>
          </w:tcPr>
          <w:p w:rsidR="00B801AF" w:rsidRDefault="00B801AF">
            <w:pPr>
              <w:pStyle w:val="TableParagraph"/>
            </w:pPr>
          </w:p>
        </w:tc>
        <w:tc>
          <w:tcPr>
            <w:tcW w:w="1645" w:type="dxa"/>
            <w:tcBorders>
              <w:left w:val="nil"/>
            </w:tcBorders>
            <w:shd w:val="clear" w:color="auto" w:fill="D2EAF0"/>
          </w:tcPr>
          <w:p w:rsidR="00B801AF" w:rsidRDefault="00602675">
            <w:pPr>
              <w:pStyle w:val="TableParagraph"/>
              <w:spacing w:line="256" w:lineRule="exact"/>
              <w:ind w:left="158"/>
              <w:rPr>
                <w:sz w:val="24"/>
              </w:rPr>
            </w:pPr>
            <w:r>
              <w:rPr>
                <w:sz w:val="24"/>
              </w:rPr>
              <w:t>0.75%</w:t>
            </w:r>
          </w:p>
        </w:tc>
      </w:tr>
      <w:tr w:rsidR="00B801AF">
        <w:trPr>
          <w:trHeight w:val="481"/>
        </w:trPr>
        <w:tc>
          <w:tcPr>
            <w:tcW w:w="1740" w:type="dxa"/>
          </w:tcPr>
          <w:p w:rsidR="00B801AF" w:rsidRDefault="00602675">
            <w:pPr>
              <w:pStyle w:val="TableParagraph"/>
              <w:spacing w:line="268" w:lineRule="exact"/>
              <w:ind w:left="131"/>
              <w:rPr>
                <w:b/>
                <w:sz w:val="24"/>
              </w:rPr>
            </w:pPr>
            <w:r>
              <w:rPr>
                <w:b/>
                <w:color w:val="001F5F"/>
                <w:sz w:val="24"/>
              </w:rPr>
              <w:t>2014</w:t>
            </w:r>
          </w:p>
        </w:tc>
        <w:tc>
          <w:tcPr>
            <w:tcW w:w="1741" w:type="dxa"/>
            <w:gridSpan w:val="2"/>
          </w:tcPr>
          <w:p w:rsidR="00B801AF" w:rsidRDefault="00602675">
            <w:pPr>
              <w:pStyle w:val="TableParagraph"/>
              <w:spacing w:line="268" w:lineRule="exact"/>
              <w:ind w:left="211"/>
              <w:rPr>
                <w:sz w:val="24"/>
              </w:rPr>
            </w:pPr>
            <w:r>
              <w:rPr>
                <w:sz w:val="24"/>
              </w:rPr>
              <w:t>1.31%</w:t>
            </w:r>
          </w:p>
        </w:tc>
      </w:tr>
      <w:tr w:rsidR="00B801AF">
        <w:trPr>
          <w:trHeight w:val="395"/>
        </w:trPr>
        <w:tc>
          <w:tcPr>
            <w:tcW w:w="1740" w:type="dxa"/>
            <w:shd w:val="clear" w:color="auto" w:fill="D2EAF0"/>
          </w:tcPr>
          <w:p w:rsidR="00B801AF" w:rsidRDefault="00602675">
            <w:pPr>
              <w:pStyle w:val="TableParagraph"/>
              <w:spacing w:line="234" w:lineRule="exact"/>
              <w:ind w:left="119"/>
              <w:rPr>
                <w:b/>
                <w:sz w:val="24"/>
              </w:rPr>
            </w:pPr>
            <w:r>
              <w:rPr>
                <w:b/>
                <w:color w:val="001F5F"/>
                <w:sz w:val="24"/>
              </w:rPr>
              <w:t>2013</w:t>
            </w:r>
          </w:p>
        </w:tc>
        <w:tc>
          <w:tcPr>
            <w:tcW w:w="1741" w:type="dxa"/>
            <w:gridSpan w:val="2"/>
            <w:shd w:val="clear" w:color="auto" w:fill="D2EAF0"/>
          </w:tcPr>
          <w:p w:rsidR="00B801AF" w:rsidRDefault="00602675">
            <w:pPr>
              <w:pStyle w:val="TableParagraph"/>
              <w:spacing w:line="234" w:lineRule="exact"/>
              <w:ind w:left="244"/>
              <w:rPr>
                <w:sz w:val="24"/>
              </w:rPr>
            </w:pPr>
            <w:r>
              <w:rPr>
                <w:sz w:val="24"/>
              </w:rPr>
              <w:t>1.50%</w:t>
            </w:r>
          </w:p>
        </w:tc>
      </w:tr>
    </w:tbl>
    <w:p w:rsidR="00B801AF" w:rsidRDefault="00602675">
      <w:pPr>
        <w:pStyle w:val="Heading4"/>
        <w:spacing w:line="554" w:lineRule="auto"/>
        <w:ind w:right="4754" w:firstLine="379"/>
      </w:pPr>
      <w:r>
        <w:rPr>
          <w:color w:val="30849B"/>
        </w:rPr>
        <w:t xml:space="preserve">Table: Rate of Return on Assets of SEBL </w:t>
      </w:r>
      <w:r>
        <w:rPr>
          <w:color w:val="00AF50"/>
        </w:rPr>
        <w:t>Graphical Presentation:</w:t>
      </w:r>
    </w:p>
    <w:p w:rsidR="00B801AF" w:rsidRDefault="00602675">
      <w:pPr>
        <w:pStyle w:val="BodyText"/>
        <w:spacing w:before="7"/>
        <w:rPr>
          <w:b/>
          <w:sz w:val="13"/>
        </w:rPr>
      </w:pPr>
      <w:r>
        <w:rPr>
          <w:noProof/>
        </w:rPr>
        <w:drawing>
          <wp:anchor distT="0" distB="0" distL="0" distR="0" simplePos="0" relativeHeight="14" behindDoc="0" locked="0" layoutInCell="1" allowOverlap="1">
            <wp:simplePos x="0" y="0"/>
            <wp:positionH relativeFrom="page">
              <wp:posOffset>1496060</wp:posOffset>
            </wp:positionH>
            <wp:positionV relativeFrom="paragraph">
              <wp:posOffset>124619</wp:posOffset>
            </wp:positionV>
            <wp:extent cx="4572000" cy="2743200"/>
            <wp:effectExtent l="0" t="0" r="0" b="0"/>
            <wp:wrapTopAndBottom/>
            <wp:docPr id="2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jpeg"/>
                    <pic:cNvPicPr/>
                  </pic:nvPicPr>
                  <pic:blipFill>
                    <a:blip r:embed="rId26" cstate="print"/>
                    <a:stretch>
                      <a:fillRect/>
                    </a:stretch>
                  </pic:blipFill>
                  <pic:spPr>
                    <a:xfrm>
                      <a:off x="0" y="0"/>
                      <a:ext cx="4572000" cy="2743200"/>
                    </a:xfrm>
                    <a:prstGeom prst="rect">
                      <a:avLst/>
                    </a:prstGeom>
                  </pic:spPr>
                </pic:pic>
              </a:graphicData>
            </a:graphic>
          </wp:anchor>
        </w:drawing>
      </w:r>
    </w:p>
    <w:p w:rsidR="00B801AF" w:rsidRDefault="00602675">
      <w:pPr>
        <w:spacing w:before="103"/>
        <w:ind w:left="400"/>
        <w:rPr>
          <w:b/>
          <w:sz w:val="24"/>
        </w:rPr>
      </w:pPr>
      <w:r>
        <w:rPr>
          <w:b/>
          <w:color w:val="00AF50"/>
          <w:sz w:val="24"/>
        </w:rPr>
        <w:t>Interpretation:</w:t>
      </w:r>
    </w:p>
    <w:p w:rsidR="00B801AF" w:rsidRDefault="00B801AF">
      <w:pPr>
        <w:pStyle w:val="BodyText"/>
        <w:spacing w:before="2"/>
        <w:rPr>
          <w:b/>
          <w:sz w:val="32"/>
        </w:rPr>
      </w:pPr>
    </w:p>
    <w:p w:rsidR="00B801AF" w:rsidRDefault="00602675">
      <w:pPr>
        <w:spacing w:line="372" w:lineRule="auto"/>
        <w:ind w:left="400" w:right="654"/>
        <w:rPr>
          <w:sz w:val="23"/>
        </w:rPr>
      </w:pPr>
      <w:r>
        <w:rPr>
          <w:sz w:val="23"/>
        </w:rPr>
        <w:t xml:space="preserve">Return on Asset (ROA) as an indicator of management efficiency, indicates management's </w:t>
      </w:r>
      <w:r>
        <w:rPr>
          <w:sz w:val="23"/>
        </w:rPr>
        <w:lastRenderedPageBreak/>
        <w:t>ability to convert an organization's assets into net income. In the previous 5 years, banks will</w:t>
      </w:r>
    </w:p>
    <w:p w:rsidR="00B801AF" w:rsidRDefault="00B801AF">
      <w:pPr>
        <w:spacing w:line="372" w:lineRule="auto"/>
        <w:rPr>
          <w:sz w:val="23"/>
        </w:rPr>
        <w:sectPr w:rsidR="00B801AF">
          <w:pgSz w:w="11900" w:h="16840"/>
          <w:pgMar w:top="1360" w:right="1100" w:bottom="1200" w:left="1040" w:header="0" w:footer="1007" w:gutter="0"/>
          <w:cols w:space="720"/>
        </w:sectPr>
      </w:pPr>
    </w:p>
    <w:p w:rsidR="00B801AF" w:rsidRDefault="00602675">
      <w:pPr>
        <w:pStyle w:val="BodyText"/>
        <w:spacing w:before="66" w:line="355" w:lineRule="auto"/>
        <w:ind w:left="400" w:right="522"/>
      </w:pPr>
      <w:r>
        <w:lastRenderedPageBreak/>
        <w:t>return on assets from 1.50% to 0.60%. Thus SEBL derives less profit from assets. This is not good for the bank. However, the RO has risen even higher in the 2014 than in the 2013, which is a good bet for the bank. To improve the ratio, SEBL needs to increase net income and control average gross assets.</w:t>
      </w:r>
    </w:p>
    <w:p w:rsidR="00B801AF" w:rsidRDefault="00B801AF">
      <w:pPr>
        <w:pStyle w:val="BodyText"/>
        <w:spacing w:before="5"/>
        <w:rPr>
          <w:sz w:val="20"/>
        </w:rPr>
      </w:pPr>
    </w:p>
    <w:p w:rsidR="00B801AF" w:rsidRDefault="00602675">
      <w:pPr>
        <w:pStyle w:val="Heading4"/>
        <w:numPr>
          <w:ilvl w:val="3"/>
          <w:numId w:val="2"/>
        </w:numPr>
        <w:tabs>
          <w:tab w:val="left" w:pos="1121"/>
        </w:tabs>
        <w:ind w:hanging="721"/>
        <w:jc w:val="both"/>
        <w:rPr>
          <w:color w:val="2D75B5"/>
        </w:rPr>
      </w:pPr>
      <w:bookmarkStart w:id="6" w:name="_TOC_250003"/>
      <w:r>
        <w:rPr>
          <w:color w:val="2D75B5"/>
        </w:rPr>
        <w:t>Return on Equity</w:t>
      </w:r>
      <w:r>
        <w:rPr>
          <w:color w:val="2D75B5"/>
          <w:spacing w:val="-1"/>
        </w:rPr>
        <w:t xml:space="preserve"> </w:t>
      </w:r>
      <w:bookmarkEnd w:id="6"/>
      <w:r>
        <w:rPr>
          <w:color w:val="2D75B5"/>
        </w:rPr>
        <w:t>(ROE):</w:t>
      </w:r>
    </w:p>
    <w:p w:rsidR="00B801AF" w:rsidRDefault="00602675">
      <w:pPr>
        <w:pStyle w:val="BodyText"/>
        <w:spacing w:before="8" w:line="352" w:lineRule="auto"/>
        <w:ind w:left="400" w:right="355"/>
        <w:jc w:val="both"/>
      </w:pPr>
      <w:r>
        <w:t>Return on equity measures the return received on an investment by the owner (both preferred and general stockholder). Generally, higher returns indicate better owner status. Return on Equity=Net Profit after Tax/ Shareholders Equity</w:t>
      </w:r>
    </w:p>
    <w:p w:rsidR="00B801AF" w:rsidRDefault="00B801AF">
      <w:pPr>
        <w:pStyle w:val="BodyText"/>
        <w:spacing w:before="9" w:after="1"/>
        <w:rPr>
          <w:sz w:val="22"/>
        </w:rPr>
      </w:pPr>
    </w:p>
    <w:tbl>
      <w:tblPr>
        <w:tblW w:w="0" w:type="auto"/>
        <w:tblInd w:w="3171"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920"/>
        <w:gridCol w:w="1620"/>
      </w:tblGrid>
      <w:tr w:rsidR="00B801AF">
        <w:trPr>
          <w:trHeight w:val="479"/>
        </w:trPr>
        <w:tc>
          <w:tcPr>
            <w:tcW w:w="1920" w:type="dxa"/>
          </w:tcPr>
          <w:p w:rsidR="00B801AF" w:rsidRDefault="00602675">
            <w:pPr>
              <w:pStyle w:val="TableParagraph"/>
              <w:spacing w:before="8"/>
              <w:ind w:left="119"/>
              <w:rPr>
                <w:b/>
                <w:sz w:val="24"/>
              </w:rPr>
            </w:pPr>
            <w:r>
              <w:rPr>
                <w:b/>
                <w:sz w:val="24"/>
              </w:rPr>
              <w:t>Year</w:t>
            </w:r>
          </w:p>
        </w:tc>
        <w:tc>
          <w:tcPr>
            <w:tcW w:w="1620" w:type="dxa"/>
          </w:tcPr>
          <w:p w:rsidR="00B801AF" w:rsidRDefault="00602675">
            <w:pPr>
              <w:pStyle w:val="TableParagraph"/>
              <w:spacing w:before="8"/>
              <w:ind w:left="79"/>
              <w:rPr>
                <w:b/>
                <w:sz w:val="24"/>
              </w:rPr>
            </w:pPr>
            <w:r>
              <w:rPr>
                <w:b/>
                <w:sz w:val="24"/>
              </w:rPr>
              <w:t>Ratio</w:t>
            </w:r>
          </w:p>
        </w:tc>
      </w:tr>
      <w:tr w:rsidR="00B801AF">
        <w:trPr>
          <w:trHeight w:val="481"/>
        </w:trPr>
        <w:tc>
          <w:tcPr>
            <w:tcW w:w="1920" w:type="dxa"/>
            <w:shd w:val="clear" w:color="auto" w:fill="D2DFED"/>
          </w:tcPr>
          <w:p w:rsidR="00B801AF" w:rsidRDefault="00602675">
            <w:pPr>
              <w:pStyle w:val="TableParagraph"/>
              <w:spacing w:line="272" w:lineRule="exact"/>
              <w:ind w:left="119"/>
              <w:rPr>
                <w:b/>
                <w:sz w:val="24"/>
              </w:rPr>
            </w:pPr>
            <w:r>
              <w:rPr>
                <w:b/>
                <w:color w:val="001F5F"/>
                <w:sz w:val="24"/>
              </w:rPr>
              <w:t>2017</w:t>
            </w:r>
          </w:p>
        </w:tc>
        <w:tc>
          <w:tcPr>
            <w:tcW w:w="1620" w:type="dxa"/>
            <w:shd w:val="clear" w:color="auto" w:fill="D2DFED"/>
          </w:tcPr>
          <w:p w:rsidR="00B801AF" w:rsidRDefault="00602675">
            <w:pPr>
              <w:pStyle w:val="TableParagraph"/>
              <w:spacing w:line="275" w:lineRule="exact"/>
              <w:ind w:left="79"/>
              <w:rPr>
                <w:sz w:val="24"/>
              </w:rPr>
            </w:pPr>
            <w:r>
              <w:rPr>
                <w:sz w:val="24"/>
              </w:rPr>
              <w:t>10.61%</w:t>
            </w:r>
          </w:p>
        </w:tc>
      </w:tr>
      <w:tr w:rsidR="00B801AF">
        <w:trPr>
          <w:trHeight w:val="476"/>
        </w:trPr>
        <w:tc>
          <w:tcPr>
            <w:tcW w:w="1920" w:type="dxa"/>
          </w:tcPr>
          <w:p w:rsidR="00B801AF" w:rsidRDefault="00602675">
            <w:pPr>
              <w:pStyle w:val="TableParagraph"/>
              <w:spacing w:line="263" w:lineRule="exact"/>
              <w:ind w:left="129"/>
              <w:rPr>
                <w:b/>
                <w:sz w:val="24"/>
              </w:rPr>
            </w:pPr>
            <w:r>
              <w:rPr>
                <w:b/>
                <w:color w:val="001F5F"/>
                <w:sz w:val="24"/>
              </w:rPr>
              <w:t>2016</w:t>
            </w:r>
          </w:p>
        </w:tc>
        <w:tc>
          <w:tcPr>
            <w:tcW w:w="1620" w:type="dxa"/>
          </w:tcPr>
          <w:p w:rsidR="00B801AF" w:rsidRDefault="00602675">
            <w:pPr>
              <w:pStyle w:val="TableParagraph"/>
              <w:spacing w:line="263" w:lineRule="exact"/>
              <w:ind w:left="79"/>
              <w:rPr>
                <w:sz w:val="24"/>
              </w:rPr>
            </w:pPr>
            <w:r>
              <w:rPr>
                <w:sz w:val="24"/>
              </w:rPr>
              <w:t>7.00%</w:t>
            </w:r>
          </w:p>
        </w:tc>
      </w:tr>
      <w:tr w:rsidR="00B801AF">
        <w:trPr>
          <w:trHeight w:val="416"/>
        </w:trPr>
        <w:tc>
          <w:tcPr>
            <w:tcW w:w="1920" w:type="dxa"/>
            <w:shd w:val="clear" w:color="auto" w:fill="D2DFED"/>
          </w:tcPr>
          <w:p w:rsidR="00B801AF" w:rsidRDefault="00602675">
            <w:pPr>
              <w:pStyle w:val="TableParagraph"/>
              <w:spacing w:line="253" w:lineRule="exact"/>
              <w:ind w:left="119"/>
              <w:rPr>
                <w:b/>
                <w:sz w:val="24"/>
              </w:rPr>
            </w:pPr>
            <w:r>
              <w:rPr>
                <w:b/>
                <w:color w:val="001F5F"/>
                <w:sz w:val="24"/>
              </w:rPr>
              <w:t>2015</w:t>
            </w:r>
          </w:p>
        </w:tc>
        <w:tc>
          <w:tcPr>
            <w:tcW w:w="1620" w:type="dxa"/>
            <w:shd w:val="clear" w:color="auto" w:fill="D2DFED"/>
          </w:tcPr>
          <w:p w:rsidR="00B801AF" w:rsidRDefault="00602675">
            <w:pPr>
              <w:pStyle w:val="TableParagraph"/>
              <w:spacing w:line="253" w:lineRule="exact"/>
              <w:ind w:left="79"/>
              <w:rPr>
                <w:sz w:val="24"/>
              </w:rPr>
            </w:pPr>
            <w:r>
              <w:rPr>
                <w:sz w:val="24"/>
              </w:rPr>
              <w:t>13.14%</w:t>
            </w:r>
          </w:p>
        </w:tc>
      </w:tr>
      <w:tr w:rsidR="00B801AF">
        <w:trPr>
          <w:trHeight w:val="481"/>
        </w:trPr>
        <w:tc>
          <w:tcPr>
            <w:tcW w:w="1920" w:type="dxa"/>
          </w:tcPr>
          <w:p w:rsidR="00B801AF" w:rsidRDefault="00602675">
            <w:pPr>
              <w:pStyle w:val="TableParagraph"/>
              <w:spacing w:line="268" w:lineRule="exact"/>
              <w:ind w:left="129"/>
              <w:rPr>
                <w:b/>
                <w:sz w:val="24"/>
              </w:rPr>
            </w:pPr>
            <w:r>
              <w:rPr>
                <w:b/>
                <w:color w:val="001F5F"/>
                <w:sz w:val="24"/>
              </w:rPr>
              <w:t>2014</w:t>
            </w:r>
          </w:p>
        </w:tc>
        <w:tc>
          <w:tcPr>
            <w:tcW w:w="1620" w:type="dxa"/>
          </w:tcPr>
          <w:p w:rsidR="00B801AF" w:rsidRDefault="00602675">
            <w:pPr>
              <w:pStyle w:val="TableParagraph"/>
              <w:spacing w:line="268" w:lineRule="exact"/>
              <w:ind w:left="79"/>
              <w:rPr>
                <w:sz w:val="24"/>
              </w:rPr>
            </w:pPr>
            <w:r>
              <w:rPr>
                <w:sz w:val="24"/>
              </w:rPr>
              <w:t>18.57%</w:t>
            </w:r>
          </w:p>
        </w:tc>
      </w:tr>
      <w:tr w:rsidR="00B801AF">
        <w:trPr>
          <w:trHeight w:val="395"/>
        </w:trPr>
        <w:tc>
          <w:tcPr>
            <w:tcW w:w="1920" w:type="dxa"/>
            <w:shd w:val="clear" w:color="auto" w:fill="D2DFED"/>
          </w:tcPr>
          <w:p w:rsidR="00B801AF" w:rsidRDefault="00602675">
            <w:pPr>
              <w:pStyle w:val="TableParagraph"/>
              <w:spacing w:line="234" w:lineRule="exact"/>
              <w:ind w:left="119"/>
              <w:rPr>
                <w:b/>
                <w:sz w:val="24"/>
              </w:rPr>
            </w:pPr>
            <w:r>
              <w:rPr>
                <w:b/>
                <w:color w:val="001F5F"/>
                <w:sz w:val="24"/>
              </w:rPr>
              <w:t>2013</w:t>
            </w:r>
          </w:p>
        </w:tc>
        <w:tc>
          <w:tcPr>
            <w:tcW w:w="1620" w:type="dxa"/>
            <w:shd w:val="clear" w:color="auto" w:fill="D2DFED"/>
          </w:tcPr>
          <w:p w:rsidR="00B801AF" w:rsidRDefault="00602675">
            <w:pPr>
              <w:pStyle w:val="TableParagraph"/>
              <w:spacing w:line="239" w:lineRule="exact"/>
              <w:ind w:left="79"/>
              <w:rPr>
                <w:sz w:val="24"/>
              </w:rPr>
            </w:pPr>
            <w:r>
              <w:rPr>
                <w:sz w:val="24"/>
              </w:rPr>
              <w:t>22.27%</w:t>
            </w:r>
          </w:p>
        </w:tc>
      </w:tr>
    </w:tbl>
    <w:p w:rsidR="00B801AF" w:rsidRDefault="00602675">
      <w:pPr>
        <w:pStyle w:val="Heading4"/>
        <w:spacing w:before="18" w:line="360" w:lineRule="auto"/>
        <w:ind w:right="5879"/>
      </w:pPr>
      <w:r>
        <w:rPr>
          <w:color w:val="30849B"/>
        </w:rPr>
        <w:t xml:space="preserve">Table: Return on Equity of SEBL </w:t>
      </w:r>
      <w:r>
        <w:rPr>
          <w:color w:val="00AF50"/>
        </w:rPr>
        <w:t>Graphical Presentation:</w:t>
      </w:r>
    </w:p>
    <w:p w:rsidR="00B801AF" w:rsidRDefault="00602675">
      <w:pPr>
        <w:pStyle w:val="BodyText"/>
        <w:ind w:left="1312"/>
        <w:rPr>
          <w:sz w:val="20"/>
        </w:rPr>
      </w:pPr>
      <w:r>
        <w:rPr>
          <w:noProof/>
          <w:sz w:val="20"/>
        </w:rPr>
        <w:drawing>
          <wp:inline distT="0" distB="0" distL="0" distR="0">
            <wp:extent cx="4572000" cy="2743200"/>
            <wp:effectExtent l="0" t="0" r="0" b="0"/>
            <wp:docPr id="2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jpeg"/>
                    <pic:cNvPicPr/>
                  </pic:nvPicPr>
                  <pic:blipFill>
                    <a:blip r:embed="rId26" cstate="print"/>
                    <a:stretch>
                      <a:fillRect/>
                    </a:stretch>
                  </pic:blipFill>
                  <pic:spPr>
                    <a:xfrm>
                      <a:off x="0" y="0"/>
                      <a:ext cx="4572000" cy="2743200"/>
                    </a:xfrm>
                    <a:prstGeom prst="rect">
                      <a:avLst/>
                    </a:prstGeom>
                  </pic:spPr>
                </pic:pic>
              </a:graphicData>
            </a:graphic>
          </wp:inline>
        </w:drawing>
      </w:r>
    </w:p>
    <w:p w:rsidR="00B801AF" w:rsidRDefault="00B801AF">
      <w:pPr>
        <w:pStyle w:val="BodyText"/>
        <w:spacing w:before="2"/>
        <w:rPr>
          <w:b/>
          <w:sz w:val="31"/>
        </w:rPr>
      </w:pPr>
    </w:p>
    <w:p w:rsidR="00B801AF" w:rsidRDefault="00602675">
      <w:pPr>
        <w:ind w:left="543" w:right="482"/>
        <w:jc w:val="center"/>
        <w:rPr>
          <w:b/>
          <w:sz w:val="24"/>
        </w:rPr>
      </w:pPr>
      <w:r>
        <w:rPr>
          <w:b/>
          <w:color w:val="30849B"/>
          <w:sz w:val="24"/>
        </w:rPr>
        <w:t>Figure: Return on Equity of SEBL</w:t>
      </w:r>
    </w:p>
    <w:p w:rsidR="00B801AF" w:rsidRDefault="00B801AF">
      <w:pPr>
        <w:pStyle w:val="BodyText"/>
        <w:spacing w:before="10"/>
        <w:rPr>
          <w:b/>
          <w:sz w:val="30"/>
        </w:rPr>
      </w:pPr>
    </w:p>
    <w:p w:rsidR="00B801AF" w:rsidRDefault="00602675">
      <w:pPr>
        <w:pStyle w:val="BodyText"/>
        <w:ind w:left="400"/>
      </w:pPr>
      <w:r>
        <w:rPr>
          <w:color w:val="00AF50"/>
        </w:rPr>
        <w:t>Interpretation:</w:t>
      </w:r>
    </w:p>
    <w:p w:rsidR="00B801AF" w:rsidRDefault="00602675">
      <w:pPr>
        <w:spacing w:before="151" w:line="376" w:lineRule="auto"/>
        <w:ind w:left="400" w:right="327"/>
        <w:rPr>
          <w:sz w:val="23"/>
        </w:rPr>
      </w:pPr>
      <w:r>
        <w:rPr>
          <w:sz w:val="23"/>
        </w:rPr>
        <w:t xml:space="preserve">ROE is the measurement of the rate of return flowing to the bank's shareholders. It measures the </w:t>
      </w:r>
      <w:r>
        <w:rPr>
          <w:sz w:val="23"/>
        </w:rPr>
        <w:lastRenderedPageBreak/>
        <w:t>net advantage that the investors have gotten from investing their capital in the bank.</w:t>
      </w:r>
    </w:p>
    <w:p w:rsidR="00B801AF" w:rsidRDefault="00B801AF">
      <w:pPr>
        <w:spacing w:line="376" w:lineRule="auto"/>
        <w:rPr>
          <w:sz w:val="23"/>
        </w:rPr>
        <w:sectPr w:rsidR="00B801AF">
          <w:pgSz w:w="11900" w:h="16840"/>
          <w:pgMar w:top="1360" w:right="1100" w:bottom="1200" w:left="1040" w:header="0" w:footer="1007" w:gutter="0"/>
          <w:cols w:space="720"/>
        </w:sectPr>
      </w:pPr>
    </w:p>
    <w:p w:rsidR="00B801AF" w:rsidRDefault="00602675">
      <w:pPr>
        <w:spacing w:before="65" w:line="374" w:lineRule="auto"/>
        <w:ind w:left="400" w:right="363"/>
        <w:rPr>
          <w:sz w:val="23"/>
        </w:rPr>
      </w:pPr>
      <w:r>
        <w:rPr>
          <w:sz w:val="23"/>
        </w:rPr>
        <w:lastRenderedPageBreak/>
        <w:t>Higher ROE indicates the favorable position that the company is productive in generating income on new investment. The banks return on value deviates from 7% to 22.27%. In the preceding 5 years and the most astounding value can be seen in 2013 and the least value can be seen during 2017, which isn't desirable. The positive side is the ratio is increased by 3.61% from the preceding year. So the management should strive to increase the arrival associated .</w:t>
      </w:r>
    </w:p>
    <w:p w:rsidR="00B801AF" w:rsidRDefault="00602675">
      <w:pPr>
        <w:pStyle w:val="Heading4"/>
        <w:numPr>
          <w:ilvl w:val="3"/>
          <w:numId w:val="2"/>
        </w:numPr>
        <w:tabs>
          <w:tab w:val="left" w:pos="1121"/>
        </w:tabs>
        <w:spacing w:before="35"/>
        <w:ind w:hanging="721"/>
      </w:pPr>
      <w:bookmarkStart w:id="7" w:name="_TOC_250002"/>
      <w:r>
        <w:t>Earnings per</w:t>
      </w:r>
      <w:r>
        <w:rPr>
          <w:spacing w:val="-2"/>
        </w:rPr>
        <w:t xml:space="preserve"> </w:t>
      </w:r>
      <w:bookmarkEnd w:id="7"/>
      <w:r>
        <w:t>Share</w:t>
      </w:r>
    </w:p>
    <w:p w:rsidR="00B801AF" w:rsidRDefault="00602675">
      <w:pPr>
        <w:pStyle w:val="BodyText"/>
        <w:spacing w:before="8" w:line="357" w:lineRule="auto"/>
        <w:ind w:left="400" w:right="358" w:firstLine="60"/>
        <w:jc w:val="both"/>
      </w:pPr>
      <w:r>
        <w:t>Earnings per share (EPS) of the firm are generally present or potential stockholders and interested in management. The earnings per share represents the dollar number earned for the outstanding shares of each common share. Earnings per share are calculated as below: Earnings per Share =Earnings Available for Common Stock Holder/No of shares of Common Stock Outstanding</w:t>
      </w:r>
    </w:p>
    <w:p w:rsidR="00B801AF" w:rsidRDefault="00B801AF">
      <w:pPr>
        <w:pStyle w:val="BodyText"/>
        <w:spacing w:before="9"/>
        <w:rPr>
          <w:sz w:val="20"/>
        </w:rPr>
      </w:pPr>
    </w:p>
    <w:tbl>
      <w:tblPr>
        <w:tblW w:w="0" w:type="auto"/>
        <w:tblInd w:w="309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2100"/>
        <w:gridCol w:w="93"/>
        <w:gridCol w:w="1505"/>
      </w:tblGrid>
      <w:tr w:rsidR="00B801AF">
        <w:trPr>
          <w:trHeight w:val="481"/>
        </w:trPr>
        <w:tc>
          <w:tcPr>
            <w:tcW w:w="2100" w:type="dxa"/>
          </w:tcPr>
          <w:p w:rsidR="00B801AF" w:rsidRDefault="00602675">
            <w:pPr>
              <w:pStyle w:val="TableParagraph"/>
              <w:spacing w:before="10"/>
              <w:ind w:left="129"/>
              <w:rPr>
                <w:b/>
                <w:sz w:val="24"/>
              </w:rPr>
            </w:pPr>
            <w:r>
              <w:rPr>
                <w:b/>
                <w:sz w:val="24"/>
              </w:rPr>
              <w:t>Year</w:t>
            </w:r>
          </w:p>
        </w:tc>
        <w:tc>
          <w:tcPr>
            <w:tcW w:w="1598" w:type="dxa"/>
            <w:gridSpan w:val="2"/>
          </w:tcPr>
          <w:p w:rsidR="00B801AF" w:rsidRDefault="00602675">
            <w:pPr>
              <w:pStyle w:val="TableParagraph"/>
              <w:spacing w:before="10"/>
              <w:ind w:left="98"/>
              <w:rPr>
                <w:b/>
                <w:sz w:val="24"/>
              </w:rPr>
            </w:pPr>
            <w:r>
              <w:rPr>
                <w:b/>
                <w:sz w:val="24"/>
              </w:rPr>
              <w:t>EPS</w:t>
            </w:r>
          </w:p>
        </w:tc>
      </w:tr>
      <w:tr w:rsidR="00B801AF">
        <w:trPr>
          <w:trHeight w:val="414"/>
        </w:trPr>
        <w:tc>
          <w:tcPr>
            <w:tcW w:w="2100" w:type="dxa"/>
            <w:shd w:val="clear" w:color="auto" w:fill="D2DFED"/>
          </w:tcPr>
          <w:p w:rsidR="00B801AF" w:rsidRDefault="00602675">
            <w:pPr>
              <w:pStyle w:val="TableParagraph"/>
              <w:spacing w:line="272" w:lineRule="exact"/>
              <w:ind w:left="119"/>
              <w:rPr>
                <w:b/>
                <w:sz w:val="24"/>
              </w:rPr>
            </w:pPr>
            <w:r>
              <w:rPr>
                <w:b/>
                <w:color w:val="001F5F"/>
                <w:sz w:val="24"/>
              </w:rPr>
              <w:t>2017</w:t>
            </w:r>
          </w:p>
        </w:tc>
        <w:tc>
          <w:tcPr>
            <w:tcW w:w="93" w:type="dxa"/>
            <w:tcBorders>
              <w:right w:val="nil"/>
            </w:tcBorders>
            <w:shd w:val="clear" w:color="auto" w:fill="D2DFED"/>
          </w:tcPr>
          <w:p w:rsidR="00B801AF" w:rsidRDefault="00B801AF">
            <w:pPr>
              <w:pStyle w:val="TableParagraph"/>
            </w:pPr>
          </w:p>
        </w:tc>
        <w:tc>
          <w:tcPr>
            <w:tcW w:w="1505" w:type="dxa"/>
            <w:tcBorders>
              <w:left w:val="nil"/>
            </w:tcBorders>
            <w:shd w:val="clear" w:color="auto" w:fill="D2DFED"/>
          </w:tcPr>
          <w:p w:rsidR="00B801AF" w:rsidRDefault="00602675">
            <w:pPr>
              <w:pStyle w:val="TableParagraph"/>
              <w:spacing w:line="272" w:lineRule="exact"/>
              <w:ind w:left="15"/>
              <w:rPr>
                <w:b/>
                <w:sz w:val="24"/>
              </w:rPr>
            </w:pPr>
            <w:r>
              <w:rPr>
                <w:b/>
                <w:sz w:val="24"/>
              </w:rPr>
              <w:t>2.15</w:t>
            </w:r>
          </w:p>
        </w:tc>
      </w:tr>
      <w:tr w:rsidR="00B801AF">
        <w:trPr>
          <w:trHeight w:val="445"/>
        </w:trPr>
        <w:tc>
          <w:tcPr>
            <w:tcW w:w="2100" w:type="dxa"/>
          </w:tcPr>
          <w:p w:rsidR="00B801AF" w:rsidRDefault="00602675">
            <w:pPr>
              <w:pStyle w:val="TableParagraph"/>
              <w:spacing w:line="275" w:lineRule="exact"/>
              <w:ind w:left="129"/>
              <w:rPr>
                <w:b/>
                <w:sz w:val="24"/>
              </w:rPr>
            </w:pPr>
            <w:r>
              <w:rPr>
                <w:b/>
                <w:color w:val="001F5F"/>
                <w:sz w:val="24"/>
              </w:rPr>
              <w:t>2016</w:t>
            </w:r>
          </w:p>
        </w:tc>
        <w:tc>
          <w:tcPr>
            <w:tcW w:w="93" w:type="dxa"/>
            <w:tcBorders>
              <w:right w:val="nil"/>
            </w:tcBorders>
          </w:tcPr>
          <w:p w:rsidR="00B801AF" w:rsidRDefault="00B801AF">
            <w:pPr>
              <w:pStyle w:val="TableParagraph"/>
            </w:pPr>
          </w:p>
        </w:tc>
        <w:tc>
          <w:tcPr>
            <w:tcW w:w="1505" w:type="dxa"/>
            <w:tcBorders>
              <w:left w:val="nil"/>
            </w:tcBorders>
          </w:tcPr>
          <w:p w:rsidR="00B801AF" w:rsidRDefault="00602675">
            <w:pPr>
              <w:pStyle w:val="TableParagraph"/>
              <w:spacing w:line="275" w:lineRule="exact"/>
              <w:ind w:left="17"/>
              <w:rPr>
                <w:b/>
                <w:sz w:val="24"/>
              </w:rPr>
            </w:pPr>
            <w:r>
              <w:rPr>
                <w:b/>
                <w:sz w:val="24"/>
              </w:rPr>
              <w:t>1.34</w:t>
            </w:r>
          </w:p>
        </w:tc>
      </w:tr>
      <w:tr w:rsidR="00B801AF">
        <w:trPr>
          <w:trHeight w:val="387"/>
        </w:trPr>
        <w:tc>
          <w:tcPr>
            <w:tcW w:w="2100" w:type="dxa"/>
            <w:shd w:val="clear" w:color="auto" w:fill="D2DFED"/>
          </w:tcPr>
          <w:p w:rsidR="00B801AF" w:rsidRDefault="00602675">
            <w:pPr>
              <w:pStyle w:val="TableParagraph"/>
              <w:spacing w:line="253" w:lineRule="exact"/>
              <w:ind w:left="119"/>
              <w:rPr>
                <w:b/>
                <w:sz w:val="24"/>
              </w:rPr>
            </w:pPr>
            <w:r>
              <w:rPr>
                <w:b/>
                <w:color w:val="001F5F"/>
                <w:sz w:val="24"/>
              </w:rPr>
              <w:t>2015</w:t>
            </w:r>
          </w:p>
        </w:tc>
        <w:tc>
          <w:tcPr>
            <w:tcW w:w="93" w:type="dxa"/>
            <w:tcBorders>
              <w:right w:val="nil"/>
            </w:tcBorders>
            <w:shd w:val="clear" w:color="auto" w:fill="D2DFED"/>
          </w:tcPr>
          <w:p w:rsidR="00B801AF" w:rsidRDefault="00B801AF">
            <w:pPr>
              <w:pStyle w:val="TableParagraph"/>
            </w:pPr>
          </w:p>
        </w:tc>
        <w:tc>
          <w:tcPr>
            <w:tcW w:w="1505" w:type="dxa"/>
            <w:tcBorders>
              <w:left w:val="nil"/>
            </w:tcBorders>
            <w:shd w:val="clear" w:color="auto" w:fill="D2DFED"/>
          </w:tcPr>
          <w:p w:rsidR="00B801AF" w:rsidRDefault="00602675">
            <w:pPr>
              <w:pStyle w:val="TableParagraph"/>
              <w:spacing w:line="253" w:lineRule="exact"/>
              <w:ind w:left="15"/>
              <w:rPr>
                <w:b/>
                <w:sz w:val="24"/>
              </w:rPr>
            </w:pPr>
            <w:r>
              <w:rPr>
                <w:b/>
                <w:sz w:val="24"/>
              </w:rPr>
              <w:t>2.75</w:t>
            </w:r>
          </w:p>
        </w:tc>
      </w:tr>
      <w:tr w:rsidR="00B801AF">
        <w:trPr>
          <w:trHeight w:val="448"/>
        </w:trPr>
        <w:tc>
          <w:tcPr>
            <w:tcW w:w="2100" w:type="dxa"/>
          </w:tcPr>
          <w:p w:rsidR="00B801AF" w:rsidRDefault="00602675">
            <w:pPr>
              <w:pStyle w:val="TableParagraph"/>
              <w:spacing w:line="275" w:lineRule="exact"/>
              <w:ind w:left="129"/>
              <w:rPr>
                <w:b/>
                <w:sz w:val="24"/>
              </w:rPr>
            </w:pPr>
            <w:r>
              <w:rPr>
                <w:b/>
                <w:color w:val="001F5F"/>
                <w:sz w:val="24"/>
              </w:rPr>
              <w:t>2014</w:t>
            </w:r>
          </w:p>
        </w:tc>
        <w:tc>
          <w:tcPr>
            <w:tcW w:w="93" w:type="dxa"/>
            <w:tcBorders>
              <w:right w:val="nil"/>
            </w:tcBorders>
          </w:tcPr>
          <w:p w:rsidR="00B801AF" w:rsidRDefault="00B801AF">
            <w:pPr>
              <w:pStyle w:val="TableParagraph"/>
            </w:pPr>
          </w:p>
        </w:tc>
        <w:tc>
          <w:tcPr>
            <w:tcW w:w="1505" w:type="dxa"/>
            <w:tcBorders>
              <w:left w:val="nil"/>
            </w:tcBorders>
          </w:tcPr>
          <w:p w:rsidR="00B801AF" w:rsidRDefault="00602675">
            <w:pPr>
              <w:pStyle w:val="TableParagraph"/>
              <w:spacing w:line="275" w:lineRule="exact"/>
              <w:ind w:left="17"/>
              <w:rPr>
                <w:b/>
                <w:sz w:val="24"/>
              </w:rPr>
            </w:pPr>
            <w:r>
              <w:rPr>
                <w:b/>
                <w:sz w:val="24"/>
              </w:rPr>
              <w:t>3.14</w:t>
            </w:r>
          </w:p>
        </w:tc>
      </w:tr>
      <w:tr w:rsidR="00B801AF">
        <w:trPr>
          <w:trHeight w:val="390"/>
        </w:trPr>
        <w:tc>
          <w:tcPr>
            <w:tcW w:w="2100" w:type="dxa"/>
            <w:shd w:val="clear" w:color="auto" w:fill="D2DFED"/>
          </w:tcPr>
          <w:p w:rsidR="00B801AF" w:rsidRDefault="00602675">
            <w:pPr>
              <w:pStyle w:val="TableParagraph"/>
              <w:spacing w:line="251" w:lineRule="exact"/>
              <w:ind w:left="119"/>
              <w:rPr>
                <w:b/>
                <w:sz w:val="24"/>
              </w:rPr>
            </w:pPr>
            <w:r>
              <w:rPr>
                <w:b/>
                <w:color w:val="001F5F"/>
                <w:sz w:val="24"/>
              </w:rPr>
              <w:t>2013</w:t>
            </w:r>
          </w:p>
        </w:tc>
        <w:tc>
          <w:tcPr>
            <w:tcW w:w="93" w:type="dxa"/>
            <w:tcBorders>
              <w:right w:val="nil"/>
            </w:tcBorders>
            <w:shd w:val="clear" w:color="auto" w:fill="D2DFED"/>
          </w:tcPr>
          <w:p w:rsidR="00B801AF" w:rsidRDefault="00B801AF">
            <w:pPr>
              <w:pStyle w:val="TableParagraph"/>
            </w:pPr>
          </w:p>
        </w:tc>
        <w:tc>
          <w:tcPr>
            <w:tcW w:w="1505" w:type="dxa"/>
            <w:tcBorders>
              <w:left w:val="nil"/>
            </w:tcBorders>
            <w:shd w:val="clear" w:color="auto" w:fill="D2DFED"/>
          </w:tcPr>
          <w:p w:rsidR="00B801AF" w:rsidRDefault="00602675">
            <w:pPr>
              <w:pStyle w:val="TableParagraph"/>
              <w:spacing w:line="251" w:lineRule="exact"/>
              <w:ind w:left="15"/>
              <w:rPr>
                <w:b/>
                <w:sz w:val="24"/>
              </w:rPr>
            </w:pPr>
            <w:r>
              <w:rPr>
                <w:b/>
                <w:sz w:val="24"/>
              </w:rPr>
              <w:t>3.5</w:t>
            </w:r>
          </w:p>
        </w:tc>
      </w:tr>
    </w:tbl>
    <w:p w:rsidR="00B801AF" w:rsidRDefault="00602675">
      <w:pPr>
        <w:pStyle w:val="Heading4"/>
        <w:ind w:left="561" w:right="478"/>
        <w:jc w:val="center"/>
      </w:pPr>
      <w:r>
        <w:rPr>
          <w:color w:val="30849B"/>
        </w:rPr>
        <w:t>Table: EPS of SEBL</w:t>
      </w:r>
    </w:p>
    <w:p w:rsidR="00B801AF" w:rsidRDefault="00B801AF">
      <w:pPr>
        <w:pStyle w:val="BodyText"/>
        <w:rPr>
          <w:b/>
          <w:sz w:val="26"/>
        </w:rPr>
      </w:pPr>
    </w:p>
    <w:p w:rsidR="00B801AF" w:rsidRDefault="00B801AF">
      <w:pPr>
        <w:pStyle w:val="BodyText"/>
        <w:rPr>
          <w:b/>
          <w:sz w:val="26"/>
        </w:rPr>
      </w:pPr>
    </w:p>
    <w:p w:rsidR="00B801AF" w:rsidRDefault="00602675">
      <w:pPr>
        <w:spacing w:before="211"/>
        <w:ind w:left="400"/>
        <w:jc w:val="both"/>
        <w:rPr>
          <w:b/>
          <w:sz w:val="24"/>
        </w:rPr>
      </w:pPr>
      <w:r>
        <w:rPr>
          <w:b/>
          <w:color w:val="00AF50"/>
          <w:sz w:val="24"/>
        </w:rPr>
        <w:t>Graphical Presentation:</w:t>
      </w:r>
    </w:p>
    <w:p w:rsidR="00B801AF" w:rsidRDefault="00602675">
      <w:pPr>
        <w:pStyle w:val="BodyText"/>
        <w:spacing w:before="10"/>
        <w:rPr>
          <w:b/>
          <w:sz w:val="8"/>
        </w:rPr>
      </w:pPr>
      <w:r>
        <w:rPr>
          <w:noProof/>
        </w:rPr>
        <w:drawing>
          <wp:anchor distT="0" distB="0" distL="0" distR="0" simplePos="0" relativeHeight="15" behindDoc="0" locked="0" layoutInCell="1" allowOverlap="1">
            <wp:simplePos x="0" y="0"/>
            <wp:positionH relativeFrom="page">
              <wp:posOffset>1318260</wp:posOffset>
            </wp:positionH>
            <wp:positionV relativeFrom="paragraph">
              <wp:posOffset>90017</wp:posOffset>
            </wp:positionV>
            <wp:extent cx="4572000" cy="2743200"/>
            <wp:effectExtent l="0" t="0" r="0" b="0"/>
            <wp:wrapTopAndBottom/>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27" cstate="print"/>
                    <a:stretch>
                      <a:fillRect/>
                    </a:stretch>
                  </pic:blipFill>
                  <pic:spPr>
                    <a:xfrm>
                      <a:off x="0" y="0"/>
                      <a:ext cx="4572000" cy="2743200"/>
                    </a:xfrm>
                    <a:prstGeom prst="rect">
                      <a:avLst/>
                    </a:prstGeom>
                  </pic:spPr>
                </pic:pic>
              </a:graphicData>
            </a:graphic>
          </wp:anchor>
        </w:drawing>
      </w:r>
    </w:p>
    <w:p w:rsidR="00B801AF" w:rsidRDefault="00B801AF">
      <w:pPr>
        <w:rPr>
          <w:sz w:val="8"/>
        </w:rPr>
        <w:sectPr w:rsidR="00B801AF">
          <w:pgSz w:w="11900" w:h="16840"/>
          <w:pgMar w:top="1360" w:right="1100" w:bottom="1220" w:left="1040" w:header="0" w:footer="1007" w:gutter="0"/>
          <w:cols w:space="720"/>
        </w:sectPr>
      </w:pPr>
    </w:p>
    <w:p w:rsidR="00B801AF" w:rsidRDefault="00602675">
      <w:pPr>
        <w:spacing w:before="67"/>
        <w:ind w:left="400"/>
        <w:rPr>
          <w:sz w:val="28"/>
        </w:rPr>
      </w:pPr>
      <w:r>
        <w:rPr>
          <w:sz w:val="28"/>
        </w:rPr>
        <w:lastRenderedPageBreak/>
        <w:t>Figure: EPS of the SEBL</w:t>
      </w:r>
    </w:p>
    <w:p w:rsidR="00B801AF" w:rsidRDefault="00B801AF">
      <w:pPr>
        <w:pStyle w:val="BodyText"/>
        <w:spacing w:before="9"/>
        <w:rPr>
          <w:sz w:val="29"/>
        </w:rPr>
      </w:pPr>
    </w:p>
    <w:p w:rsidR="00B801AF" w:rsidRDefault="00602675">
      <w:pPr>
        <w:ind w:left="400"/>
        <w:rPr>
          <w:b/>
          <w:sz w:val="24"/>
        </w:rPr>
      </w:pPr>
      <w:r>
        <w:rPr>
          <w:b/>
          <w:color w:val="00AF50"/>
          <w:sz w:val="24"/>
        </w:rPr>
        <w:t>Interpretation:</w:t>
      </w:r>
    </w:p>
    <w:p w:rsidR="00B801AF" w:rsidRDefault="00B801AF">
      <w:pPr>
        <w:pStyle w:val="BodyText"/>
        <w:spacing w:before="2"/>
        <w:rPr>
          <w:b/>
          <w:sz w:val="33"/>
        </w:rPr>
      </w:pPr>
    </w:p>
    <w:p w:rsidR="00B801AF" w:rsidRDefault="00602675">
      <w:pPr>
        <w:pStyle w:val="BodyText"/>
        <w:spacing w:line="357" w:lineRule="auto"/>
        <w:ind w:left="400" w:right="357"/>
        <w:jc w:val="both"/>
      </w:pPr>
      <w:r>
        <w:t>EPS has stated that it acquires for each outstanding share of the common share price. EPS is viewed by investors intentionally because it is an important indicator of corporate achievement. The graph shows that the income of each part of SEBL in 2013 is higher than in 2016 and 2017 as it is now, 2013 years was the desired year for</w:t>
      </w:r>
      <w:r>
        <w:rPr>
          <w:spacing w:val="-1"/>
        </w:rPr>
        <w:t xml:space="preserve"> </w:t>
      </w:r>
      <w:r>
        <w:t>SEBL.</w:t>
      </w:r>
    </w:p>
    <w:p w:rsidR="00B801AF" w:rsidRDefault="00B801AF">
      <w:pPr>
        <w:pStyle w:val="BodyText"/>
        <w:spacing w:before="7"/>
        <w:rPr>
          <w:sz w:val="20"/>
        </w:rPr>
      </w:pPr>
    </w:p>
    <w:p w:rsidR="00B801AF" w:rsidRDefault="00602675">
      <w:pPr>
        <w:ind w:left="400"/>
        <w:rPr>
          <w:rFonts w:ascii="Carlito"/>
          <w:b/>
        </w:rPr>
      </w:pPr>
      <w:r>
        <w:rPr>
          <w:rFonts w:ascii="Carlito"/>
          <w:b/>
        </w:rPr>
        <w:t>6.1.4.6 Price Earnings Ratio:</w:t>
      </w:r>
    </w:p>
    <w:p w:rsidR="00B801AF" w:rsidRDefault="00B801AF">
      <w:pPr>
        <w:pStyle w:val="BodyText"/>
        <w:spacing w:before="1"/>
        <w:rPr>
          <w:rFonts w:ascii="Carlito"/>
          <w:b/>
          <w:sz w:val="32"/>
        </w:rPr>
      </w:pPr>
    </w:p>
    <w:p w:rsidR="00B801AF" w:rsidRDefault="00602675">
      <w:pPr>
        <w:pStyle w:val="BodyText"/>
        <w:spacing w:line="357" w:lineRule="auto"/>
        <w:ind w:left="400" w:right="360"/>
        <w:jc w:val="both"/>
      </w:pPr>
      <w:r>
        <w:t>The Price or Earnings (P / E) ratio is often used to determine the share price of an owner's valuation. P / E represents the amount of money an investor's firm is willing to pay for each dollar of income. The higher the P / E ratio, the higher the investor confidence in the firm's future. Price to earnings (P / E) ratio is calculated as follows: Price Earnings Ratio=Market Price per Share/Earnings per Share</w:t>
      </w:r>
    </w:p>
    <w:p w:rsidR="00B801AF" w:rsidRDefault="00B801AF">
      <w:pPr>
        <w:pStyle w:val="BodyText"/>
        <w:spacing w:before="2"/>
        <w:rPr>
          <w:sz w:val="20"/>
        </w:rPr>
      </w:pPr>
    </w:p>
    <w:tbl>
      <w:tblPr>
        <w:tblW w:w="0" w:type="auto"/>
        <w:tblInd w:w="3190"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661"/>
        <w:gridCol w:w="1841"/>
      </w:tblGrid>
      <w:tr w:rsidR="00B801AF">
        <w:trPr>
          <w:trHeight w:val="500"/>
        </w:trPr>
        <w:tc>
          <w:tcPr>
            <w:tcW w:w="1661" w:type="dxa"/>
          </w:tcPr>
          <w:p w:rsidR="00B801AF" w:rsidRDefault="00602675">
            <w:pPr>
              <w:pStyle w:val="TableParagraph"/>
              <w:spacing w:before="10"/>
              <w:ind w:left="131"/>
              <w:rPr>
                <w:b/>
                <w:sz w:val="24"/>
              </w:rPr>
            </w:pPr>
            <w:r>
              <w:rPr>
                <w:b/>
                <w:sz w:val="24"/>
              </w:rPr>
              <w:t>Year</w:t>
            </w:r>
          </w:p>
        </w:tc>
        <w:tc>
          <w:tcPr>
            <w:tcW w:w="1841" w:type="dxa"/>
          </w:tcPr>
          <w:p w:rsidR="00B801AF" w:rsidRDefault="00602675">
            <w:pPr>
              <w:pStyle w:val="TableParagraph"/>
              <w:spacing w:before="10"/>
              <w:ind w:left="100"/>
              <w:rPr>
                <w:b/>
                <w:sz w:val="24"/>
              </w:rPr>
            </w:pPr>
            <w:r>
              <w:rPr>
                <w:b/>
                <w:sz w:val="24"/>
              </w:rPr>
              <w:t>Ratio</w:t>
            </w:r>
          </w:p>
        </w:tc>
      </w:tr>
      <w:tr w:rsidR="00B801AF">
        <w:trPr>
          <w:trHeight w:val="465"/>
        </w:trPr>
        <w:tc>
          <w:tcPr>
            <w:tcW w:w="1661" w:type="dxa"/>
            <w:shd w:val="clear" w:color="auto" w:fill="D2EAF0"/>
          </w:tcPr>
          <w:p w:rsidR="00B801AF" w:rsidRDefault="00602675">
            <w:pPr>
              <w:pStyle w:val="TableParagraph"/>
              <w:spacing w:line="273" w:lineRule="exact"/>
              <w:ind w:left="131"/>
              <w:rPr>
                <w:b/>
                <w:sz w:val="24"/>
              </w:rPr>
            </w:pPr>
            <w:r>
              <w:rPr>
                <w:b/>
                <w:color w:val="001F5F"/>
                <w:sz w:val="24"/>
              </w:rPr>
              <w:t>2017</w:t>
            </w:r>
          </w:p>
        </w:tc>
        <w:tc>
          <w:tcPr>
            <w:tcW w:w="1841" w:type="dxa"/>
            <w:shd w:val="clear" w:color="auto" w:fill="D2EAF0"/>
          </w:tcPr>
          <w:p w:rsidR="00B801AF" w:rsidRDefault="00602675">
            <w:pPr>
              <w:pStyle w:val="TableParagraph"/>
              <w:spacing w:line="273" w:lineRule="exact"/>
              <w:ind w:left="100"/>
              <w:rPr>
                <w:sz w:val="24"/>
              </w:rPr>
            </w:pPr>
            <w:r>
              <w:rPr>
                <w:sz w:val="24"/>
              </w:rPr>
              <w:t>8.50</w:t>
            </w:r>
          </w:p>
        </w:tc>
      </w:tr>
      <w:tr w:rsidR="00B801AF">
        <w:trPr>
          <w:trHeight w:val="455"/>
        </w:trPr>
        <w:tc>
          <w:tcPr>
            <w:tcW w:w="1661" w:type="dxa"/>
          </w:tcPr>
          <w:p w:rsidR="00B801AF" w:rsidRDefault="00602675">
            <w:pPr>
              <w:pStyle w:val="TableParagraph"/>
              <w:spacing w:line="268" w:lineRule="exact"/>
              <w:ind w:left="131"/>
              <w:rPr>
                <w:b/>
                <w:sz w:val="24"/>
              </w:rPr>
            </w:pPr>
            <w:r>
              <w:rPr>
                <w:b/>
                <w:color w:val="001F5F"/>
                <w:sz w:val="24"/>
              </w:rPr>
              <w:t>2016</w:t>
            </w:r>
          </w:p>
        </w:tc>
        <w:tc>
          <w:tcPr>
            <w:tcW w:w="1841" w:type="dxa"/>
          </w:tcPr>
          <w:p w:rsidR="00B801AF" w:rsidRDefault="00602675">
            <w:pPr>
              <w:pStyle w:val="TableParagraph"/>
              <w:spacing w:line="268" w:lineRule="exact"/>
              <w:ind w:left="100"/>
              <w:rPr>
                <w:sz w:val="24"/>
              </w:rPr>
            </w:pPr>
            <w:r>
              <w:rPr>
                <w:sz w:val="24"/>
              </w:rPr>
              <w:t>14.55</w:t>
            </w:r>
          </w:p>
        </w:tc>
      </w:tr>
      <w:tr w:rsidR="00B801AF">
        <w:trPr>
          <w:trHeight w:val="409"/>
        </w:trPr>
        <w:tc>
          <w:tcPr>
            <w:tcW w:w="1661" w:type="dxa"/>
            <w:shd w:val="clear" w:color="auto" w:fill="D2EAF0"/>
          </w:tcPr>
          <w:p w:rsidR="00B801AF" w:rsidRDefault="00602675">
            <w:pPr>
              <w:pStyle w:val="TableParagraph"/>
              <w:spacing w:line="268" w:lineRule="exact"/>
              <w:ind w:left="131"/>
              <w:rPr>
                <w:b/>
                <w:sz w:val="24"/>
              </w:rPr>
            </w:pPr>
            <w:r>
              <w:rPr>
                <w:b/>
                <w:color w:val="001F5F"/>
                <w:sz w:val="24"/>
              </w:rPr>
              <w:t>2015</w:t>
            </w:r>
          </w:p>
        </w:tc>
        <w:tc>
          <w:tcPr>
            <w:tcW w:w="1841" w:type="dxa"/>
            <w:shd w:val="clear" w:color="auto" w:fill="D2EAF0"/>
          </w:tcPr>
          <w:p w:rsidR="00B801AF" w:rsidRDefault="00602675">
            <w:pPr>
              <w:pStyle w:val="TableParagraph"/>
              <w:spacing w:line="268" w:lineRule="exact"/>
              <w:ind w:left="100"/>
              <w:rPr>
                <w:sz w:val="24"/>
              </w:rPr>
            </w:pPr>
            <w:r>
              <w:rPr>
                <w:sz w:val="24"/>
              </w:rPr>
              <w:t>7.04</w:t>
            </w:r>
          </w:p>
        </w:tc>
      </w:tr>
      <w:tr w:rsidR="00B801AF">
        <w:trPr>
          <w:trHeight w:val="464"/>
        </w:trPr>
        <w:tc>
          <w:tcPr>
            <w:tcW w:w="1661" w:type="dxa"/>
          </w:tcPr>
          <w:p w:rsidR="00B801AF" w:rsidRDefault="00602675">
            <w:pPr>
              <w:pStyle w:val="TableParagraph"/>
              <w:spacing w:line="275" w:lineRule="exact"/>
              <w:ind w:left="131"/>
              <w:rPr>
                <w:b/>
                <w:sz w:val="24"/>
              </w:rPr>
            </w:pPr>
            <w:r>
              <w:rPr>
                <w:b/>
                <w:color w:val="001F5F"/>
                <w:sz w:val="24"/>
              </w:rPr>
              <w:t>2014</w:t>
            </w:r>
          </w:p>
        </w:tc>
        <w:tc>
          <w:tcPr>
            <w:tcW w:w="1841" w:type="dxa"/>
          </w:tcPr>
          <w:p w:rsidR="00B801AF" w:rsidRDefault="00602675">
            <w:pPr>
              <w:pStyle w:val="TableParagraph"/>
              <w:spacing w:before="1"/>
              <w:ind w:left="100"/>
              <w:rPr>
                <w:sz w:val="24"/>
              </w:rPr>
            </w:pPr>
            <w:r>
              <w:rPr>
                <w:sz w:val="24"/>
              </w:rPr>
              <w:t>5.79</w:t>
            </w:r>
          </w:p>
        </w:tc>
      </w:tr>
    </w:tbl>
    <w:p w:rsidR="00B801AF" w:rsidRDefault="00602675">
      <w:pPr>
        <w:pStyle w:val="Heading4"/>
        <w:spacing w:before="16" w:line="360" w:lineRule="auto"/>
        <w:ind w:right="5533"/>
      </w:pPr>
      <w:r>
        <w:rPr>
          <w:color w:val="30849B"/>
        </w:rPr>
        <w:t xml:space="preserve">Table: Price Earnings Ratio of SEBL </w:t>
      </w:r>
      <w:r>
        <w:rPr>
          <w:color w:val="00AF50"/>
        </w:rPr>
        <w:t>Graphical Presentation:</w:t>
      </w:r>
    </w:p>
    <w:p w:rsidR="00B801AF" w:rsidRDefault="00602675">
      <w:pPr>
        <w:pStyle w:val="BodyText"/>
        <w:ind w:left="1316"/>
        <w:rPr>
          <w:sz w:val="20"/>
        </w:rPr>
      </w:pPr>
      <w:r>
        <w:rPr>
          <w:noProof/>
          <w:sz w:val="20"/>
        </w:rPr>
        <w:lastRenderedPageBreak/>
        <w:drawing>
          <wp:inline distT="0" distB="0" distL="0" distR="0">
            <wp:extent cx="4572000" cy="2743200"/>
            <wp:effectExtent l="0" t="0" r="0" b="0"/>
            <wp:docPr id="2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jpeg"/>
                    <pic:cNvPicPr/>
                  </pic:nvPicPr>
                  <pic:blipFill>
                    <a:blip r:embed="rId28" cstate="print"/>
                    <a:stretch>
                      <a:fillRect/>
                    </a:stretch>
                  </pic:blipFill>
                  <pic:spPr>
                    <a:xfrm>
                      <a:off x="0" y="0"/>
                      <a:ext cx="4572000" cy="2743200"/>
                    </a:xfrm>
                    <a:prstGeom prst="rect">
                      <a:avLst/>
                    </a:prstGeom>
                  </pic:spPr>
                </pic:pic>
              </a:graphicData>
            </a:graphic>
          </wp:inline>
        </w:drawing>
      </w:r>
    </w:p>
    <w:p w:rsidR="00B801AF" w:rsidRDefault="00B801AF">
      <w:pPr>
        <w:rPr>
          <w:sz w:val="20"/>
        </w:rPr>
        <w:sectPr w:rsidR="00B801AF">
          <w:pgSz w:w="11900" w:h="16840"/>
          <w:pgMar w:top="1340" w:right="1100" w:bottom="1200" w:left="1040" w:header="0" w:footer="1007" w:gutter="0"/>
          <w:cols w:space="720"/>
        </w:sectPr>
      </w:pPr>
    </w:p>
    <w:p w:rsidR="00B801AF" w:rsidRDefault="00602675">
      <w:pPr>
        <w:spacing w:before="78"/>
        <w:ind w:left="561" w:right="477"/>
        <w:jc w:val="center"/>
        <w:rPr>
          <w:b/>
          <w:sz w:val="24"/>
        </w:rPr>
      </w:pPr>
      <w:r>
        <w:rPr>
          <w:b/>
          <w:color w:val="30849B"/>
          <w:sz w:val="24"/>
        </w:rPr>
        <w:lastRenderedPageBreak/>
        <w:t>Figure: Price Earnings Ratio of SEBL</w:t>
      </w:r>
    </w:p>
    <w:p w:rsidR="00B801AF" w:rsidRDefault="00B801AF">
      <w:pPr>
        <w:pStyle w:val="BodyText"/>
        <w:spacing w:before="1"/>
        <w:rPr>
          <w:b/>
          <w:sz w:val="28"/>
        </w:rPr>
      </w:pPr>
    </w:p>
    <w:p w:rsidR="00B801AF" w:rsidRDefault="00602675">
      <w:pPr>
        <w:spacing w:before="90"/>
        <w:ind w:left="400"/>
        <w:rPr>
          <w:b/>
          <w:sz w:val="24"/>
        </w:rPr>
      </w:pPr>
      <w:r>
        <w:rPr>
          <w:b/>
          <w:color w:val="00AF50"/>
          <w:sz w:val="24"/>
        </w:rPr>
        <w:t>Interpretation:</w:t>
      </w:r>
    </w:p>
    <w:p w:rsidR="00B801AF" w:rsidRDefault="00B801AF">
      <w:pPr>
        <w:pStyle w:val="BodyText"/>
        <w:spacing w:before="10"/>
        <w:rPr>
          <w:b/>
          <w:sz w:val="30"/>
        </w:rPr>
      </w:pPr>
    </w:p>
    <w:p w:rsidR="00B801AF" w:rsidRDefault="00602675">
      <w:pPr>
        <w:spacing w:line="374" w:lineRule="auto"/>
        <w:ind w:left="400" w:right="426"/>
        <w:jc w:val="both"/>
        <w:rPr>
          <w:sz w:val="23"/>
        </w:rPr>
      </w:pPr>
      <w:r>
        <w:rPr>
          <w:sz w:val="23"/>
        </w:rPr>
        <w:t>The graph shows that the SEBL's price-to-earnings ratio was good, representing 14.55% in 2016. Last year, the 2017 earnings ratio dropped to just 8.5% which is not satisfactory. To improve the ratio, SEBL has to raise the market price per share and reduce the earnings per share. This graph shows the ratio of price to earnings that FY is increasing from 2015 to 2016</w:t>
      </w:r>
    </w:p>
    <w:p w:rsidR="00B801AF" w:rsidRDefault="00B801AF">
      <w:pPr>
        <w:pStyle w:val="BodyText"/>
        <w:rPr>
          <w:sz w:val="26"/>
        </w:rPr>
      </w:pPr>
    </w:p>
    <w:p w:rsidR="00B801AF" w:rsidRDefault="00B801AF">
      <w:pPr>
        <w:pStyle w:val="BodyText"/>
        <w:rPr>
          <w:sz w:val="26"/>
        </w:rPr>
      </w:pPr>
    </w:p>
    <w:p w:rsidR="00B801AF" w:rsidRDefault="00B801AF">
      <w:pPr>
        <w:pStyle w:val="BodyText"/>
        <w:spacing w:before="7"/>
        <w:rPr>
          <w:sz w:val="25"/>
        </w:rPr>
      </w:pPr>
    </w:p>
    <w:p w:rsidR="00B801AF" w:rsidRDefault="00602675">
      <w:pPr>
        <w:pStyle w:val="Heading4"/>
        <w:ind w:left="561" w:right="482"/>
        <w:jc w:val="center"/>
      </w:pPr>
      <w:r>
        <w:t>Chapter -5</w:t>
      </w:r>
    </w:p>
    <w:p w:rsidR="00B801AF" w:rsidRDefault="00B801AF">
      <w:pPr>
        <w:pStyle w:val="BodyText"/>
        <w:spacing w:before="10"/>
        <w:rPr>
          <w:b/>
          <w:sz w:val="20"/>
        </w:rPr>
      </w:pPr>
    </w:p>
    <w:p w:rsidR="00B801AF" w:rsidRDefault="00602675">
      <w:pPr>
        <w:ind w:left="540" w:right="482"/>
        <w:jc w:val="center"/>
        <w:rPr>
          <w:b/>
          <w:sz w:val="24"/>
        </w:rPr>
      </w:pPr>
      <w:r>
        <w:rPr>
          <w:b/>
          <w:sz w:val="24"/>
        </w:rPr>
        <w:t>Findings Conclusions and Recommendations</w:t>
      </w:r>
    </w:p>
    <w:p w:rsidR="00B801AF" w:rsidRDefault="00B801AF">
      <w:pPr>
        <w:pStyle w:val="BodyText"/>
        <w:rPr>
          <w:b/>
          <w:sz w:val="26"/>
        </w:rPr>
      </w:pPr>
    </w:p>
    <w:p w:rsidR="00B801AF" w:rsidRDefault="00B801AF">
      <w:pPr>
        <w:pStyle w:val="BodyText"/>
        <w:rPr>
          <w:b/>
          <w:sz w:val="26"/>
        </w:rPr>
      </w:pPr>
    </w:p>
    <w:p w:rsidR="00B801AF" w:rsidRDefault="00B801AF">
      <w:pPr>
        <w:pStyle w:val="BodyText"/>
        <w:spacing w:before="9"/>
        <w:rPr>
          <w:b/>
          <w:sz w:val="32"/>
        </w:rPr>
      </w:pPr>
    </w:p>
    <w:p w:rsidR="00B801AF" w:rsidRDefault="00602675">
      <w:pPr>
        <w:pStyle w:val="Heading2"/>
        <w:numPr>
          <w:ilvl w:val="1"/>
          <w:numId w:val="1"/>
        </w:numPr>
        <w:tabs>
          <w:tab w:val="left" w:pos="823"/>
        </w:tabs>
        <w:spacing w:before="1"/>
      </w:pPr>
      <w:bookmarkStart w:id="8" w:name="_TOC_250001"/>
      <w:bookmarkEnd w:id="8"/>
      <w:r>
        <w:t>Findings</w:t>
      </w:r>
    </w:p>
    <w:p w:rsidR="00B801AF" w:rsidRDefault="00B801AF">
      <w:pPr>
        <w:pStyle w:val="BodyText"/>
        <w:spacing w:before="10"/>
        <w:rPr>
          <w:b/>
          <w:sz w:val="38"/>
        </w:rPr>
      </w:pPr>
    </w:p>
    <w:p w:rsidR="00B801AF" w:rsidRDefault="00602675">
      <w:pPr>
        <w:pStyle w:val="BodyText"/>
        <w:spacing w:line="350" w:lineRule="auto"/>
        <w:ind w:left="400" w:right="342"/>
        <w:jc w:val="both"/>
      </w:pPr>
      <w:r>
        <w:t>Each study includes certain findings; my report is no exception. During my internship I had the opportunity to observe some of the things that were not noticed by Southeast</w:t>
      </w:r>
    </w:p>
    <w:p w:rsidR="00B801AF" w:rsidRDefault="00B801AF">
      <w:pPr>
        <w:pStyle w:val="BodyText"/>
        <w:spacing w:before="1"/>
        <w:rPr>
          <w:sz w:val="25"/>
        </w:rPr>
      </w:pPr>
    </w:p>
    <w:p w:rsidR="00B801AF" w:rsidRDefault="00602675">
      <w:pPr>
        <w:spacing w:line="376" w:lineRule="auto"/>
        <w:ind w:left="400" w:right="315"/>
        <w:jc w:val="both"/>
        <w:rPr>
          <w:sz w:val="23"/>
        </w:rPr>
      </w:pPr>
      <w:r>
        <w:rPr>
          <w:sz w:val="23"/>
        </w:rPr>
        <w:t xml:space="preserve">Bank Limited (SEBL). They are given below: </w:t>
      </w:r>
      <w:r>
        <w:rPr>
          <w:rFonts w:ascii="Symbol" w:hAnsi="Symbol"/>
          <w:sz w:val="23"/>
        </w:rPr>
        <w:t></w:t>
      </w:r>
      <w:r>
        <w:rPr>
          <w:sz w:val="23"/>
        </w:rPr>
        <w:t xml:space="preserve"> The liquidity condition of Southeast Bank Limited is quite satisfactory. Its liquidity ratio is closer to its standard level and it has a higher debt-to-equity ratio than total assets, thus posing a risk on average. </w:t>
      </w:r>
      <w:r>
        <w:rPr>
          <w:rFonts w:ascii="Symbol" w:hAnsi="Symbol"/>
          <w:sz w:val="23"/>
        </w:rPr>
        <w:t></w:t>
      </w:r>
      <w:r>
        <w:rPr>
          <w:sz w:val="23"/>
        </w:rPr>
        <w:t xml:space="preserve"> The bank's ROA has increased to 0.60% in 2017 than the year 2016 which is within moderate satisfactory level because it was greatly improved in the year 2013 and 2014. </w:t>
      </w:r>
      <w:r>
        <w:rPr>
          <w:rFonts w:ascii="Symbol" w:hAnsi="Symbol"/>
          <w:sz w:val="23"/>
        </w:rPr>
        <w:t></w:t>
      </w:r>
      <w:r>
        <w:rPr>
          <w:sz w:val="23"/>
        </w:rPr>
        <w:t xml:space="preserve"> The bank's return on equity is in a decreasing pattern. In the earlier year 2013 and 2014, the ratio was exceptionally satisfactory. It decreased in 2016 however in 2017 it increased to 10.61%. </w:t>
      </w:r>
      <w:r>
        <w:rPr>
          <w:rFonts w:ascii="Symbol" w:hAnsi="Symbol"/>
          <w:sz w:val="23"/>
        </w:rPr>
        <w:t></w:t>
      </w:r>
      <w:r>
        <w:rPr>
          <w:sz w:val="23"/>
        </w:rPr>
        <w:t xml:space="preserve"> Its operating expenses have increased to 8731.92 million from 7482.67 million in 2017 because of the increase of branches and workers. And for this its net interest margin, net operating margin are also decreasing. </w:t>
      </w:r>
      <w:r>
        <w:rPr>
          <w:rFonts w:ascii="Symbol" w:hAnsi="Symbol"/>
          <w:sz w:val="23"/>
        </w:rPr>
        <w:t></w:t>
      </w:r>
      <w:r>
        <w:rPr>
          <w:sz w:val="23"/>
        </w:rPr>
        <w:t xml:space="preserve"> The debt ratio has increased step by step. The debt ratio measures, the proportion of total assets provides by the firm’s creditor. Their debt ratio </w:t>
      </w:r>
      <w:r>
        <w:rPr>
          <w:spacing w:val="-2"/>
          <w:sz w:val="23"/>
        </w:rPr>
        <w:t xml:space="preserve">was </w:t>
      </w:r>
      <w:r>
        <w:rPr>
          <w:sz w:val="23"/>
        </w:rPr>
        <w:t xml:space="preserve">increasing to 0.945 in 2017 that indicates a negative sign for the bank. </w:t>
      </w:r>
      <w:r>
        <w:rPr>
          <w:rFonts w:ascii="Symbol" w:hAnsi="Symbol"/>
          <w:sz w:val="23"/>
        </w:rPr>
        <w:t></w:t>
      </w:r>
      <w:r>
        <w:rPr>
          <w:sz w:val="23"/>
        </w:rPr>
        <w:t xml:space="preserve"> EPS has been closely watched by investors as it is an important indicator of corporate success. The analysis shows that the earnings per share of SEBL was 2013 and higher than 2016 for 2017 years. Reducing the net profit margin means the bank's operating </w:t>
      </w:r>
      <w:r>
        <w:rPr>
          <w:sz w:val="23"/>
        </w:rPr>
        <w:lastRenderedPageBreak/>
        <w:t>results are diminishing. 2013 years shows that EPS is up at 3.5, which is a good</w:t>
      </w:r>
      <w:r>
        <w:rPr>
          <w:spacing w:val="-8"/>
          <w:sz w:val="23"/>
        </w:rPr>
        <w:t xml:space="preserve"> </w:t>
      </w:r>
      <w:r>
        <w:rPr>
          <w:sz w:val="23"/>
        </w:rPr>
        <w:t>sign</w:t>
      </w:r>
    </w:p>
    <w:p w:rsidR="00B801AF" w:rsidRDefault="00B801AF">
      <w:pPr>
        <w:spacing w:line="376" w:lineRule="auto"/>
        <w:jc w:val="both"/>
        <w:rPr>
          <w:sz w:val="23"/>
        </w:rPr>
        <w:sectPr w:rsidR="00B801AF">
          <w:pgSz w:w="11900" w:h="16840"/>
          <w:pgMar w:top="1340" w:right="1100" w:bottom="1240" w:left="1040" w:header="0" w:footer="1007" w:gutter="0"/>
          <w:cols w:space="720"/>
        </w:sectPr>
      </w:pPr>
    </w:p>
    <w:p w:rsidR="00B801AF" w:rsidRDefault="00602675">
      <w:pPr>
        <w:spacing w:before="73" w:line="367" w:lineRule="auto"/>
        <w:ind w:left="400" w:right="203"/>
        <w:rPr>
          <w:sz w:val="24"/>
        </w:rPr>
      </w:pPr>
      <w:r>
        <w:rPr>
          <w:sz w:val="24"/>
        </w:rPr>
        <w:lastRenderedPageBreak/>
        <w:t xml:space="preserve">for the company. </w:t>
      </w:r>
      <w:r>
        <w:rPr>
          <w:rFonts w:ascii="Symbol" w:hAnsi="Symbol"/>
          <w:sz w:val="24"/>
        </w:rPr>
        <w:t></w:t>
      </w:r>
      <w:r>
        <w:rPr>
          <w:sz w:val="24"/>
        </w:rPr>
        <w:t xml:space="preserve"> The banks that make money on total assets are quite satisfactory and in 2017 its fixed asset turnover is 4.23% which indicates a good asset management of SEBL. </w:t>
      </w:r>
      <w:r>
        <w:rPr>
          <w:rFonts w:ascii="Symbol" w:hAnsi="Symbol"/>
          <w:sz w:val="24"/>
        </w:rPr>
        <w:t></w:t>
      </w:r>
      <w:r>
        <w:rPr>
          <w:sz w:val="24"/>
        </w:rPr>
        <w:t xml:space="preserve"> </w:t>
      </w:r>
      <w:r>
        <w:rPr>
          <w:sz w:val="23"/>
        </w:rPr>
        <w:t xml:space="preserve">Market price analysis shows that the market performance of the bank is increasing which is indicated by increasing the market value per share from Rs 100 to Rs 193.92. </w:t>
      </w:r>
      <w:r>
        <w:rPr>
          <w:rFonts w:ascii="Symbol" w:hAnsi="Symbol"/>
          <w:sz w:val="23"/>
        </w:rPr>
        <w:t></w:t>
      </w:r>
      <w:r>
        <w:rPr>
          <w:sz w:val="23"/>
        </w:rPr>
        <w:t xml:space="preserve"> Overall, SEBL's financial position is quite satisfactory compared to other public commercial banks. Despite the </w:t>
      </w:r>
      <w:r>
        <w:rPr>
          <w:sz w:val="24"/>
        </w:rPr>
        <w:t>adverse economic conditions of the past few years, SEBL has achieved decent performance in all key areas of banking activities.</w:t>
      </w:r>
    </w:p>
    <w:p w:rsidR="00B801AF" w:rsidRDefault="00B801AF">
      <w:pPr>
        <w:pStyle w:val="BodyText"/>
        <w:spacing w:before="8"/>
      </w:pPr>
    </w:p>
    <w:p w:rsidR="00B801AF" w:rsidRDefault="00602675">
      <w:pPr>
        <w:pStyle w:val="Heading2"/>
        <w:numPr>
          <w:ilvl w:val="1"/>
          <w:numId w:val="1"/>
        </w:numPr>
        <w:tabs>
          <w:tab w:val="left" w:pos="823"/>
        </w:tabs>
      </w:pPr>
      <w:r>
        <w:t>Conclusion</w:t>
      </w:r>
    </w:p>
    <w:p w:rsidR="00B801AF" w:rsidRDefault="00B801AF">
      <w:pPr>
        <w:pStyle w:val="BodyText"/>
        <w:spacing w:before="5"/>
        <w:rPr>
          <w:b/>
          <w:sz w:val="28"/>
        </w:rPr>
      </w:pPr>
    </w:p>
    <w:p w:rsidR="00B801AF" w:rsidRDefault="00602675">
      <w:pPr>
        <w:pStyle w:val="BodyText"/>
        <w:spacing w:before="1" w:line="259" w:lineRule="auto"/>
        <w:ind w:left="400" w:right="403"/>
      </w:pPr>
      <w:r>
        <w:t>Southeast Bank Limited (SEBL) is setting new standards for banking in hours of dire economic conditions. As part of the legislature's long-term financial transformation and modernization plan, the bank was transformed into an open limited company. SEBL</w:t>
      </w:r>
      <w:r>
        <w:rPr>
          <w:spacing w:val="-15"/>
        </w:rPr>
        <w:t xml:space="preserve"> </w:t>
      </w:r>
      <w:r>
        <w:t xml:space="preserve">prepares resources to stay strong in key areas of management. </w:t>
      </w:r>
      <w:r>
        <w:rPr>
          <w:spacing w:val="-3"/>
        </w:rPr>
        <w:t xml:space="preserve">In </w:t>
      </w:r>
      <w:r>
        <w:t xml:space="preserve">terms of Treasury activities, SEBL remains the key player in the currency market to maximize profits through pricing of large amounts of currency and marketing rates and expectations, while Treasury transactions are being strengthened to facilitate increasingly sophisticated items and transactions required for administration. </w:t>
      </w:r>
      <w:r>
        <w:rPr>
          <w:spacing w:val="-3"/>
        </w:rPr>
        <w:t xml:space="preserve">In </w:t>
      </w:r>
      <w:r>
        <w:t>spite of the fact that it has a wide range of system and confidence from the clients, it has a few issues those issues decrease its income. The authority isn't that adaptable and it takes time to make a decision. Southeast Bank Limited has always tried its level best to perform financially. Their financial performance against the banking industry is extremely satisfactory. Without trying to do well in some cases, Southeast Bank Limited once faced some financial problems. Part of the issues are the profitability and the declining pattern of dissolution, the shortage of representatives, the current technological benefit shortage, and more. These problems are aroused from time to time due to economic slowdown, interest rate fluctuations, emerging capital markets, inflation in the money market. By battling all these problems and competing with other banks every minute, the bank is trying to improve. In the wake of this issue, we believe that Southeast Bank Limited will grow even more lately. From a practical standpoint, I can boldly declare that from the very first day I truly enjoyed my internship at this bank. Furthermore, this internship program that is mandatory for my B.B.A program has definitely helped me to think more about my career. I have tried my best to include the research report with relevant</w:t>
      </w:r>
      <w:r>
        <w:rPr>
          <w:spacing w:val="-5"/>
        </w:rPr>
        <w:t xml:space="preserve"> </w:t>
      </w:r>
      <w:r>
        <w:t>information.</w:t>
      </w:r>
    </w:p>
    <w:p w:rsidR="00B801AF" w:rsidRDefault="00B801AF">
      <w:pPr>
        <w:pStyle w:val="BodyText"/>
        <w:rPr>
          <w:sz w:val="26"/>
        </w:rPr>
      </w:pPr>
    </w:p>
    <w:p w:rsidR="00B801AF" w:rsidRDefault="00B801AF">
      <w:pPr>
        <w:pStyle w:val="BodyText"/>
        <w:spacing w:before="6"/>
        <w:rPr>
          <w:sz w:val="27"/>
        </w:rPr>
      </w:pPr>
    </w:p>
    <w:p w:rsidR="00B801AF" w:rsidRDefault="00602675">
      <w:pPr>
        <w:pStyle w:val="Heading2"/>
        <w:numPr>
          <w:ilvl w:val="1"/>
          <w:numId w:val="1"/>
        </w:numPr>
        <w:tabs>
          <w:tab w:val="left" w:pos="823"/>
        </w:tabs>
      </w:pPr>
      <w:r>
        <w:t>Recommendations</w:t>
      </w:r>
    </w:p>
    <w:p w:rsidR="00B801AF" w:rsidRDefault="00B801AF">
      <w:pPr>
        <w:pStyle w:val="BodyText"/>
        <w:spacing w:before="1"/>
        <w:rPr>
          <w:b/>
          <w:sz w:val="29"/>
        </w:rPr>
      </w:pPr>
    </w:p>
    <w:p w:rsidR="00B801AF" w:rsidRDefault="00602675">
      <w:pPr>
        <w:pStyle w:val="BodyText"/>
        <w:spacing w:line="357" w:lineRule="auto"/>
        <w:ind w:left="400" w:right="463"/>
      </w:pPr>
      <w:r>
        <w:t xml:space="preserve">This report is prepared on the basis of financial reporting analysis. The report attempts to provide details about financial performance. While preparing the report, it is understood that financial performance is not a common issue, rather it is the parent of all analysis of a bank. Throughout my internship period, each part of this section has become easier to understand. </w:t>
      </w:r>
      <w:r>
        <w:lastRenderedPageBreak/>
        <w:t>Nevertheless, it will again recommend some of the components that are useful for managing</w:t>
      </w:r>
    </w:p>
    <w:p w:rsidR="00B801AF" w:rsidRDefault="00B801AF">
      <w:pPr>
        <w:spacing w:line="357" w:lineRule="auto"/>
        <w:sectPr w:rsidR="00B801AF">
          <w:pgSz w:w="11900" w:h="16840"/>
          <w:pgMar w:top="1340" w:right="1100" w:bottom="1240" w:left="1040" w:header="0" w:footer="1007" w:gutter="0"/>
          <w:cols w:space="720"/>
        </w:sectPr>
      </w:pPr>
    </w:p>
    <w:p w:rsidR="00B801AF" w:rsidRDefault="00602675">
      <w:pPr>
        <w:pStyle w:val="BodyText"/>
        <w:spacing w:before="69"/>
        <w:ind w:left="400"/>
      </w:pPr>
      <w:r>
        <w:lastRenderedPageBreak/>
        <w:t>financial liquidity.</w:t>
      </w:r>
    </w:p>
    <w:p w:rsidR="00B801AF" w:rsidRDefault="00B801AF">
      <w:pPr>
        <w:pStyle w:val="BodyText"/>
        <w:spacing w:before="9"/>
        <w:rPr>
          <w:sz w:val="25"/>
        </w:rPr>
      </w:pPr>
    </w:p>
    <w:p w:rsidR="00B801AF" w:rsidRDefault="00602675">
      <w:pPr>
        <w:pStyle w:val="BodyText"/>
        <w:spacing w:before="1"/>
        <w:ind w:left="460"/>
      </w:pPr>
      <w:r>
        <w:rPr>
          <w:rFonts w:ascii="Symbol" w:hAnsi="Symbol"/>
        </w:rPr>
        <w:t></w:t>
      </w:r>
      <w:r>
        <w:t xml:space="preserve"> Liquidity position of the Bank should be improved by reducing current liabilities</w:t>
      </w:r>
    </w:p>
    <w:p w:rsidR="00B801AF" w:rsidRDefault="00B801AF">
      <w:pPr>
        <w:pStyle w:val="BodyText"/>
        <w:spacing w:before="5"/>
        <w:rPr>
          <w:sz w:val="29"/>
        </w:rPr>
      </w:pPr>
    </w:p>
    <w:p w:rsidR="00B801AF" w:rsidRDefault="00602675">
      <w:pPr>
        <w:pStyle w:val="BodyText"/>
        <w:spacing w:before="1" w:line="333" w:lineRule="auto"/>
        <w:ind w:left="400" w:right="810"/>
      </w:pPr>
      <w:r>
        <w:rPr>
          <w:rFonts w:ascii="Symbol" w:hAnsi="Symbol"/>
        </w:rPr>
        <w:t></w:t>
      </w:r>
      <w:r>
        <w:t xml:space="preserve"> To concentrate more to increase return on asset by ensuring maximum utilization of its assets.</w:t>
      </w:r>
    </w:p>
    <w:p w:rsidR="00B801AF" w:rsidRDefault="00602675">
      <w:pPr>
        <w:pStyle w:val="BodyText"/>
        <w:spacing w:before="215" w:line="333" w:lineRule="auto"/>
        <w:ind w:left="400" w:right="654" w:firstLine="60"/>
      </w:pPr>
      <w:r>
        <w:rPr>
          <w:rFonts w:ascii="Symbol" w:hAnsi="Symbol"/>
        </w:rPr>
        <w:t></w:t>
      </w:r>
      <w:r>
        <w:t xml:space="preserve"> A reasonable credit policy should be implemented, so that the main portion of profit does not spend in payment of fixed charges.</w:t>
      </w:r>
    </w:p>
    <w:p w:rsidR="00B801AF" w:rsidRDefault="00602675">
      <w:pPr>
        <w:pStyle w:val="BodyText"/>
        <w:spacing w:before="209" w:line="338" w:lineRule="auto"/>
        <w:ind w:left="400"/>
      </w:pPr>
      <w:r>
        <w:rPr>
          <w:rFonts w:ascii="Symbol" w:hAnsi="Symbol"/>
        </w:rPr>
        <w:t></w:t>
      </w:r>
      <w:r>
        <w:t xml:space="preserve"> Increase operational efficiency by reducing cost and wastage and improves operating and management efficiency. The supply of working capital should be adequate.</w:t>
      </w:r>
    </w:p>
    <w:p w:rsidR="00B801AF" w:rsidRDefault="00602675">
      <w:pPr>
        <w:pStyle w:val="BodyText"/>
        <w:spacing w:before="176"/>
        <w:ind w:left="400"/>
      </w:pPr>
      <w:r>
        <w:rPr>
          <w:rFonts w:ascii="Symbol" w:hAnsi="Symbol"/>
        </w:rPr>
        <w:t></w:t>
      </w:r>
      <w:r>
        <w:t xml:space="preserve"> SEBL should be considered that the deposit is showing a lower tendency to change.</w:t>
      </w:r>
    </w:p>
    <w:p w:rsidR="00B801AF" w:rsidRDefault="00B801AF">
      <w:pPr>
        <w:pStyle w:val="BodyText"/>
        <w:spacing w:before="1"/>
        <w:rPr>
          <w:sz w:val="29"/>
        </w:rPr>
      </w:pPr>
    </w:p>
    <w:p w:rsidR="00B801AF" w:rsidRDefault="00602675">
      <w:pPr>
        <w:pStyle w:val="BodyText"/>
        <w:spacing w:line="338" w:lineRule="auto"/>
        <w:ind w:left="400" w:right="1716"/>
      </w:pPr>
      <w:r>
        <w:rPr>
          <w:rFonts w:ascii="Symbol" w:hAnsi="Symbol"/>
        </w:rPr>
        <w:t></w:t>
      </w:r>
      <w:r>
        <w:t xml:space="preserve"> To ensure the continuous upward movement of net interest income by raising efficiency and proper utilization of deposit.</w:t>
      </w:r>
    </w:p>
    <w:p w:rsidR="00B801AF" w:rsidRDefault="00602675">
      <w:pPr>
        <w:pStyle w:val="BodyText"/>
        <w:spacing w:before="173"/>
        <w:ind w:left="400"/>
      </w:pPr>
      <w:r>
        <w:rPr>
          <w:rFonts w:ascii="Symbol" w:hAnsi="Symbol"/>
        </w:rPr>
        <w:t></w:t>
      </w:r>
      <w:r>
        <w:t xml:space="preserve"> The evaluation process and form of training needs to be further modernized.</w:t>
      </w:r>
    </w:p>
    <w:p w:rsidR="00B801AF" w:rsidRDefault="00B801AF">
      <w:pPr>
        <w:pStyle w:val="BodyText"/>
        <w:spacing w:before="5"/>
        <w:rPr>
          <w:sz w:val="26"/>
        </w:rPr>
      </w:pPr>
    </w:p>
    <w:p w:rsidR="00B801AF" w:rsidRDefault="00602675">
      <w:pPr>
        <w:pStyle w:val="BodyText"/>
        <w:ind w:left="400"/>
      </w:pPr>
      <w:r>
        <w:rPr>
          <w:rFonts w:ascii="Symbol" w:hAnsi="Symbol"/>
        </w:rPr>
        <w:t></w:t>
      </w:r>
      <w:r>
        <w:t xml:space="preserve"> The number of branches can be increased to create employment opportunities.</w:t>
      </w:r>
    </w:p>
    <w:p w:rsidR="00B801AF" w:rsidRDefault="00B801AF">
      <w:pPr>
        <w:pStyle w:val="BodyText"/>
        <w:spacing w:before="10"/>
        <w:rPr>
          <w:sz w:val="26"/>
        </w:rPr>
      </w:pPr>
    </w:p>
    <w:p w:rsidR="00B801AF" w:rsidRDefault="00602675">
      <w:pPr>
        <w:pStyle w:val="BodyText"/>
        <w:ind w:left="400"/>
      </w:pPr>
      <w:r>
        <w:rPr>
          <w:rFonts w:ascii="Symbol" w:hAnsi="Symbol"/>
        </w:rPr>
        <w:t></w:t>
      </w:r>
      <w:r>
        <w:t xml:space="preserve"> Banks should use regular ratio analysis and take measures to improve the unadjusted ratio.</w:t>
      </w:r>
    </w:p>
    <w:p w:rsidR="00B801AF" w:rsidRDefault="00602675">
      <w:pPr>
        <w:pStyle w:val="BodyText"/>
        <w:spacing w:before="143"/>
        <w:ind w:left="400"/>
      </w:pPr>
      <w:r>
        <w:rPr>
          <w:rFonts w:ascii="Symbol" w:hAnsi="Symbol"/>
        </w:rPr>
        <w:t></w:t>
      </w:r>
      <w:r>
        <w:t xml:space="preserve"> Appoint qualified, trained and experienced management personnel.</w:t>
      </w:r>
    </w:p>
    <w:p w:rsidR="00B801AF" w:rsidRDefault="00B801AF">
      <w:pPr>
        <w:pStyle w:val="BodyText"/>
        <w:spacing w:before="6"/>
        <w:rPr>
          <w:sz w:val="26"/>
        </w:rPr>
      </w:pPr>
    </w:p>
    <w:p w:rsidR="00B801AF" w:rsidRDefault="00602675">
      <w:pPr>
        <w:pStyle w:val="BodyText"/>
        <w:spacing w:before="1"/>
        <w:ind w:left="400"/>
      </w:pPr>
      <w:r>
        <w:rPr>
          <w:rFonts w:ascii="Symbol" w:hAnsi="Symbol"/>
        </w:rPr>
        <w:t></w:t>
      </w:r>
      <w:r>
        <w:t xml:space="preserve"> Government regulations should be flexible and the policy should be realistic.</w:t>
      </w:r>
    </w:p>
    <w:p w:rsidR="00B801AF" w:rsidRDefault="00B801AF">
      <w:pPr>
        <w:pStyle w:val="BodyText"/>
        <w:spacing w:before="4"/>
        <w:rPr>
          <w:sz w:val="26"/>
        </w:rPr>
      </w:pPr>
    </w:p>
    <w:p w:rsidR="00B801AF" w:rsidRDefault="00602675">
      <w:pPr>
        <w:pStyle w:val="BodyText"/>
        <w:ind w:left="460"/>
      </w:pPr>
      <w:r>
        <w:rPr>
          <w:rFonts w:ascii="Symbol" w:hAnsi="Symbol"/>
        </w:rPr>
        <w:t></w:t>
      </w:r>
      <w:r>
        <w:t xml:space="preserve"> Accountability and motivation for performance should be established.</w:t>
      </w:r>
    </w:p>
    <w:p w:rsidR="00B801AF" w:rsidRDefault="00B801AF">
      <w:pPr>
        <w:sectPr w:rsidR="00B801AF">
          <w:pgSz w:w="11900" w:h="16840"/>
          <w:pgMar w:top="1340" w:right="1100" w:bottom="1280" w:left="1040" w:header="0" w:footer="1007" w:gutter="0"/>
          <w:cols w:space="720"/>
        </w:sect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rPr>
          <w:sz w:val="20"/>
        </w:rPr>
      </w:pPr>
    </w:p>
    <w:p w:rsidR="00B801AF" w:rsidRDefault="00B801AF">
      <w:pPr>
        <w:pStyle w:val="BodyText"/>
        <w:spacing w:before="9"/>
        <w:rPr>
          <w:sz w:val="16"/>
        </w:rPr>
      </w:pPr>
    </w:p>
    <w:p w:rsidR="00B801AF" w:rsidRDefault="00602675">
      <w:pPr>
        <w:pStyle w:val="Heading3"/>
        <w:spacing w:before="89"/>
        <w:jc w:val="left"/>
      </w:pPr>
      <w:bookmarkStart w:id="9" w:name="_TOC_250000"/>
      <w:bookmarkEnd w:id="9"/>
      <w:r>
        <w:t>References:</w:t>
      </w:r>
    </w:p>
    <w:p w:rsidR="00B801AF" w:rsidRDefault="00B801AF">
      <w:pPr>
        <w:pStyle w:val="BodyText"/>
        <w:rPr>
          <w:sz w:val="30"/>
        </w:rPr>
      </w:pPr>
    </w:p>
    <w:p w:rsidR="00B801AF" w:rsidRDefault="00B801AF">
      <w:pPr>
        <w:pStyle w:val="BodyText"/>
        <w:spacing w:before="9"/>
        <w:rPr>
          <w:sz w:val="41"/>
        </w:rPr>
      </w:pPr>
    </w:p>
    <w:p w:rsidR="00B801AF" w:rsidRDefault="00602675">
      <w:pPr>
        <w:spacing w:line="345" w:lineRule="auto"/>
        <w:ind w:left="400"/>
        <w:rPr>
          <w:sz w:val="24"/>
        </w:rPr>
      </w:pPr>
      <w:r>
        <w:rPr>
          <w:sz w:val="24"/>
        </w:rPr>
        <w:t>Kumbirai, Mabwe, and Robert Webb. "A financial ratio analysis of commercial bank performance in South Africa."</w:t>
      </w:r>
      <w:r>
        <w:rPr>
          <w:i/>
          <w:sz w:val="24"/>
        </w:rPr>
        <w:t xml:space="preserve">African Review of Economics and Finance </w:t>
      </w:r>
      <w:r>
        <w:rPr>
          <w:sz w:val="24"/>
        </w:rPr>
        <w:t>2.1 (2010): 30-53.</w:t>
      </w:r>
    </w:p>
    <w:p w:rsidR="00B801AF" w:rsidRDefault="00602675">
      <w:pPr>
        <w:pStyle w:val="BodyText"/>
        <w:spacing w:before="218" w:line="360" w:lineRule="auto"/>
        <w:ind w:left="400" w:right="531"/>
      </w:pPr>
      <w:r>
        <w:t>Sherman, H. David, and Franklin Gold. "Bank branch operating efficiency: Evaluation with data envelopment analysis."</w:t>
      </w:r>
      <w:r>
        <w:rPr>
          <w:i/>
        </w:rPr>
        <w:t xml:space="preserve">Journal of banking &amp; finance </w:t>
      </w:r>
      <w:r>
        <w:t>9.2 (1985): 297-315.</w:t>
      </w:r>
    </w:p>
    <w:p w:rsidR="00B801AF" w:rsidRDefault="00602675">
      <w:pPr>
        <w:pStyle w:val="BodyText"/>
        <w:spacing w:before="216" w:line="345" w:lineRule="auto"/>
        <w:ind w:left="400" w:right="324"/>
      </w:pPr>
      <w:r>
        <w:t>Gorener, Ali, Hasan Dincer, and Umit Hacioglu. "Application of multi-objective optimization on the basis of ratio analysis (MOORA) method for bank branch location selection." (2013).</w:t>
      </w:r>
    </w:p>
    <w:p w:rsidR="00B801AF" w:rsidRDefault="00602675">
      <w:pPr>
        <w:pStyle w:val="BodyText"/>
        <w:spacing w:before="230" w:line="355" w:lineRule="auto"/>
        <w:ind w:left="400" w:right="340"/>
        <w:jc w:val="both"/>
      </w:pPr>
      <w:r>
        <w:t>Elyasiani, Elyas, Seyed Mehdian, and Rasoul Rezvanian. "An empirical test of association between production and financial performance: the case of the commercial banking industry."</w:t>
      </w:r>
      <w:r>
        <w:rPr>
          <w:i/>
        </w:rPr>
        <w:t xml:space="preserve">Applied Financial Economics </w:t>
      </w:r>
      <w:r>
        <w:t>4.1 (1994): 55-60.</w:t>
      </w:r>
    </w:p>
    <w:p w:rsidR="00B801AF" w:rsidRDefault="00602675">
      <w:pPr>
        <w:pStyle w:val="BodyText"/>
        <w:spacing w:before="217" w:line="352" w:lineRule="auto"/>
        <w:ind w:left="400" w:right="343"/>
        <w:jc w:val="both"/>
      </w:pPr>
      <w:r>
        <w:t>Herman, Edward S., and Carl F. Safanda. "The Commercial Bank Southeast Department and the Wall."</w:t>
      </w:r>
      <w:r>
        <w:rPr>
          <w:i/>
        </w:rPr>
        <w:t xml:space="preserve">BC Indus. &amp; Com. L. Rev. </w:t>
      </w:r>
      <w:r>
        <w:t>14 (1972): 21.</w:t>
      </w:r>
    </w:p>
    <w:p w:rsidR="00B801AF" w:rsidRDefault="00602675">
      <w:pPr>
        <w:pStyle w:val="BodyText"/>
        <w:spacing w:before="219" w:line="350" w:lineRule="auto"/>
        <w:ind w:left="400" w:right="339"/>
        <w:jc w:val="both"/>
      </w:pPr>
      <w:r>
        <w:t>Siddiqui, Anjum. "Financial contracts, risk and performance of Islamic banking."</w:t>
      </w:r>
      <w:r>
        <w:rPr>
          <w:i/>
        </w:rPr>
        <w:t xml:space="preserve">Managerial finance </w:t>
      </w:r>
      <w:r>
        <w:t>34.10 (2008): 680-694.</w:t>
      </w:r>
    </w:p>
    <w:p w:rsidR="00B801AF" w:rsidRDefault="00602675">
      <w:pPr>
        <w:pStyle w:val="BodyText"/>
        <w:spacing w:before="219" w:line="355" w:lineRule="auto"/>
        <w:ind w:left="400" w:right="335"/>
        <w:jc w:val="both"/>
      </w:pPr>
      <w:r>
        <w:t>Aktar, Serena, Muhammad Kamruzzaman Sachu, and Md Emran Ali. "The impact of rewards on employee performance in commercial banks of Bangladesh: an empirical study."</w:t>
      </w:r>
      <w:r>
        <w:rPr>
          <w:i/>
        </w:rPr>
        <w:t xml:space="preserve">IOSR Journal of Business and Management </w:t>
      </w:r>
      <w:r>
        <w:t>6.2 (2012): 9-15.</w:t>
      </w:r>
    </w:p>
    <w:p w:rsidR="00B801AF" w:rsidRDefault="00602675">
      <w:pPr>
        <w:spacing w:before="220" w:line="352" w:lineRule="auto"/>
        <w:ind w:left="400" w:right="316"/>
        <w:jc w:val="both"/>
        <w:rPr>
          <w:sz w:val="24"/>
        </w:rPr>
      </w:pPr>
      <w:r>
        <w:rPr>
          <w:sz w:val="24"/>
        </w:rPr>
        <w:t>Chowdhury, Tanbir Ahmed, and Kashfia Ahmed. "Performance evaluation of selected private commercial banks in Bangladesh."</w:t>
      </w:r>
      <w:r>
        <w:rPr>
          <w:i/>
          <w:sz w:val="24"/>
        </w:rPr>
        <w:t xml:space="preserve">International journal of business and management </w:t>
      </w:r>
      <w:r>
        <w:rPr>
          <w:sz w:val="24"/>
        </w:rPr>
        <w:t>4.4 (2009): 86-97.</w:t>
      </w:r>
    </w:p>
    <w:sectPr w:rsidR="00B801AF">
      <w:pgSz w:w="11900" w:h="16840"/>
      <w:pgMar w:top="1580" w:right="1100" w:bottom="1240" w:left="1040" w:header="0" w:footer="100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C3C" w:rsidRDefault="00275C3C">
      <w:r>
        <w:separator/>
      </w:r>
    </w:p>
  </w:endnote>
  <w:endnote w:type="continuationSeparator" w:id="0">
    <w:p w:rsidR="00275C3C" w:rsidRDefault="0027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a">
    <w:altName w:val="Times New Roman"/>
    <w:charset w:val="00"/>
    <w:family w:val="roman"/>
    <w:pitch w:val="variable"/>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675" w:rsidRDefault="00602675">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71pt;margin-top:651.05pt;width:194.6pt;height:31.15pt;z-index:-16700416;mso-position-horizontal-relative:page;mso-position-vertical-relative:page" filled="f" stroked="f">
          <v:textbox inset="0,0,0,0">
            <w:txbxContent>
              <w:p w:rsidR="00602675" w:rsidRDefault="00602675">
                <w:pPr>
                  <w:pStyle w:val="BodyText"/>
                  <w:spacing w:before="10" w:line="276" w:lineRule="auto"/>
                  <w:ind w:left="20" w:right="-1"/>
                </w:pPr>
                <w:r>
                  <w:t>Faculty of Business &amp; Entrepreneurship Daffodil International University</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675" w:rsidRDefault="00602675">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62pt;margin-top:779.5pt;width:461.5pt;height:12.6pt;z-index:15728640;mso-position-horizontal-relative:page;mso-position-vertic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076"/>
                  <w:gridCol w:w="3153"/>
                </w:tblGrid>
                <w:tr w:rsidR="00602675">
                  <w:trPr>
                    <w:trHeight w:val="251"/>
                  </w:trPr>
                  <w:tc>
                    <w:tcPr>
                      <w:tcW w:w="6076" w:type="dxa"/>
                    </w:tcPr>
                    <w:p w:rsidR="00602675" w:rsidRDefault="00602675">
                      <w:pPr>
                        <w:pStyle w:val="TableParagraph"/>
                        <w:spacing w:line="232" w:lineRule="exact"/>
                        <w:ind w:left="200"/>
                        <w:rPr>
                          <w:rFonts w:ascii="Carlito" w:hAnsi="Carlito"/>
                          <w:i/>
                        </w:rPr>
                      </w:pPr>
                      <w:r>
                        <w:rPr>
                          <w:i/>
                        </w:rPr>
                        <w:t xml:space="preserve">© </w:t>
                      </w:r>
                      <w:r>
                        <w:rPr>
                          <w:rFonts w:ascii="Carlito" w:hAnsi="Carlito"/>
                          <w:i/>
                        </w:rPr>
                        <w:t>Daffodil International University</w:t>
                      </w:r>
                    </w:p>
                  </w:tc>
                  <w:tc>
                    <w:tcPr>
                      <w:tcW w:w="3153" w:type="dxa"/>
                    </w:tcPr>
                    <w:p w:rsidR="00602675" w:rsidRDefault="00602675">
                      <w:pPr>
                        <w:pStyle w:val="TableParagraph"/>
                        <w:spacing w:before="22" w:line="210" w:lineRule="exact"/>
                        <w:ind w:right="197"/>
                        <w:jc w:val="right"/>
                        <w:rPr>
                          <w:sz w:val="20"/>
                        </w:rPr>
                      </w:pPr>
                      <w:r>
                        <w:fldChar w:fldCharType="begin"/>
                      </w:r>
                      <w:r>
                        <w:rPr>
                          <w:w w:val="95"/>
                          <w:sz w:val="20"/>
                        </w:rPr>
                        <w:instrText xml:space="preserve"> PAGE  \* roman </w:instrText>
                      </w:r>
                      <w:r>
                        <w:fldChar w:fldCharType="separate"/>
                      </w:r>
                      <w:r w:rsidR="00B61B31">
                        <w:rPr>
                          <w:noProof/>
                          <w:w w:val="95"/>
                          <w:sz w:val="20"/>
                        </w:rPr>
                        <w:t>iv</w:t>
                      </w:r>
                      <w:r>
                        <w:fldChar w:fldCharType="end"/>
                      </w:r>
                    </w:p>
                  </w:tc>
                </w:tr>
              </w:tbl>
              <w:p w:rsidR="00602675" w:rsidRDefault="00602675">
                <w:pPr>
                  <w:pStyle w:val="BodyText"/>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675" w:rsidRDefault="00602675">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675" w:rsidRDefault="00602675">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675" w:rsidRDefault="00602675">
    <w:pPr>
      <w:pStyle w:val="BodyText"/>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041697"/>
      <w:docPartObj>
        <w:docPartGallery w:val="Page Numbers (Bottom of Page)"/>
        <w:docPartUnique/>
      </w:docPartObj>
    </w:sdtPr>
    <w:sdtEndPr>
      <w:rPr>
        <w:noProof/>
      </w:rPr>
    </w:sdtEndPr>
    <w:sdtContent>
      <w:p w:rsidR="00602675" w:rsidRDefault="00602675">
        <w:pPr>
          <w:pStyle w:val="Footer"/>
          <w:jc w:val="right"/>
        </w:pPr>
        <w:r>
          <w:t xml:space="preserve">(C) Daffodil International University                                                                 </w:t>
        </w:r>
        <w:r>
          <w:fldChar w:fldCharType="begin"/>
        </w:r>
        <w:r>
          <w:instrText xml:space="preserve"> PAGE   \* MERGEFORMAT </w:instrText>
        </w:r>
        <w:r>
          <w:fldChar w:fldCharType="separate"/>
        </w:r>
        <w:r w:rsidR="00B61B31">
          <w:rPr>
            <w:noProof/>
          </w:rPr>
          <w:t>2</w:t>
        </w:r>
        <w:r>
          <w:rPr>
            <w:noProof/>
          </w:rPr>
          <w:fldChar w:fldCharType="end"/>
        </w:r>
      </w:p>
    </w:sdtContent>
  </w:sdt>
  <w:p w:rsidR="00602675" w:rsidRDefault="00602675">
    <w:pPr>
      <w:pStyle w:val="BodyText"/>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5272279"/>
      <w:docPartObj>
        <w:docPartGallery w:val="Page Numbers (Bottom of Page)"/>
        <w:docPartUnique/>
      </w:docPartObj>
    </w:sdtPr>
    <w:sdtEndPr>
      <w:rPr>
        <w:noProof/>
      </w:rPr>
    </w:sdtEndPr>
    <w:sdtContent>
      <w:p w:rsidR="00602675" w:rsidRDefault="00B61B31">
        <w:pPr>
          <w:pStyle w:val="Footer"/>
          <w:jc w:val="right"/>
        </w:pPr>
        <w:r>
          <w:t xml:space="preserve">(c) Daffodil International University                                                </w:t>
        </w:r>
        <w:r w:rsidR="00602675">
          <w:fldChar w:fldCharType="begin"/>
        </w:r>
        <w:r w:rsidR="00602675">
          <w:instrText xml:space="preserve"> PAGE   \* MERGEFORMAT </w:instrText>
        </w:r>
        <w:r w:rsidR="00602675">
          <w:fldChar w:fldCharType="separate"/>
        </w:r>
        <w:r>
          <w:rPr>
            <w:noProof/>
          </w:rPr>
          <w:t>3</w:t>
        </w:r>
        <w:r w:rsidR="00602675">
          <w:rPr>
            <w:noProof/>
          </w:rPr>
          <w:fldChar w:fldCharType="end"/>
        </w:r>
      </w:p>
    </w:sdtContent>
  </w:sdt>
  <w:p w:rsidR="00602675" w:rsidRDefault="00602675">
    <w:pPr>
      <w:pStyle w:val="BodyText"/>
      <w:spacing w:line="14" w:lineRule="auto"/>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B31" w:rsidRPr="00B61B31" w:rsidRDefault="00B61B31" w:rsidP="00B61B31">
    <w:pPr>
      <w:pStyle w:val="Footer"/>
      <w:tabs>
        <w:tab w:val="clear" w:pos="4680"/>
        <w:tab w:val="clear" w:pos="9360"/>
      </w:tabs>
      <w:jc w:val="right"/>
      <w:rPr>
        <w:caps/>
        <w:noProof/>
        <w:color w:val="000000" w:themeColor="text1"/>
      </w:rPr>
    </w:pPr>
    <w:r w:rsidRPr="00B61B31">
      <w:rPr>
        <w:caps/>
        <w:color w:val="000000" w:themeColor="text1"/>
      </w:rPr>
      <w:t>(c) D</w:t>
    </w:r>
    <w:r>
      <w:rPr>
        <w:caps/>
        <w:color w:val="000000" w:themeColor="text1"/>
      </w:rPr>
      <w:t xml:space="preserve">affodil international University                                                 </w:t>
    </w:r>
    <w:r w:rsidRPr="00B61B31">
      <w:rPr>
        <w:caps/>
        <w:color w:val="000000" w:themeColor="text1"/>
      </w:rPr>
      <w:fldChar w:fldCharType="begin"/>
    </w:r>
    <w:r w:rsidRPr="00B61B31">
      <w:rPr>
        <w:caps/>
        <w:color w:val="000000" w:themeColor="text1"/>
      </w:rPr>
      <w:instrText xml:space="preserve"> PAGE   \* MERGEFORMAT </w:instrText>
    </w:r>
    <w:r w:rsidRPr="00B61B31">
      <w:rPr>
        <w:caps/>
        <w:color w:val="000000" w:themeColor="text1"/>
      </w:rPr>
      <w:fldChar w:fldCharType="separate"/>
    </w:r>
    <w:r>
      <w:rPr>
        <w:caps/>
        <w:noProof/>
        <w:color w:val="000000" w:themeColor="text1"/>
      </w:rPr>
      <w:t>13</w:t>
    </w:r>
    <w:r w:rsidRPr="00B61B31">
      <w:rPr>
        <w:caps/>
        <w:noProof/>
        <w:color w:val="000000" w:themeColor="text1"/>
      </w:rPr>
      <w:fldChar w:fldCharType="end"/>
    </w:r>
  </w:p>
  <w:p w:rsidR="00602675" w:rsidRDefault="00602675">
    <w:pPr>
      <w:pStyle w:val="BodyText"/>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59616"/>
      <w:docPartObj>
        <w:docPartGallery w:val="Page Numbers (Bottom of Page)"/>
        <w:docPartUnique/>
      </w:docPartObj>
    </w:sdtPr>
    <w:sdtEndPr>
      <w:rPr>
        <w:noProof/>
      </w:rPr>
    </w:sdtEndPr>
    <w:sdtContent>
      <w:p w:rsidR="00B61B31" w:rsidRDefault="00B61B31">
        <w:pPr>
          <w:pStyle w:val="Footer"/>
          <w:jc w:val="right"/>
        </w:pPr>
      </w:p>
      <w:p w:rsidR="00B61B31" w:rsidRDefault="00B61B31">
        <w:pPr>
          <w:pStyle w:val="Footer"/>
          <w:jc w:val="right"/>
        </w:pPr>
      </w:p>
      <w:p w:rsidR="00B61B31" w:rsidRDefault="00B61B31">
        <w:pPr>
          <w:pStyle w:val="Footer"/>
          <w:jc w:val="right"/>
        </w:pPr>
        <w:r>
          <w:t xml:space="preserve">(c) Daffodil International University                                                                 </w:t>
        </w:r>
        <w:r>
          <w:fldChar w:fldCharType="begin"/>
        </w:r>
        <w:r>
          <w:instrText xml:space="preserve"> PAGE   \* MERGEFORMAT </w:instrText>
        </w:r>
        <w:r>
          <w:fldChar w:fldCharType="separate"/>
        </w:r>
        <w:r>
          <w:rPr>
            <w:noProof/>
          </w:rPr>
          <w:t>15</w:t>
        </w:r>
        <w:r>
          <w:rPr>
            <w:noProof/>
          </w:rPr>
          <w:fldChar w:fldCharType="end"/>
        </w:r>
      </w:p>
    </w:sdtContent>
  </w:sdt>
  <w:p w:rsidR="00602675" w:rsidRDefault="00602675">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C3C" w:rsidRDefault="00275C3C">
      <w:r>
        <w:separator/>
      </w:r>
    </w:p>
  </w:footnote>
  <w:footnote w:type="continuationSeparator" w:id="0">
    <w:p w:rsidR="00275C3C" w:rsidRDefault="00275C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A0B66"/>
    <w:multiLevelType w:val="multilevel"/>
    <w:tmpl w:val="E13082E0"/>
    <w:lvl w:ilvl="0">
      <w:start w:val="2"/>
      <w:numFmt w:val="decimal"/>
      <w:lvlText w:val="%1"/>
      <w:lvlJc w:val="left"/>
      <w:pPr>
        <w:ind w:left="822" w:hanging="423"/>
        <w:jc w:val="left"/>
      </w:pPr>
      <w:rPr>
        <w:rFonts w:hint="default"/>
        <w:lang w:val="en-US" w:eastAsia="en-US" w:bidi="ar-SA"/>
      </w:rPr>
    </w:lvl>
    <w:lvl w:ilvl="1">
      <w:start w:val="3"/>
      <w:numFmt w:val="decimal"/>
      <w:lvlText w:val="%1.%2"/>
      <w:lvlJc w:val="left"/>
      <w:pPr>
        <w:ind w:left="822" w:hanging="423"/>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1120" w:hanging="360"/>
      </w:pPr>
      <w:rPr>
        <w:rFonts w:ascii="Times New Roman" w:eastAsia="Times New Roman" w:hAnsi="Times New Roman" w:cs="Times New Roman" w:hint="default"/>
        <w:spacing w:val="-5"/>
        <w:w w:val="99"/>
        <w:sz w:val="24"/>
        <w:szCs w:val="24"/>
        <w:lang w:val="en-US" w:eastAsia="en-US" w:bidi="ar-SA"/>
      </w:rPr>
    </w:lvl>
    <w:lvl w:ilvl="3">
      <w:numFmt w:val="bullet"/>
      <w:lvlText w:val="•"/>
      <w:lvlJc w:val="left"/>
      <w:pPr>
        <w:ind w:left="3039" w:hanging="360"/>
      </w:pPr>
      <w:rPr>
        <w:rFonts w:hint="default"/>
        <w:lang w:val="en-US" w:eastAsia="en-US" w:bidi="ar-SA"/>
      </w:rPr>
    </w:lvl>
    <w:lvl w:ilvl="4">
      <w:numFmt w:val="bullet"/>
      <w:lvlText w:val="•"/>
      <w:lvlJc w:val="left"/>
      <w:pPr>
        <w:ind w:left="3999" w:hanging="360"/>
      </w:pPr>
      <w:rPr>
        <w:rFonts w:hint="default"/>
        <w:lang w:val="en-US" w:eastAsia="en-US" w:bidi="ar-SA"/>
      </w:rPr>
    </w:lvl>
    <w:lvl w:ilvl="5">
      <w:numFmt w:val="bullet"/>
      <w:lvlText w:val="•"/>
      <w:lvlJc w:val="left"/>
      <w:pPr>
        <w:ind w:left="4959" w:hanging="360"/>
      </w:pPr>
      <w:rPr>
        <w:rFonts w:hint="default"/>
        <w:lang w:val="en-US" w:eastAsia="en-US" w:bidi="ar-SA"/>
      </w:rPr>
    </w:lvl>
    <w:lvl w:ilvl="6">
      <w:numFmt w:val="bullet"/>
      <w:lvlText w:val="•"/>
      <w:lvlJc w:val="left"/>
      <w:pPr>
        <w:ind w:left="5919" w:hanging="360"/>
      </w:pPr>
      <w:rPr>
        <w:rFonts w:hint="default"/>
        <w:lang w:val="en-US" w:eastAsia="en-US" w:bidi="ar-SA"/>
      </w:rPr>
    </w:lvl>
    <w:lvl w:ilvl="7">
      <w:numFmt w:val="bullet"/>
      <w:lvlText w:val="•"/>
      <w:lvlJc w:val="left"/>
      <w:pPr>
        <w:ind w:left="6879" w:hanging="360"/>
      </w:pPr>
      <w:rPr>
        <w:rFonts w:hint="default"/>
        <w:lang w:val="en-US" w:eastAsia="en-US" w:bidi="ar-SA"/>
      </w:rPr>
    </w:lvl>
    <w:lvl w:ilvl="8">
      <w:numFmt w:val="bullet"/>
      <w:lvlText w:val="•"/>
      <w:lvlJc w:val="left"/>
      <w:pPr>
        <w:ind w:left="7839" w:hanging="360"/>
      </w:pPr>
      <w:rPr>
        <w:rFonts w:hint="default"/>
        <w:lang w:val="en-US" w:eastAsia="en-US" w:bidi="ar-SA"/>
      </w:rPr>
    </w:lvl>
  </w:abstractNum>
  <w:abstractNum w:abstractNumId="1">
    <w:nsid w:val="12C07411"/>
    <w:multiLevelType w:val="hybridMultilevel"/>
    <w:tmpl w:val="E5023CC0"/>
    <w:lvl w:ilvl="0" w:tplc="DCF8D9AA">
      <w:numFmt w:val="bullet"/>
      <w:lvlText w:val="⮚"/>
      <w:lvlJc w:val="left"/>
      <w:pPr>
        <w:ind w:left="1120" w:hanging="360"/>
      </w:pPr>
      <w:rPr>
        <w:rFonts w:ascii="Symbola" w:eastAsia="Symbola" w:hAnsi="Symbola" w:cs="Symbola" w:hint="default"/>
        <w:w w:val="111"/>
        <w:sz w:val="22"/>
        <w:szCs w:val="22"/>
        <w:lang w:val="en-US" w:eastAsia="en-US" w:bidi="ar-SA"/>
      </w:rPr>
    </w:lvl>
    <w:lvl w:ilvl="1" w:tplc="D690DB0C">
      <w:numFmt w:val="bullet"/>
      <w:lvlText w:val="•"/>
      <w:lvlJc w:val="left"/>
      <w:pPr>
        <w:ind w:left="1983" w:hanging="360"/>
      </w:pPr>
      <w:rPr>
        <w:rFonts w:hint="default"/>
        <w:lang w:val="en-US" w:eastAsia="en-US" w:bidi="ar-SA"/>
      </w:rPr>
    </w:lvl>
    <w:lvl w:ilvl="2" w:tplc="1B2E1CA6">
      <w:numFmt w:val="bullet"/>
      <w:lvlText w:val="•"/>
      <w:lvlJc w:val="left"/>
      <w:pPr>
        <w:ind w:left="2847" w:hanging="360"/>
      </w:pPr>
      <w:rPr>
        <w:rFonts w:hint="default"/>
        <w:lang w:val="en-US" w:eastAsia="en-US" w:bidi="ar-SA"/>
      </w:rPr>
    </w:lvl>
    <w:lvl w:ilvl="3" w:tplc="4BEE3A30">
      <w:numFmt w:val="bullet"/>
      <w:lvlText w:val="•"/>
      <w:lvlJc w:val="left"/>
      <w:pPr>
        <w:ind w:left="3711" w:hanging="360"/>
      </w:pPr>
      <w:rPr>
        <w:rFonts w:hint="default"/>
        <w:lang w:val="en-US" w:eastAsia="en-US" w:bidi="ar-SA"/>
      </w:rPr>
    </w:lvl>
    <w:lvl w:ilvl="4" w:tplc="AB72BAEA">
      <w:numFmt w:val="bullet"/>
      <w:lvlText w:val="•"/>
      <w:lvlJc w:val="left"/>
      <w:pPr>
        <w:ind w:left="4575" w:hanging="360"/>
      </w:pPr>
      <w:rPr>
        <w:rFonts w:hint="default"/>
        <w:lang w:val="en-US" w:eastAsia="en-US" w:bidi="ar-SA"/>
      </w:rPr>
    </w:lvl>
    <w:lvl w:ilvl="5" w:tplc="4DCC22A4">
      <w:numFmt w:val="bullet"/>
      <w:lvlText w:val="•"/>
      <w:lvlJc w:val="left"/>
      <w:pPr>
        <w:ind w:left="5439" w:hanging="360"/>
      </w:pPr>
      <w:rPr>
        <w:rFonts w:hint="default"/>
        <w:lang w:val="en-US" w:eastAsia="en-US" w:bidi="ar-SA"/>
      </w:rPr>
    </w:lvl>
    <w:lvl w:ilvl="6" w:tplc="7688CAC4">
      <w:numFmt w:val="bullet"/>
      <w:lvlText w:val="•"/>
      <w:lvlJc w:val="left"/>
      <w:pPr>
        <w:ind w:left="6303" w:hanging="360"/>
      </w:pPr>
      <w:rPr>
        <w:rFonts w:hint="default"/>
        <w:lang w:val="en-US" w:eastAsia="en-US" w:bidi="ar-SA"/>
      </w:rPr>
    </w:lvl>
    <w:lvl w:ilvl="7" w:tplc="61E85834">
      <w:numFmt w:val="bullet"/>
      <w:lvlText w:val="•"/>
      <w:lvlJc w:val="left"/>
      <w:pPr>
        <w:ind w:left="7167" w:hanging="360"/>
      </w:pPr>
      <w:rPr>
        <w:rFonts w:hint="default"/>
        <w:lang w:val="en-US" w:eastAsia="en-US" w:bidi="ar-SA"/>
      </w:rPr>
    </w:lvl>
    <w:lvl w:ilvl="8" w:tplc="5C3617A8">
      <w:numFmt w:val="bullet"/>
      <w:lvlText w:val="•"/>
      <w:lvlJc w:val="left"/>
      <w:pPr>
        <w:ind w:left="8031" w:hanging="360"/>
      </w:pPr>
      <w:rPr>
        <w:rFonts w:hint="default"/>
        <w:lang w:val="en-US" w:eastAsia="en-US" w:bidi="ar-SA"/>
      </w:rPr>
    </w:lvl>
  </w:abstractNum>
  <w:abstractNum w:abstractNumId="2">
    <w:nsid w:val="1B00777A"/>
    <w:multiLevelType w:val="multilevel"/>
    <w:tmpl w:val="73B8D4F6"/>
    <w:lvl w:ilvl="0">
      <w:start w:val="6"/>
      <w:numFmt w:val="decimal"/>
      <w:lvlText w:val="%1"/>
      <w:lvlJc w:val="left"/>
      <w:pPr>
        <w:ind w:left="731" w:hanging="332"/>
        <w:jc w:val="left"/>
      </w:pPr>
      <w:rPr>
        <w:rFonts w:hint="default"/>
        <w:lang w:val="en-US" w:eastAsia="en-US" w:bidi="ar-SA"/>
      </w:rPr>
    </w:lvl>
    <w:lvl w:ilvl="1">
      <w:start w:val="1"/>
      <w:numFmt w:val="decimal"/>
      <w:lvlText w:val="%1.%2"/>
      <w:lvlJc w:val="left"/>
      <w:pPr>
        <w:ind w:left="731" w:hanging="332"/>
        <w:jc w:val="left"/>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543" w:hanging="332"/>
      </w:pPr>
      <w:rPr>
        <w:rFonts w:hint="default"/>
        <w:lang w:val="en-US" w:eastAsia="en-US" w:bidi="ar-SA"/>
      </w:rPr>
    </w:lvl>
    <w:lvl w:ilvl="3">
      <w:numFmt w:val="bullet"/>
      <w:lvlText w:val="•"/>
      <w:lvlJc w:val="left"/>
      <w:pPr>
        <w:ind w:left="3445" w:hanging="332"/>
      </w:pPr>
      <w:rPr>
        <w:rFonts w:hint="default"/>
        <w:lang w:val="en-US" w:eastAsia="en-US" w:bidi="ar-SA"/>
      </w:rPr>
    </w:lvl>
    <w:lvl w:ilvl="4">
      <w:numFmt w:val="bullet"/>
      <w:lvlText w:val="•"/>
      <w:lvlJc w:val="left"/>
      <w:pPr>
        <w:ind w:left="4347" w:hanging="332"/>
      </w:pPr>
      <w:rPr>
        <w:rFonts w:hint="default"/>
        <w:lang w:val="en-US" w:eastAsia="en-US" w:bidi="ar-SA"/>
      </w:rPr>
    </w:lvl>
    <w:lvl w:ilvl="5">
      <w:numFmt w:val="bullet"/>
      <w:lvlText w:val="•"/>
      <w:lvlJc w:val="left"/>
      <w:pPr>
        <w:ind w:left="5249" w:hanging="332"/>
      </w:pPr>
      <w:rPr>
        <w:rFonts w:hint="default"/>
        <w:lang w:val="en-US" w:eastAsia="en-US" w:bidi="ar-SA"/>
      </w:rPr>
    </w:lvl>
    <w:lvl w:ilvl="6">
      <w:numFmt w:val="bullet"/>
      <w:lvlText w:val="•"/>
      <w:lvlJc w:val="left"/>
      <w:pPr>
        <w:ind w:left="6151" w:hanging="332"/>
      </w:pPr>
      <w:rPr>
        <w:rFonts w:hint="default"/>
        <w:lang w:val="en-US" w:eastAsia="en-US" w:bidi="ar-SA"/>
      </w:rPr>
    </w:lvl>
    <w:lvl w:ilvl="7">
      <w:numFmt w:val="bullet"/>
      <w:lvlText w:val="•"/>
      <w:lvlJc w:val="left"/>
      <w:pPr>
        <w:ind w:left="7053" w:hanging="332"/>
      </w:pPr>
      <w:rPr>
        <w:rFonts w:hint="default"/>
        <w:lang w:val="en-US" w:eastAsia="en-US" w:bidi="ar-SA"/>
      </w:rPr>
    </w:lvl>
    <w:lvl w:ilvl="8">
      <w:numFmt w:val="bullet"/>
      <w:lvlText w:val="•"/>
      <w:lvlJc w:val="left"/>
      <w:pPr>
        <w:ind w:left="7955" w:hanging="332"/>
      </w:pPr>
      <w:rPr>
        <w:rFonts w:hint="default"/>
        <w:lang w:val="en-US" w:eastAsia="en-US" w:bidi="ar-SA"/>
      </w:rPr>
    </w:lvl>
  </w:abstractNum>
  <w:abstractNum w:abstractNumId="3">
    <w:nsid w:val="20D54FE4"/>
    <w:multiLevelType w:val="multilevel"/>
    <w:tmpl w:val="90BCF116"/>
    <w:lvl w:ilvl="0">
      <w:start w:val="2"/>
      <w:numFmt w:val="decimal"/>
      <w:lvlText w:val="%1"/>
      <w:lvlJc w:val="left"/>
      <w:pPr>
        <w:ind w:left="822" w:hanging="423"/>
        <w:jc w:val="left"/>
      </w:pPr>
      <w:rPr>
        <w:rFonts w:hint="default"/>
        <w:lang w:val="en-US" w:eastAsia="en-US" w:bidi="ar-SA"/>
      </w:rPr>
    </w:lvl>
    <w:lvl w:ilvl="1">
      <w:start w:val="3"/>
      <w:numFmt w:val="decimal"/>
      <w:lvlText w:val="%1.%2"/>
      <w:lvlJc w:val="left"/>
      <w:pPr>
        <w:ind w:left="822" w:hanging="423"/>
        <w:jc w:val="left"/>
      </w:pPr>
      <w:rPr>
        <w:rFonts w:ascii="Times New Roman" w:eastAsia="Times New Roman" w:hAnsi="Times New Roman" w:cs="Times New Roman" w:hint="default"/>
        <w:b/>
        <w:bCs/>
        <w:w w:val="100"/>
        <w:sz w:val="28"/>
        <w:szCs w:val="28"/>
        <w:lang w:val="en-US" w:eastAsia="en-US" w:bidi="ar-SA"/>
      </w:rPr>
    </w:lvl>
    <w:lvl w:ilvl="2">
      <w:start w:val="1"/>
      <w:numFmt w:val="decimal"/>
      <w:lvlText w:val="%1.%2.%3"/>
      <w:lvlJc w:val="left"/>
      <w:pPr>
        <w:ind w:left="940" w:hanging="540"/>
        <w:jc w:val="left"/>
      </w:pPr>
      <w:rPr>
        <w:rFonts w:ascii="Times New Roman" w:eastAsia="Times New Roman" w:hAnsi="Times New Roman" w:cs="Times New Roman" w:hint="default"/>
        <w:b/>
        <w:bCs/>
        <w:spacing w:val="-3"/>
        <w:w w:val="99"/>
        <w:sz w:val="24"/>
        <w:szCs w:val="24"/>
        <w:lang w:val="en-US" w:eastAsia="en-US" w:bidi="ar-SA"/>
      </w:rPr>
    </w:lvl>
    <w:lvl w:ilvl="3">
      <w:numFmt w:val="bullet"/>
      <w:lvlText w:val="•"/>
      <w:lvlJc w:val="left"/>
      <w:pPr>
        <w:ind w:left="2899" w:hanging="540"/>
      </w:pPr>
      <w:rPr>
        <w:rFonts w:hint="default"/>
        <w:lang w:val="en-US" w:eastAsia="en-US" w:bidi="ar-SA"/>
      </w:rPr>
    </w:lvl>
    <w:lvl w:ilvl="4">
      <w:numFmt w:val="bullet"/>
      <w:lvlText w:val="•"/>
      <w:lvlJc w:val="left"/>
      <w:pPr>
        <w:ind w:left="3879" w:hanging="540"/>
      </w:pPr>
      <w:rPr>
        <w:rFonts w:hint="default"/>
        <w:lang w:val="en-US" w:eastAsia="en-US" w:bidi="ar-SA"/>
      </w:rPr>
    </w:lvl>
    <w:lvl w:ilvl="5">
      <w:numFmt w:val="bullet"/>
      <w:lvlText w:val="•"/>
      <w:lvlJc w:val="left"/>
      <w:pPr>
        <w:ind w:left="4859" w:hanging="540"/>
      </w:pPr>
      <w:rPr>
        <w:rFonts w:hint="default"/>
        <w:lang w:val="en-US" w:eastAsia="en-US" w:bidi="ar-SA"/>
      </w:rPr>
    </w:lvl>
    <w:lvl w:ilvl="6">
      <w:numFmt w:val="bullet"/>
      <w:lvlText w:val="•"/>
      <w:lvlJc w:val="left"/>
      <w:pPr>
        <w:ind w:left="5839" w:hanging="540"/>
      </w:pPr>
      <w:rPr>
        <w:rFonts w:hint="default"/>
        <w:lang w:val="en-US" w:eastAsia="en-US" w:bidi="ar-SA"/>
      </w:rPr>
    </w:lvl>
    <w:lvl w:ilvl="7">
      <w:numFmt w:val="bullet"/>
      <w:lvlText w:val="•"/>
      <w:lvlJc w:val="left"/>
      <w:pPr>
        <w:ind w:left="6819" w:hanging="540"/>
      </w:pPr>
      <w:rPr>
        <w:rFonts w:hint="default"/>
        <w:lang w:val="en-US" w:eastAsia="en-US" w:bidi="ar-SA"/>
      </w:rPr>
    </w:lvl>
    <w:lvl w:ilvl="8">
      <w:numFmt w:val="bullet"/>
      <w:lvlText w:val="•"/>
      <w:lvlJc w:val="left"/>
      <w:pPr>
        <w:ind w:left="7799" w:hanging="540"/>
      </w:pPr>
      <w:rPr>
        <w:rFonts w:hint="default"/>
        <w:lang w:val="en-US" w:eastAsia="en-US" w:bidi="ar-SA"/>
      </w:rPr>
    </w:lvl>
  </w:abstractNum>
  <w:abstractNum w:abstractNumId="4">
    <w:nsid w:val="307A6A99"/>
    <w:multiLevelType w:val="hybridMultilevel"/>
    <w:tmpl w:val="A016F63C"/>
    <w:lvl w:ilvl="0" w:tplc="DF52D1A4">
      <w:numFmt w:val="bullet"/>
      <w:lvlText w:val="•"/>
      <w:lvlJc w:val="left"/>
      <w:pPr>
        <w:ind w:left="400" w:hanging="144"/>
      </w:pPr>
      <w:rPr>
        <w:rFonts w:ascii="Times New Roman" w:eastAsia="Times New Roman" w:hAnsi="Times New Roman" w:cs="Times New Roman" w:hint="default"/>
        <w:w w:val="100"/>
        <w:sz w:val="24"/>
        <w:szCs w:val="24"/>
        <w:lang w:val="en-US" w:eastAsia="en-US" w:bidi="ar-SA"/>
      </w:rPr>
    </w:lvl>
    <w:lvl w:ilvl="1" w:tplc="28105FBA">
      <w:numFmt w:val="bullet"/>
      <w:lvlText w:val="•"/>
      <w:lvlJc w:val="left"/>
      <w:pPr>
        <w:ind w:left="1335" w:hanging="144"/>
      </w:pPr>
      <w:rPr>
        <w:rFonts w:hint="default"/>
        <w:lang w:val="en-US" w:eastAsia="en-US" w:bidi="ar-SA"/>
      </w:rPr>
    </w:lvl>
    <w:lvl w:ilvl="2" w:tplc="F0AEDC1C">
      <w:numFmt w:val="bullet"/>
      <w:lvlText w:val="•"/>
      <w:lvlJc w:val="left"/>
      <w:pPr>
        <w:ind w:left="2271" w:hanging="144"/>
      </w:pPr>
      <w:rPr>
        <w:rFonts w:hint="default"/>
        <w:lang w:val="en-US" w:eastAsia="en-US" w:bidi="ar-SA"/>
      </w:rPr>
    </w:lvl>
    <w:lvl w:ilvl="3" w:tplc="A50EB210">
      <w:numFmt w:val="bullet"/>
      <w:lvlText w:val="•"/>
      <w:lvlJc w:val="left"/>
      <w:pPr>
        <w:ind w:left="3207" w:hanging="144"/>
      </w:pPr>
      <w:rPr>
        <w:rFonts w:hint="default"/>
        <w:lang w:val="en-US" w:eastAsia="en-US" w:bidi="ar-SA"/>
      </w:rPr>
    </w:lvl>
    <w:lvl w:ilvl="4" w:tplc="8034DC92">
      <w:numFmt w:val="bullet"/>
      <w:lvlText w:val="•"/>
      <w:lvlJc w:val="left"/>
      <w:pPr>
        <w:ind w:left="4143" w:hanging="144"/>
      </w:pPr>
      <w:rPr>
        <w:rFonts w:hint="default"/>
        <w:lang w:val="en-US" w:eastAsia="en-US" w:bidi="ar-SA"/>
      </w:rPr>
    </w:lvl>
    <w:lvl w:ilvl="5" w:tplc="7842E0F4">
      <w:numFmt w:val="bullet"/>
      <w:lvlText w:val="•"/>
      <w:lvlJc w:val="left"/>
      <w:pPr>
        <w:ind w:left="5079" w:hanging="144"/>
      </w:pPr>
      <w:rPr>
        <w:rFonts w:hint="default"/>
        <w:lang w:val="en-US" w:eastAsia="en-US" w:bidi="ar-SA"/>
      </w:rPr>
    </w:lvl>
    <w:lvl w:ilvl="6" w:tplc="9CB0B42A">
      <w:numFmt w:val="bullet"/>
      <w:lvlText w:val="•"/>
      <w:lvlJc w:val="left"/>
      <w:pPr>
        <w:ind w:left="6015" w:hanging="144"/>
      </w:pPr>
      <w:rPr>
        <w:rFonts w:hint="default"/>
        <w:lang w:val="en-US" w:eastAsia="en-US" w:bidi="ar-SA"/>
      </w:rPr>
    </w:lvl>
    <w:lvl w:ilvl="7" w:tplc="24402336">
      <w:numFmt w:val="bullet"/>
      <w:lvlText w:val="•"/>
      <w:lvlJc w:val="left"/>
      <w:pPr>
        <w:ind w:left="6951" w:hanging="144"/>
      </w:pPr>
      <w:rPr>
        <w:rFonts w:hint="default"/>
        <w:lang w:val="en-US" w:eastAsia="en-US" w:bidi="ar-SA"/>
      </w:rPr>
    </w:lvl>
    <w:lvl w:ilvl="8" w:tplc="2A9E41DE">
      <w:numFmt w:val="bullet"/>
      <w:lvlText w:val="•"/>
      <w:lvlJc w:val="left"/>
      <w:pPr>
        <w:ind w:left="7887" w:hanging="144"/>
      </w:pPr>
      <w:rPr>
        <w:rFonts w:hint="default"/>
        <w:lang w:val="en-US" w:eastAsia="en-US" w:bidi="ar-SA"/>
      </w:rPr>
    </w:lvl>
  </w:abstractNum>
  <w:abstractNum w:abstractNumId="5">
    <w:nsid w:val="36982961"/>
    <w:multiLevelType w:val="multilevel"/>
    <w:tmpl w:val="996EA624"/>
    <w:lvl w:ilvl="0">
      <w:start w:val="4"/>
      <w:numFmt w:val="decimal"/>
      <w:lvlText w:val="%1"/>
      <w:lvlJc w:val="left"/>
      <w:pPr>
        <w:ind w:left="897" w:hanging="497"/>
        <w:jc w:val="left"/>
      </w:pPr>
      <w:rPr>
        <w:rFonts w:hint="default"/>
        <w:lang w:val="en-US" w:eastAsia="en-US" w:bidi="ar-SA"/>
      </w:rPr>
    </w:lvl>
    <w:lvl w:ilvl="1">
      <w:start w:val="1"/>
      <w:numFmt w:val="decimal"/>
      <w:lvlText w:val="%1.%2"/>
      <w:lvlJc w:val="left"/>
      <w:pPr>
        <w:ind w:left="897" w:hanging="497"/>
        <w:jc w:val="left"/>
      </w:pPr>
      <w:rPr>
        <w:rFonts w:hint="default"/>
        <w:lang w:val="en-US" w:eastAsia="en-US" w:bidi="ar-SA"/>
      </w:rPr>
    </w:lvl>
    <w:lvl w:ilvl="2">
      <w:start w:val="4"/>
      <w:numFmt w:val="decimal"/>
      <w:lvlText w:val="%1.%2.%3"/>
      <w:lvlJc w:val="left"/>
      <w:pPr>
        <w:ind w:left="897" w:hanging="497"/>
        <w:jc w:val="left"/>
      </w:pPr>
      <w:rPr>
        <w:rFonts w:ascii="Times New Roman" w:eastAsia="Times New Roman" w:hAnsi="Times New Roman" w:cs="Times New Roman" w:hint="default"/>
        <w:i/>
        <w:w w:val="100"/>
        <w:sz w:val="22"/>
        <w:szCs w:val="22"/>
        <w:lang w:val="en-US" w:eastAsia="en-US" w:bidi="ar-SA"/>
      </w:rPr>
    </w:lvl>
    <w:lvl w:ilvl="3">
      <w:start w:val="1"/>
      <w:numFmt w:val="decimal"/>
      <w:lvlText w:val="%1.%2.%3.%4"/>
      <w:lvlJc w:val="left"/>
      <w:pPr>
        <w:ind w:left="1062" w:hanging="663"/>
        <w:jc w:val="left"/>
      </w:pPr>
      <w:rPr>
        <w:rFonts w:ascii="Times New Roman" w:eastAsia="Times New Roman" w:hAnsi="Times New Roman" w:cs="Times New Roman" w:hint="default"/>
        <w:w w:val="100"/>
        <w:sz w:val="22"/>
        <w:szCs w:val="22"/>
        <w:lang w:val="en-US" w:eastAsia="en-US" w:bidi="ar-SA"/>
      </w:rPr>
    </w:lvl>
    <w:lvl w:ilvl="4">
      <w:numFmt w:val="bullet"/>
      <w:lvlText w:val="•"/>
      <w:lvlJc w:val="left"/>
      <w:pPr>
        <w:ind w:left="3959" w:hanging="663"/>
      </w:pPr>
      <w:rPr>
        <w:rFonts w:hint="default"/>
        <w:lang w:val="en-US" w:eastAsia="en-US" w:bidi="ar-SA"/>
      </w:rPr>
    </w:lvl>
    <w:lvl w:ilvl="5">
      <w:numFmt w:val="bullet"/>
      <w:lvlText w:val="•"/>
      <w:lvlJc w:val="left"/>
      <w:pPr>
        <w:ind w:left="4926" w:hanging="663"/>
      </w:pPr>
      <w:rPr>
        <w:rFonts w:hint="default"/>
        <w:lang w:val="en-US" w:eastAsia="en-US" w:bidi="ar-SA"/>
      </w:rPr>
    </w:lvl>
    <w:lvl w:ilvl="6">
      <w:numFmt w:val="bullet"/>
      <w:lvlText w:val="•"/>
      <w:lvlJc w:val="left"/>
      <w:pPr>
        <w:ind w:left="5892" w:hanging="663"/>
      </w:pPr>
      <w:rPr>
        <w:rFonts w:hint="default"/>
        <w:lang w:val="en-US" w:eastAsia="en-US" w:bidi="ar-SA"/>
      </w:rPr>
    </w:lvl>
    <w:lvl w:ilvl="7">
      <w:numFmt w:val="bullet"/>
      <w:lvlText w:val="•"/>
      <w:lvlJc w:val="left"/>
      <w:pPr>
        <w:ind w:left="6859" w:hanging="663"/>
      </w:pPr>
      <w:rPr>
        <w:rFonts w:hint="default"/>
        <w:lang w:val="en-US" w:eastAsia="en-US" w:bidi="ar-SA"/>
      </w:rPr>
    </w:lvl>
    <w:lvl w:ilvl="8">
      <w:numFmt w:val="bullet"/>
      <w:lvlText w:val="•"/>
      <w:lvlJc w:val="left"/>
      <w:pPr>
        <w:ind w:left="7826" w:hanging="663"/>
      </w:pPr>
      <w:rPr>
        <w:rFonts w:hint="default"/>
        <w:lang w:val="en-US" w:eastAsia="en-US" w:bidi="ar-SA"/>
      </w:rPr>
    </w:lvl>
  </w:abstractNum>
  <w:abstractNum w:abstractNumId="6">
    <w:nsid w:val="3AC85AB6"/>
    <w:multiLevelType w:val="multilevel"/>
    <w:tmpl w:val="5E2EA9BE"/>
    <w:lvl w:ilvl="0">
      <w:start w:val="4"/>
      <w:numFmt w:val="decimal"/>
      <w:lvlText w:val="%1"/>
      <w:lvlJc w:val="left"/>
      <w:pPr>
        <w:ind w:left="940" w:hanging="540"/>
        <w:jc w:val="left"/>
      </w:pPr>
      <w:rPr>
        <w:rFonts w:hint="default"/>
        <w:lang w:val="en-US" w:eastAsia="en-US" w:bidi="ar-SA"/>
      </w:rPr>
    </w:lvl>
    <w:lvl w:ilvl="1">
      <w:start w:val="1"/>
      <w:numFmt w:val="decimal"/>
      <w:lvlText w:val="%1.%2"/>
      <w:lvlJc w:val="left"/>
      <w:pPr>
        <w:ind w:left="940" w:hanging="540"/>
        <w:jc w:val="left"/>
      </w:pPr>
      <w:rPr>
        <w:rFonts w:hint="default"/>
        <w:lang w:val="en-US" w:eastAsia="en-US" w:bidi="ar-SA"/>
      </w:rPr>
    </w:lvl>
    <w:lvl w:ilvl="2">
      <w:start w:val="1"/>
      <w:numFmt w:val="decimal"/>
      <w:lvlText w:val="%1.%2.%3"/>
      <w:lvlJc w:val="left"/>
      <w:pPr>
        <w:ind w:left="940" w:hanging="540"/>
        <w:jc w:val="left"/>
      </w:pPr>
      <w:rPr>
        <w:rFonts w:ascii="Times New Roman" w:eastAsia="Times New Roman" w:hAnsi="Times New Roman" w:cs="Times New Roman" w:hint="default"/>
        <w:b/>
        <w:bCs/>
        <w:spacing w:val="-2"/>
        <w:w w:val="99"/>
        <w:sz w:val="24"/>
        <w:szCs w:val="24"/>
        <w:lang w:val="en-US" w:eastAsia="en-US" w:bidi="ar-SA"/>
      </w:rPr>
    </w:lvl>
    <w:lvl w:ilvl="3">
      <w:start w:val="1"/>
      <w:numFmt w:val="decimal"/>
      <w:lvlText w:val="%1.%2.%3.%4"/>
      <w:lvlJc w:val="left"/>
      <w:pPr>
        <w:ind w:left="1120" w:hanging="720"/>
        <w:jc w:val="left"/>
      </w:pPr>
      <w:rPr>
        <w:rFonts w:hint="default"/>
        <w:b/>
        <w:bCs/>
        <w:spacing w:val="-2"/>
        <w:w w:val="99"/>
        <w:lang w:val="en-US" w:eastAsia="en-US" w:bidi="ar-SA"/>
      </w:rPr>
    </w:lvl>
    <w:lvl w:ilvl="4">
      <w:numFmt w:val="bullet"/>
      <w:lvlText w:val="•"/>
      <w:lvlJc w:val="left"/>
      <w:pPr>
        <w:ind w:left="3999" w:hanging="720"/>
      </w:pPr>
      <w:rPr>
        <w:rFonts w:hint="default"/>
        <w:lang w:val="en-US" w:eastAsia="en-US" w:bidi="ar-SA"/>
      </w:rPr>
    </w:lvl>
    <w:lvl w:ilvl="5">
      <w:numFmt w:val="bullet"/>
      <w:lvlText w:val="•"/>
      <w:lvlJc w:val="left"/>
      <w:pPr>
        <w:ind w:left="4959" w:hanging="720"/>
      </w:pPr>
      <w:rPr>
        <w:rFonts w:hint="default"/>
        <w:lang w:val="en-US" w:eastAsia="en-US" w:bidi="ar-SA"/>
      </w:rPr>
    </w:lvl>
    <w:lvl w:ilvl="6">
      <w:numFmt w:val="bullet"/>
      <w:lvlText w:val="•"/>
      <w:lvlJc w:val="left"/>
      <w:pPr>
        <w:ind w:left="5919" w:hanging="720"/>
      </w:pPr>
      <w:rPr>
        <w:rFonts w:hint="default"/>
        <w:lang w:val="en-US" w:eastAsia="en-US" w:bidi="ar-SA"/>
      </w:rPr>
    </w:lvl>
    <w:lvl w:ilvl="7">
      <w:numFmt w:val="bullet"/>
      <w:lvlText w:val="•"/>
      <w:lvlJc w:val="left"/>
      <w:pPr>
        <w:ind w:left="6879" w:hanging="720"/>
      </w:pPr>
      <w:rPr>
        <w:rFonts w:hint="default"/>
        <w:lang w:val="en-US" w:eastAsia="en-US" w:bidi="ar-SA"/>
      </w:rPr>
    </w:lvl>
    <w:lvl w:ilvl="8">
      <w:numFmt w:val="bullet"/>
      <w:lvlText w:val="•"/>
      <w:lvlJc w:val="left"/>
      <w:pPr>
        <w:ind w:left="7839" w:hanging="720"/>
      </w:pPr>
      <w:rPr>
        <w:rFonts w:hint="default"/>
        <w:lang w:val="en-US" w:eastAsia="en-US" w:bidi="ar-SA"/>
      </w:rPr>
    </w:lvl>
  </w:abstractNum>
  <w:abstractNum w:abstractNumId="7">
    <w:nsid w:val="3EC24E81"/>
    <w:multiLevelType w:val="hybridMultilevel"/>
    <w:tmpl w:val="F350F1EE"/>
    <w:lvl w:ilvl="0" w:tplc="BB0413E8">
      <w:numFmt w:val="bullet"/>
      <w:lvlText w:val="❖"/>
      <w:lvlJc w:val="left"/>
      <w:pPr>
        <w:ind w:left="640" w:hanging="240"/>
      </w:pPr>
      <w:rPr>
        <w:rFonts w:ascii="Symbola" w:eastAsia="Symbola" w:hAnsi="Symbola" w:cs="Symbola" w:hint="default"/>
        <w:w w:val="109"/>
        <w:sz w:val="23"/>
        <w:szCs w:val="23"/>
        <w:lang w:val="en-US" w:eastAsia="en-US" w:bidi="ar-SA"/>
      </w:rPr>
    </w:lvl>
    <w:lvl w:ilvl="1" w:tplc="02082CF2">
      <w:numFmt w:val="bullet"/>
      <w:lvlText w:val="•"/>
      <w:lvlJc w:val="left"/>
      <w:pPr>
        <w:ind w:left="1551" w:hanging="240"/>
      </w:pPr>
      <w:rPr>
        <w:rFonts w:hint="default"/>
        <w:lang w:val="en-US" w:eastAsia="en-US" w:bidi="ar-SA"/>
      </w:rPr>
    </w:lvl>
    <w:lvl w:ilvl="2" w:tplc="B5AC1AC8">
      <w:numFmt w:val="bullet"/>
      <w:lvlText w:val="•"/>
      <w:lvlJc w:val="left"/>
      <w:pPr>
        <w:ind w:left="2463" w:hanging="240"/>
      </w:pPr>
      <w:rPr>
        <w:rFonts w:hint="default"/>
        <w:lang w:val="en-US" w:eastAsia="en-US" w:bidi="ar-SA"/>
      </w:rPr>
    </w:lvl>
    <w:lvl w:ilvl="3" w:tplc="B5F6383A">
      <w:numFmt w:val="bullet"/>
      <w:lvlText w:val="•"/>
      <w:lvlJc w:val="left"/>
      <w:pPr>
        <w:ind w:left="3375" w:hanging="240"/>
      </w:pPr>
      <w:rPr>
        <w:rFonts w:hint="default"/>
        <w:lang w:val="en-US" w:eastAsia="en-US" w:bidi="ar-SA"/>
      </w:rPr>
    </w:lvl>
    <w:lvl w:ilvl="4" w:tplc="5D46D8B2">
      <w:numFmt w:val="bullet"/>
      <w:lvlText w:val="•"/>
      <w:lvlJc w:val="left"/>
      <w:pPr>
        <w:ind w:left="4287" w:hanging="240"/>
      </w:pPr>
      <w:rPr>
        <w:rFonts w:hint="default"/>
        <w:lang w:val="en-US" w:eastAsia="en-US" w:bidi="ar-SA"/>
      </w:rPr>
    </w:lvl>
    <w:lvl w:ilvl="5" w:tplc="C6842EF6">
      <w:numFmt w:val="bullet"/>
      <w:lvlText w:val="•"/>
      <w:lvlJc w:val="left"/>
      <w:pPr>
        <w:ind w:left="5199" w:hanging="240"/>
      </w:pPr>
      <w:rPr>
        <w:rFonts w:hint="default"/>
        <w:lang w:val="en-US" w:eastAsia="en-US" w:bidi="ar-SA"/>
      </w:rPr>
    </w:lvl>
    <w:lvl w:ilvl="6" w:tplc="1A6E4044">
      <w:numFmt w:val="bullet"/>
      <w:lvlText w:val="•"/>
      <w:lvlJc w:val="left"/>
      <w:pPr>
        <w:ind w:left="6111" w:hanging="240"/>
      </w:pPr>
      <w:rPr>
        <w:rFonts w:hint="default"/>
        <w:lang w:val="en-US" w:eastAsia="en-US" w:bidi="ar-SA"/>
      </w:rPr>
    </w:lvl>
    <w:lvl w:ilvl="7" w:tplc="FC40D3E8">
      <w:numFmt w:val="bullet"/>
      <w:lvlText w:val="•"/>
      <w:lvlJc w:val="left"/>
      <w:pPr>
        <w:ind w:left="7023" w:hanging="240"/>
      </w:pPr>
      <w:rPr>
        <w:rFonts w:hint="default"/>
        <w:lang w:val="en-US" w:eastAsia="en-US" w:bidi="ar-SA"/>
      </w:rPr>
    </w:lvl>
    <w:lvl w:ilvl="8" w:tplc="EFA2CFA0">
      <w:numFmt w:val="bullet"/>
      <w:lvlText w:val="•"/>
      <w:lvlJc w:val="left"/>
      <w:pPr>
        <w:ind w:left="7935" w:hanging="240"/>
      </w:pPr>
      <w:rPr>
        <w:rFonts w:hint="default"/>
        <w:lang w:val="en-US" w:eastAsia="en-US" w:bidi="ar-SA"/>
      </w:rPr>
    </w:lvl>
  </w:abstractNum>
  <w:abstractNum w:abstractNumId="8">
    <w:nsid w:val="4FFC477E"/>
    <w:multiLevelType w:val="multilevel"/>
    <w:tmpl w:val="6A281D00"/>
    <w:lvl w:ilvl="0">
      <w:start w:val="4"/>
      <w:numFmt w:val="decimal"/>
      <w:lvlText w:val="%1"/>
      <w:lvlJc w:val="left"/>
      <w:pPr>
        <w:ind w:left="822" w:hanging="423"/>
        <w:jc w:val="left"/>
      </w:pPr>
      <w:rPr>
        <w:rFonts w:hint="default"/>
        <w:lang w:val="en-US" w:eastAsia="en-US" w:bidi="ar-SA"/>
      </w:rPr>
    </w:lvl>
    <w:lvl w:ilvl="1">
      <w:start w:val="1"/>
      <w:numFmt w:val="decimal"/>
      <w:lvlText w:val="%1.%2"/>
      <w:lvlJc w:val="left"/>
      <w:pPr>
        <w:ind w:left="822" w:hanging="423"/>
        <w:jc w:val="left"/>
      </w:pPr>
      <w:rPr>
        <w:rFonts w:ascii="Times New Roman" w:eastAsia="Times New Roman" w:hAnsi="Times New Roman" w:cs="Times New Roman" w:hint="default"/>
        <w:b/>
        <w:bCs/>
        <w:w w:val="100"/>
        <w:sz w:val="28"/>
        <w:szCs w:val="28"/>
        <w:lang w:val="en-US" w:eastAsia="en-US" w:bidi="ar-SA"/>
      </w:rPr>
    </w:lvl>
    <w:lvl w:ilvl="2">
      <w:start w:val="1"/>
      <w:numFmt w:val="decimal"/>
      <w:lvlText w:val="%3."/>
      <w:lvlJc w:val="left"/>
      <w:pPr>
        <w:ind w:left="1420" w:hanging="240"/>
        <w:jc w:val="left"/>
      </w:pPr>
      <w:rPr>
        <w:rFonts w:ascii="Times New Roman" w:eastAsia="Times New Roman" w:hAnsi="Times New Roman" w:cs="Times New Roman" w:hint="default"/>
        <w:spacing w:val="-5"/>
        <w:w w:val="100"/>
        <w:sz w:val="24"/>
        <w:szCs w:val="24"/>
        <w:lang w:val="en-US" w:eastAsia="en-US" w:bidi="ar-SA"/>
      </w:rPr>
    </w:lvl>
    <w:lvl w:ilvl="3">
      <w:numFmt w:val="bullet"/>
      <w:lvlText w:val="•"/>
      <w:lvlJc w:val="left"/>
      <w:pPr>
        <w:ind w:left="3273" w:hanging="240"/>
      </w:pPr>
      <w:rPr>
        <w:rFonts w:hint="default"/>
        <w:lang w:val="en-US" w:eastAsia="en-US" w:bidi="ar-SA"/>
      </w:rPr>
    </w:lvl>
    <w:lvl w:ilvl="4">
      <w:numFmt w:val="bullet"/>
      <w:lvlText w:val="•"/>
      <w:lvlJc w:val="left"/>
      <w:pPr>
        <w:ind w:left="4199" w:hanging="240"/>
      </w:pPr>
      <w:rPr>
        <w:rFonts w:hint="default"/>
        <w:lang w:val="en-US" w:eastAsia="en-US" w:bidi="ar-SA"/>
      </w:rPr>
    </w:lvl>
    <w:lvl w:ilvl="5">
      <w:numFmt w:val="bullet"/>
      <w:lvlText w:val="•"/>
      <w:lvlJc w:val="left"/>
      <w:pPr>
        <w:ind w:left="5126" w:hanging="240"/>
      </w:pPr>
      <w:rPr>
        <w:rFonts w:hint="default"/>
        <w:lang w:val="en-US" w:eastAsia="en-US" w:bidi="ar-SA"/>
      </w:rPr>
    </w:lvl>
    <w:lvl w:ilvl="6">
      <w:numFmt w:val="bullet"/>
      <w:lvlText w:val="•"/>
      <w:lvlJc w:val="left"/>
      <w:pPr>
        <w:ind w:left="6052" w:hanging="240"/>
      </w:pPr>
      <w:rPr>
        <w:rFonts w:hint="default"/>
        <w:lang w:val="en-US" w:eastAsia="en-US" w:bidi="ar-SA"/>
      </w:rPr>
    </w:lvl>
    <w:lvl w:ilvl="7">
      <w:numFmt w:val="bullet"/>
      <w:lvlText w:val="•"/>
      <w:lvlJc w:val="left"/>
      <w:pPr>
        <w:ind w:left="6979" w:hanging="240"/>
      </w:pPr>
      <w:rPr>
        <w:rFonts w:hint="default"/>
        <w:lang w:val="en-US" w:eastAsia="en-US" w:bidi="ar-SA"/>
      </w:rPr>
    </w:lvl>
    <w:lvl w:ilvl="8">
      <w:numFmt w:val="bullet"/>
      <w:lvlText w:val="•"/>
      <w:lvlJc w:val="left"/>
      <w:pPr>
        <w:ind w:left="7906" w:hanging="240"/>
      </w:pPr>
      <w:rPr>
        <w:rFonts w:hint="default"/>
        <w:lang w:val="en-US" w:eastAsia="en-US" w:bidi="ar-SA"/>
      </w:rPr>
    </w:lvl>
  </w:abstractNum>
  <w:abstractNum w:abstractNumId="9">
    <w:nsid w:val="5E8E2F08"/>
    <w:multiLevelType w:val="hybridMultilevel"/>
    <w:tmpl w:val="00005F02"/>
    <w:lvl w:ilvl="0" w:tplc="28F46C5E">
      <w:numFmt w:val="bullet"/>
      <w:lvlText w:val="⮚"/>
      <w:lvlJc w:val="left"/>
      <w:pPr>
        <w:ind w:left="400" w:hanging="240"/>
      </w:pPr>
      <w:rPr>
        <w:rFonts w:ascii="Symbola" w:eastAsia="Symbola" w:hAnsi="Symbola" w:cs="Symbola" w:hint="default"/>
        <w:spacing w:val="33"/>
        <w:w w:val="111"/>
        <w:sz w:val="24"/>
        <w:szCs w:val="24"/>
        <w:lang w:val="en-US" w:eastAsia="en-US" w:bidi="ar-SA"/>
      </w:rPr>
    </w:lvl>
    <w:lvl w:ilvl="1" w:tplc="CF3A9A0C">
      <w:numFmt w:val="bullet"/>
      <w:lvlText w:val="•"/>
      <w:lvlJc w:val="left"/>
      <w:pPr>
        <w:ind w:left="1335" w:hanging="240"/>
      </w:pPr>
      <w:rPr>
        <w:rFonts w:hint="default"/>
        <w:lang w:val="en-US" w:eastAsia="en-US" w:bidi="ar-SA"/>
      </w:rPr>
    </w:lvl>
    <w:lvl w:ilvl="2" w:tplc="33465F9E">
      <w:numFmt w:val="bullet"/>
      <w:lvlText w:val="•"/>
      <w:lvlJc w:val="left"/>
      <w:pPr>
        <w:ind w:left="2271" w:hanging="240"/>
      </w:pPr>
      <w:rPr>
        <w:rFonts w:hint="default"/>
        <w:lang w:val="en-US" w:eastAsia="en-US" w:bidi="ar-SA"/>
      </w:rPr>
    </w:lvl>
    <w:lvl w:ilvl="3" w:tplc="C86685F4">
      <w:numFmt w:val="bullet"/>
      <w:lvlText w:val="•"/>
      <w:lvlJc w:val="left"/>
      <w:pPr>
        <w:ind w:left="3207" w:hanging="240"/>
      </w:pPr>
      <w:rPr>
        <w:rFonts w:hint="default"/>
        <w:lang w:val="en-US" w:eastAsia="en-US" w:bidi="ar-SA"/>
      </w:rPr>
    </w:lvl>
    <w:lvl w:ilvl="4" w:tplc="7A2A23A6">
      <w:numFmt w:val="bullet"/>
      <w:lvlText w:val="•"/>
      <w:lvlJc w:val="left"/>
      <w:pPr>
        <w:ind w:left="4143" w:hanging="240"/>
      </w:pPr>
      <w:rPr>
        <w:rFonts w:hint="default"/>
        <w:lang w:val="en-US" w:eastAsia="en-US" w:bidi="ar-SA"/>
      </w:rPr>
    </w:lvl>
    <w:lvl w:ilvl="5" w:tplc="0476A180">
      <w:numFmt w:val="bullet"/>
      <w:lvlText w:val="•"/>
      <w:lvlJc w:val="left"/>
      <w:pPr>
        <w:ind w:left="5079" w:hanging="240"/>
      </w:pPr>
      <w:rPr>
        <w:rFonts w:hint="default"/>
        <w:lang w:val="en-US" w:eastAsia="en-US" w:bidi="ar-SA"/>
      </w:rPr>
    </w:lvl>
    <w:lvl w:ilvl="6" w:tplc="12DE3D72">
      <w:numFmt w:val="bullet"/>
      <w:lvlText w:val="•"/>
      <w:lvlJc w:val="left"/>
      <w:pPr>
        <w:ind w:left="6015" w:hanging="240"/>
      </w:pPr>
      <w:rPr>
        <w:rFonts w:hint="default"/>
        <w:lang w:val="en-US" w:eastAsia="en-US" w:bidi="ar-SA"/>
      </w:rPr>
    </w:lvl>
    <w:lvl w:ilvl="7" w:tplc="B1F234F0">
      <w:numFmt w:val="bullet"/>
      <w:lvlText w:val="•"/>
      <w:lvlJc w:val="left"/>
      <w:pPr>
        <w:ind w:left="6951" w:hanging="240"/>
      </w:pPr>
      <w:rPr>
        <w:rFonts w:hint="default"/>
        <w:lang w:val="en-US" w:eastAsia="en-US" w:bidi="ar-SA"/>
      </w:rPr>
    </w:lvl>
    <w:lvl w:ilvl="8" w:tplc="5F129A5C">
      <w:numFmt w:val="bullet"/>
      <w:lvlText w:val="•"/>
      <w:lvlJc w:val="left"/>
      <w:pPr>
        <w:ind w:left="7887" w:hanging="240"/>
      </w:pPr>
      <w:rPr>
        <w:rFonts w:hint="default"/>
        <w:lang w:val="en-US" w:eastAsia="en-US" w:bidi="ar-SA"/>
      </w:rPr>
    </w:lvl>
  </w:abstractNum>
  <w:abstractNum w:abstractNumId="10">
    <w:nsid w:val="7B390D77"/>
    <w:multiLevelType w:val="multilevel"/>
    <w:tmpl w:val="FA845AE0"/>
    <w:lvl w:ilvl="0">
      <w:start w:val="1"/>
      <w:numFmt w:val="decimal"/>
      <w:lvlText w:val="%1"/>
      <w:lvlJc w:val="left"/>
      <w:pPr>
        <w:ind w:left="820" w:hanging="420"/>
        <w:jc w:val="left"/>
      </w:pPr>
      <w:rPr>
        <w:rFonts w:hint="default"/>
        <w:lang w:val="en-US" w:eastAsia="en-US" w:bidi="ar-SA"/>
      </w:rPr>
    </w:lvl>
    <w:lvl w:ilvl="1">
      <w:start w:val="1"/>
      <w:numFmt w:val="decimal"/>
      <w:lvlText w:val="%1.%2"/>
      <w:lvlJc w:val="left"/>
      <w:pPr>
        <w:ind w:left="820" w:hanging="420"/>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1120" w:hanging="360"/>
      </w:pPr>
      <w:rPr>
        <w:rFonts w:ascii="Symbola" w:eastAsia="Symbola" w:hAnsi="Symbola" w:cs="Symbola" w:hint="default"/>
        <w:w w:val="111"/>
        <w:sz w:val="22"/>
        <w:szCs w:val="22"/>
        <w:lang w:val="en-US" w:eastAsia="en-US" w:bidi="ar-SA"/>
      </w:rPr>
    </w:lvl>
    <w:lvl w:ilvl="3">
      <w:numFmt w:val="bullet"/>
      <w:lvlText w:val="•"/>
      <w:lvlJc w:val="left"/>
      <w:pPr>
        <w:ind w:left="3039" w:hanging="360"/>
      </w:pPr>
      <w:rPr>
        <w:rFonts w:hint="default"/>
        <w:lang w:val="en-US" w:eastAsia="en-US" w:bidi="ar-SA"/>
      </w:rPr>
    </w:lvl>
    <w:lvl w:ilvl="4">
      <w:numFmt w:val="bullet"/>
      <w:lvlText w:val="•"/>
      <w:lvlJc w:val="left"/>
      <w:pPr>
        <w:ind w:left="3999" w:hanging="360"/>
      </w:pPr>
      <w:rPr>
        <w:rFonts w:hint="default"/>
        <w:lang w:val="en-US" w:eastAsia="en-US" w:bidi="ar-SA"/>
      </w:rPr>
    </w:lvl>
    <w:lvl w:ilvl="5">
      <w:numFmt w:val="bullet"/>
      <w:lvlText w:val="•"/>
      <w:lvlJc w:val="left"/>
      <w:pPr>
        <w:ind w:left="4959" w:hanging="360"/>
      </w:pPr>
      <w:rPr>
        <w:rFonts w:hint="default"/>
        <w:lang w:val="en-US" w:eastAsia="en-US" w:bidi="ar-SA"/>
      </w:rPr>
    </w:lvl>
    <w:lvl w:ilvl="6">
      <w:numFmt w:val="bullet"/>
      <w:lvlText w:val="•"/>
      <w:lvlJc w:val="left"/>
      <w:pPr>
        <w:ind w:left="5919" w:hanging="360"/>
      </w:pPr>
      <w:rPr>
        <w:rFonts w:hint="default"/>
        <w:lang w:val="en-US" w:eastAsia="en-US" w:bidi="ar-SA"/>
      </w:rPr>
    </w:lvl>
    <w:lvl w:ilvl="7">
      <w:numFmt w:val="bullet"/>
      <w:lvlText w:val="•"/>
      <w:lvlJc w:val="left"/>
      <w:pPr>
        <w:ind w:left="6879" w:hanging="360"/>
      </w:pPr>
      <w:rPr>
        <w:rFonts w:hint="default"/>
        <w:lang w:val="en-US" w:eastAsia="en-US" w:bidi="ar-SA"/>
      </w:rPr>
    </w:lvl>
    <w:lvl w:ilvl="8">
      <w:numFmt w:val="bullet"/>
      <w:lvlText w:val="•"/>
      <w:lvlJc w:val="left"/>
      <w:pPr>
        <w:ind w:left="7839" w:hanging="360"/>
      </w:pPr>
      <w:rPr>
        <w:rFonts w:hint="default"/>
        <w:lang w:val="en-US" w:eastAsia="en-US" w:bidi="ar-SA"/>
      </w:rPr>
    </w:lvl>
  </w:abstractNum>
  <w:abstractNum w:abstractNumId="11">
    <w:nsid w:val="7F6B744F"/>
    <w:multiLevelType w:val="multilevel"/>
    <w:tmpl w:val="D346C492"/>
    <w:lvl w:ilvl="0">
      <w:start w:val="3"/>
      <w:numFmt w:val="decimal"/>
      <w:lvlText w:val="%1"/>
      <w:lvlJc w:val="left"/>
      <w:pPr>
        <w:ind w:left="820" w:hanging="420"/>
        <w:jc w:val="left"/>
      </w:pPr>
      <w:rPr>
        <w:rFonts w:hint="default"/>
        <w:lang w:val="en-US" w:eastAsia="en-US" w:bidi="ar-SA"/>
      </w:rPr>
    </w:lvl>
    <w:lvl w:ilvl="1">
      <w:start w:val="1"/>
      <w:numFmt w:val="decimal"/>
      <w:lvlText w:val="%1.%2"/>
      <w:lvlJc w:val="left"/>
      <w:pPr>
        <w:ind w:left="820" w:hanging="420"/>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2607" w:hanging="420"/>
      </w:pPr>
      <w:rPr>
        <w:rFonts w:hint="default"/>
        <w:lang w:val="en-US" w:eastAsia="en-US" w:bidi="ar-SA"/>
      </w:rPr>
    </w:lvl>
    <w:lvl w:ilvl="3">
      <w:numFmt w:val="bullet"/>
      <w:lvlText w:val="•"/>
      <w:lvlJc w:val="left"/>
      <w:pPr>
        <w:ind w:left="3501" w:hanging="420"/>
      </w:pPr>
      <w:rPr>
        <w:rFonts w:hint="default"/>
        <w:lang w:val="en-US" w:eastAsia="en-US" w:bidi="ar-SA"/>
      </w:rPr>
    </w:lvl>
    <w:lvl w:ilvl="4">
      <w:numFmt w:val="bullet"/>
      <w:lvlText w:val="•"/>
      <w:lvlJc w:val="left"/>
      <w:pPr>
        <w:ind w:left="4395" w:hanging="420"/>
      </w:pPr>
      <w:rPr>
        <w:rFonts w:hint="default"/>
        <w:lang w:val="en-US" w:eastAsia="en-US" w:bidi="ar-SA"/>
      </w:rPr>
    </w:lvl>
    <w:lvl w:ilvl="5">
      <w:numFmt w:val="bullet"/>
      <w:lvlText w:val="•"/>
      <w:lvlJc w:val="left"/>
      <w:pPr>
        <w:ind w:left="5289" w:hanging="420"/>
      </w:pPr>
      <w:rPr>
        <w:rFonts w:hint="default"/>
        <w:lang w:val="en-US" w:eastAsia="en-US" w:bidi="ar-SA"/>
      </w:rPr>
    </w:lvl>
    <w:lvl w:ilvl="6">
      <w:numFmt w:val="bullet"/>
      <w:lvlText w:val="•"/>
      <w:lvlJc w:val="left"/>
      <w:pPr>
        <w:ind w:left="6183" w:hanging="420"/>
      </w:pPr>
      <w:rPr>
        <w:rFonts w:hint="default"/>
        <w:lang w:val="en-US" w:eastAsia="en-US" w:bidi="ar-SA"/>
      </w:rPr>
    </w:lvl>
    <w:lvl w:ilvl="7">
      <w:numFmt w:val="bullet"/>
      <w:lvlText w:val="•"/>
      <w:lvlJc w:val="left"/>
      <w:pPr>
        <w:ind w:left="7077" w:hanging="420"/>
      </w:pPr>
      <w:rPr>
        <w:rFonts w:hint="default"/>
        <w:lang w:val="en-US" w:eastAsia="en-US" w:bidi="ar-SA"/>
      </w:rPr>
    </w:lvl>
    <w:lvl w:ilvl="8">
      <w:numFmt w:val="bullet"/>
      <w:lvlText w:val="•"/>
      <w:lvlJc w:val="left"/>
      <w:pPr>
        <w:ind w:left="7971" w:hanging="420"/>
      </w:pPr>
      <w:rPr>
        <w:rFonts w:hint="default"/>
        <w:lang w:val="en-US" w:eastAsia="en-US" w:bidi="ar-SA"/>
      </w:rPr>
    </w:lvl>
  </w:abstractNum>
  <w:abstractNum w:abstractNumId="12">
    <w:nsid w:val="7FA6479D"/>
    <w:multiLevelType w:val="multilevel"/>
    <w:tmpl w:val="A2620036"/>
    <w:lvl w:ilvl="0">
      <w:start w:val="5"/>
      <w:numFmt w:val="decimal"/>
      <w:lvlText w:val="%1"/>
      <w:lvlJc w:val="left"/>
      <w:pPr>
        <w:ind w:left="822" w:hanging="423"/>
        <w:jc w:val="left"/>
      </w:pPr>
      <w:rPr>
        <w:rFonts w:hint="default"/>
        <w:lang w:val="en-US" w:eastAsia="en-US" w:bidi="ar-SA"/>
      </w:rPr>
    </w:lvl>
    <w:lvl w:ilvl="1">
      <w:start w:val="1"/>
      <w:numFmt w:val="decimal"/>
      <w:lvlText w:val="%1.%2"/>
      <w:lvlJc w:val="left"/>
      <w:pPr>
        <w:ind w:left="822" w:hanging="423"/>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2607" w:hanging="423"/>
      </w:pPr>
      <w:rPr>
        <w:rFonts w:hint="default"/>
        <w:lang w:val="en-US" w:eastAsia="en-US" w:bidi="ar-SA"/>
      </w:rPr>
    </w:lvl>
    <w:lvl w:ilvl="3">
      <w:numFmt w:val="bullet"/>
      <w:lvlText w:val="•"/>
      <w:lvlJc w:val="left"/>
      <w:pPr>
        <w:ind w:left="3501" w:hanging="423"/>
      </w:pPr>
      <w:rPr>
        <w:rFonts w:hint="default"/>
        <w:lang w:val="en-US" w:eastAsia="en-US" w:bidi="ar-SA"/>
      </w:rPr>
    </w:lvl>
    <w:lvl w:ilvl="4">
      <w:numFmt w:val="bullet"/>
      <w:lvlText w:val="•"/>
      <w:lvlJc w:val="left"/>
      <w:pPr>
        <w:ind w:left="4395" w:hanging="423"/>
      </w:pPr>
      <w:rPr>
        <w:rFonts w:hint="default"/>
        <w:lang w:val="en-US" w:eastAsia="en-US" w:bidi="ar-SA"/>
      </w:rPr>
    </w:lvl>
    <w:lvl w:ilvl="5">
      <w:numFmt w:val="bullet"/>
      <w:lvlText w:val="•"/>
      <w:lvlJc w:val="left"/>
      <w:pPr>
        <w:ind w:left="5289" w:hanging="423"/>
      </w:pPr>
      <w:rPr>
        <w:rFonts w:hint="default"/>
        <w:lang w:val="en-US" w:eastAsia="en-US" w:bidi="ar-SA"/>
      </w:rPr>
    </w:lvl>
    <w:lvl w:ilvl="6">
      <w:numFmt w:val="bullet"/>
      <w:lvlText w:val="•"/>
      <w:lvlJc w:val="left"/>
      <w:pPr>
        <w:ind w:left="6183" w:hanging="423"/>
      </w:pPr>
      <w:rPr>
        <w:rFonts w:hint="default"/>
        <w:lang w:val="en-US" w:eastAsia="en-US" w:bidi="ar-SA"/>
      </w:rPr>
    </w:lvl>
    <w:lvl w:ilvl="7">
      <w:numFmt w:val="bullet"/>
      <w:lvlText w:val="•"/>
      <w:lvlJc w:val="left"/>
      <w:pPr>
        <w:ind w:left="7077" w:hanging="423"/>
      </w:pPr>
      <w:rPr>
        <w:rFonts w:hint="default"/>
        <w:lang w:val="en-US" w:eastAsia="en-US" w:bidi="ar-SA"/>
      </w:rPr>
    </w:lvl>
    <w:lvl w:ilvl="8">
      <w:numFmt w:val="bullet"/>
      <w:lvlText w:val="•"/>
      <w:lvlJc w:val="left"/>
      <w:pPr>
        <w:ind w:left="7971" w:hanging="423"/>
      </w:pPr>
      <w:rPr>
        <w:rFonts w:hint="default"/>
        <w:lang w:val="en-US" w:eastAsia="en-US" w:bidi="ar-SA"/>
      </w:rPr>
    </w:lvl>
  </w:abstractNum>
  <w:num w:numId="1">
    <w:abstractNumId w:val="12"/>
  </w:num>
  <w:num w:numId="2">
    <w:abstractNumId w:val="6"/>
  </w:num>
  <w:num w:numId="3">
    <w:abstractNumId w:val="8"/>
  </w:num>
  <w:num w:numId="4">
    <w:abstractNumId w:val="4"/>
  </w:num>
  <w:num w:numId="5">
    <w:abstractNumId w:val="3"/>
  </w:num>
  <w:num w:numId="6">
    <w:abstractNumId w:val="11"/>
  </w:num>
  <w:num w:numId="7">
    <w:abstractNumId w:val="0"/>
  </w:num>
  <w:num w:numId="8">
    <w:abstractNumId w:val="7"/>
  </w:num>
  <w:num w:numId="9">
    <w:abstractNumId w:val="9"/>
  </w:num>
  <w:num w:numId="10">
    <w:abstractNumId w:val="1"/>
  </w:num>
  <w:num w:numId="11">
    <w:abstractNumId w:val="10"/>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801AF"/>
    <w:rsid w:val="00275C3C"/>
    <w:rsid w:val="00602675"/>
    <w:rsid w:val="00B61B31"/>
    <w:rsid w:val="00B80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1E1F0C1B-1593-4A09-9CA2-932C5839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58"/>
      <w:ind w:left="538" w:right="482"/>
      <w:jc w:val="center"/>
      <w:outlineLvl w:val="0"/>
    </w:pPr>
    <w:rPr>
      <w:b/>
      <w:bCs/>
      <w:sz w:val="32"/>
      <w:szCs w:val="32"/>
    </w:rPr>
  </w:style>
  <w:style w:type="paragraph" w:styleId="Heading2">
    <w:name w:val="heading 2"/>
    <w:basedOn w:val="Normal"/>
    <w:uiPriority w:val="1"/>
    <w:qFormat/>
    <w:pPr>
      <w:ind w:left="822" w:hanging="423"/>
      <w:outlineLvl w:val="1"/>
    </w:pPr>
    <w:rPr>
      <w:b/>
      <w:bCs/>
      <w:sz w:val="28"/>
      <w:szCs w:val="28"/>
    </w:rPr>
  </w:style>
  <w:style w:type="paragraph" w:styleId="Heading3">
    <w:name w:val="heading 3"/>
    <w:basedOn w:val="Normal"/>
    <w:uiPriority w:val="1"/>
    <w:qFormat/>
    <w:pPr>
      <w:ind w:left="400"/>
      <w:jc w:val="center"/>
      <w:outlineLvl w:val="2"/>
    </w:pPr>
    <w:rPr>
      <w:sz w:val="28"/>
      <w:szCs w:val="28"/>
    </w:rPr>
  </w:style>
  <w:style w:type="paragraph" w:styleId="Heading4">
    <w:name w:val="heading 4"/>
    <w:basedOn w:val="Normal"/>
    <w:uiPriority w:val="1"/>
    <w:qFormat/>
    <w:pPr>
      <w:ind w:left="4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400"/>
    </w:pPr>
    <w:rPr>
      <w:b/>
      <w:bCs/>
    </w:rPr>
  </w:style>
  <w:style w:type="paragraph" w:styleId="TOC2">
    <w:name w:val="toc 2"/>
    <w:basedOn w:val="Normal"/>
    <w:uiPriority w:val="1"/>
    <w:qFormat/>
    <w:pPr>
      <w:ind w:left="1062" w:hanging="663"/>
    </w:pPr>
  </w:style>
  <w:style w:type="paragraph" w:styleId="TOC3">
    <w:name w:val="toc 3"/>
    <w:basedOn w:val="Normal"/>
    <w:uiPriority w:val="1"/>
    <w:qFormat/>
    <w:pPr>
      <w:spacing w:line="252" w:lineRule="exact"/>
      <w:ind w:left="897" w:hanging="498"/>
    </w:pPr>
    <w:rPr>
      <w:i/>
    </w:rPr>
  </w:style>
  <w:style w:type="paragraph" w:styleId="TOC4">
    <w:name w:val="toc 4"/>
    <w:basedOn w:val="Normal"/>
    <w:uiPriority w:val="1"/>
    <w:qFormat/>
    <w:pPr>
      <w:ind w:left="731" w:hanging="332"/>
    </w:pPr>
    <w:rPr>
      <w:sz w:val="18"/>
      <w:szCs w:val="18"/>
    </w:rPr>
  </w:style>
  <w:style w:type="paragraph" w:styleId="TOC5">
    <w:name w:val="toc 5"/>
    <w:basedOn w:val="Normal"/>
    <w:uiPriority w:val="1"/>
    <w:qFormat/>
    <w:pPr>
      <w:ind w:left="400"/>
    </w:pPr>
    <w:rPr>
      <w:b/>
      <w:bCs/>
      <w: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2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2675"/>
    <w:pPr>
      <w:tabs>
        <w:tab w:val="center" w:pos="4680"/>
        <w:tab w:val="right" w:pos="9360"/>
      </w:tabs>
    </w:pPr>
  </w:style>
  <w:style w:type="character" w:customStyle="1" w:styleId="HeaderChar">
    <w:name w:val="Header Char"/>
    <w:basedOn w:val="DefaultParagraphFont"/>
    <w:link w:val="Header"/>
    <w:uiPriority w:val="99"/>
    <w:rsid w:val="00602675"/>
    <w:rPr>
      <w:rFonts w:ascii="Times New Roman" w:eastAsia="Times New Roman" w:hAnsi="Times New Roman" w:cs="Times New Roman"/>
    </w:rPr>
  </w:style>
  <w:style w:type="paragraph" w:styleId="Footer">
    <w:name w:val="footer"/>
    <w:basedOn w:val="Normal"/>
    <w:link w:val="FooterChar"/>
    <w:uiPriority w:val="99"/>
    <w:unhideWhenUsed/>
    <w:rsid w:val="00602675"/>
    <w:pPr>
      <w:tabs>
        <w:tab w:val="center" w:pos="4680"/>
        <w:tab w:val="right" w:pos="9360"/>
      </w:tabs>
    </w:pPr>
  </w:style>
  <w:style w:type="character" w:customStyle="1" w:styleId="FooterChar">
    <w:name w:val="Footer Char"/>
    <w:basedOn w:val="DefaultParagraphFont"/>
    <w:link w:val="Footer"/>
    <w:uiPriority w:val="99"/>
    <w:rsid w:val="0060267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image" Target="media/image4.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footer" Target="footer5.xml"/><Relationship Id="rId17" Type="http://schemas.openxmlformats.org/officeDocument/2006/relationships/footer" Target="footer8.xml"/><Relationship Id="rId25"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image" Target="media/image9.jpeg"/><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footer" Target="footer3.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48</Pages>
  <Words>8140</Words>
  <Characters>46401</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acer</cp:lastModifiedBy>
  <cp:revision>2</cp:revision>
  <dcterms:created xsi:type="dcterms:W3CDTF">2020-11-02T05:49:00Z</dcterms:created>
  <dcterms:modified xsi:type="dcterms:W3CDTF">2020-11-02T06:32:00Z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Microsoft® Word 2010</vt:lpwstr>
  </property>
  <property fmtid="{D5CDD505-2E9C-101B-9397-08002B2CF9AE}" pid="4" name="LastSaved">
    <vt:filetime>2020-11-02T00:00:00Z</vt:filetime>
  </property>
</Properties>
</file>