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9"/>
        <w:rPr>
          <w:sz w:val="18"/>
        </w:rPr>
      </w:pPr>
    </w:p>
    <w:p>
      <w:pPr>
        <w:pStyle w:val="Heading1"/>
        <w:spacing w:line="242" w:lineRule="auto" w:before="88"/>
        <w:ind w:left="4066" w:right="3856" w:firstLine="0"/>
        <w:jc w:val="center"/>
      </w:pPr>
      <w:r>
        <w:rPr/>
        <w:t>Thesis Report on</w:t>
      </w:r>
    </w:p>
    <w:p>
      <w:pPr>
        <w:spacing w:line="240" w:lineRule="auto" w:before="0"/>
        <w:ind w:left="388" w:right="185" w:hanging="10"/>
        <w:jc w:val="center"/>
        <w:rPr>
          <w:b/>
          <w:sz w:val="32"/>
        </w:rPr>
      </w:pPr>
      <w:r>
        <w:rPr>
          <w:b/>
          <w:sz w:val="32"/>
        </w:rPr>
        <w:t>Financial Performance Analysis of Trust Bank Limited, </w:t>
      </w:r>
      <w:r>
        <w:rPr>
          <w:b/>
          <w:spacing w:val="-3"/>
          <w:sz w:val="32"/>
        </w:rPr>
        <w:t>Jamuna </w:t>
      </w:r>
      <w:r>
        <w:rPr>
          <w:b/>
          <w:sz w:val="32"/>
        </w:rPr>
        <w:t>Bank Limited, Bangladesh Commerce Bank Limited, Premier</w:t>
      </w:r>
      <w:r>
        <w:rPr>
          <w:b/>
          <w:spacing w:val="-39"/>
          <w:sz w:val="32"/>
        </w:rPr>
        <w:t> </w:t>
      </w:r>
      <w:r>
        <w:rPr>
          <w:b/>
          <w:sz w:val="32"/>
        </w:rPr>
        <w:t>Bank Limited and City Bank</w:t>
      </w:r>
      <w:r>
        <w:rPr>
          <w:b/>
          <w:spacing w:val="-13"/>
          <w:sz w:val="32"/>
        </w:rPr>
        <w:t> </w:t>
      </w:r>
      <w:r>
        <w:rPr>
          <w:b/>
          <w:sz w:val="32"/>
        </w:rPr>
        <w:t>Limited</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sz w:val="14"/>
        </w:rPr>
      </w:pPr>
      <w:r>
        <w:rPr/>
        <w:drawing>
          <wp:anchor distT="0" distB="0" distL="0" distR="0" allowOverlap="1" layoutInCell="1" locked="0" behindDoc="0" simplePos="0" relativeHeight="0">
            <wp:simplePos x="0" y="0"/>
            <wp:positionH relativeFrom="page">
              <wp:posOffset>3209925</wp:posOffset>
            </wp:positionH>
            <wp:positionV relativeFrom="paragraph">
              <wp:posOffset>133031</wp:posOffset>
            </wp:positionV>
            <wp:extent cx="1635767" cy="1163002"/>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635767" cy="1163002"/>
                    </a:xfrm>
                    <a:prstGeom prst="rect">
                      <a:avLst/>
                    </a:prstGeom>
                  </pic:spPr>
                </pic:pic>
              </a:graphicData>
            </a:graphic>
          </wp:anchor>
        </w:drawing>
      </w:r>
    </w:p>
    <w:p>
      <w:pPr>
        <w:spacing w:before="3"/>
        <w:ind w:left="2297" w:right="2098" w:firstLine="0"/>
        <w:jc w:val="center"/>
        <w:rPr>
          <w:b/>
          <w:sz w:val="32"/>
        </w:rPr>
      </w:pPr>
      <w:r>
        <w:rPr>
          <w:b/>
          <w:sz w:val="32"/>
        </w:rPr>
        <w:t>Date of Submission: 17 December, 2020</w:t>
      </w:r>
    </w:p>
    <w:p>
      <w:pPr>
        <w:spacing w:after="0"/>
        <w:jc w:val="center"/>
        <w:rPr>
          <w:sz w:val="32"/>
        </w:rPr>
        <w:sectPr>
          <w:type w:val="continuous"/>
          <w:pgSz w:w="12240" w:h="15840"/>
          <w:pgMar w:top="1500" w:bottom="280" w:left="1100" w:right="1300"/>
        </w:sectPr>
      </w:pPr>
    </w:p>
    <w:p>
      <w:pPr>
        <w:pStyle w:val="BodyText"/>
        <w:ind w:left="3220"/>
        <w:rPr>
          <w:sz w:val="20"/>
        </w:rPr>
      </w:pPr>
      <w:r>
        <w:rPr>
          <w:sz w:val="20"/>
        </w:rPr>
        <w:drawing>
          <wp:inline distT="0" distB="0" distL="0" distR="0">
            <wp:extent cx="3181056" cy="740664"/>
            <wp:effectExtent l="0" t="0" r="0" b="0"/>
            <wp:docPr id="3" name="image2.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3181056" cy="740664"/>
                    </a:xfrm>
                    <a:prstGeom prst="rect">
                      <a:avLst/>
                    </a:prstGeom>
                  </pic:spPr>
                </pic:pic>
              </a:graphicData>
            </a:graphic>
          </wp:inline>
        </w:drawing>
      </w:r>
      <w:r>
        <w:rPr>
          <w:sz w:val="20"/>
        </w:rPr>
      </w:r>
    </w:p>
    <w:p>
      <w:pPr>
        <w:pStyle w:val="BodyText"/>
        <w:spacing w:before="5"/>
        <w:rPr>
          <w:b/>
        </w:rPr>
      </w:pPr>
    </w:p>
    <w:p>
      <w:pPr>
        <w:spacing w:before="88"/>
        <w:ind w:left="4066" w:right="3856" w:firstLine="0"/>
        <w:jc w:val="center"/>
        <w:rPr>
          <w:b/>
          <w:sz w:val="32"/>
        </w:rPr>
      </w:pPr>
      <w:r>
        <w:rPr>
          <w:b/>
          <w:sz w:val="32"/>
        </w:rPr>
        <w:t>Thesis Report on</w:t>
      </w:r>
    </w:p>
    <w:p>
      <w:pPr>
        <w:spacing w:line="240" w:lineRule="auto" w:before="0"/>
        <w:ind w:left="388" w:right="185" w:hanging="10"/>
        <w:jc w:val="center"/>
        <w:rPr>
          <w:b/>
          <w:sz w:val="32"/>
        </w:rPr>
      </w:pPr>
      <w:r>
        <w:rPr>
          <w:b/>
          <w:sz w:val="32"/>
        </w:rPr>
        <w:t>Financial Performance Analysis of Trust Bank Limited, </w:t>
      </w:r>
      <w:r>
        <w:rPr>
          <w:b/>
          <w:spacing w:val="-3"/>
          <w:sz w:val="32"/>
        </w:rPr>
        <w:t>Jamuna </w:t>
      </w:r>
      <w:r>
        <w:rPr>
          <w:b/>
          <w:sz w:val="32"/>
        </w:rPr>
        <w:t>Bank Limited, Bangladesh Commerce Bank Limited, Premier</w:t>
      </w:r>
      <w:r>
        <w:rPr>
          <w:b/>
          <w:spacing w:val="-39"/>
          <w:sz w:val="32"/>
        </w:rPr>
        <w:t> </w:t>
      </w:r>
      <w:r>
        <w:rPr>
          <w:b/>
          <w:sz w:val="32"/>
        </w:rPr>
        <w:t>Bank Limited and City Bank</w:t>
      </w:r>
      <w:r>
        <w:rPr>
          <w:b/>
          <w:spacing w:val="-13"/>
          <w:sz w:val="32"/>
        </w:rPr>
        <w:t> </w:t>
      </w:r>
      <w:r>
        <w:rPr>
          <w:b/>
          <w:sz w:val="32"/>
        </w:rPr>
        <w:t>Limited</w:t>
      </w:r>
    </w:p>
    <w:p>
      <w:pPr>
        <w:pStyle w:val="BodyText"/>
        <w:spacing w:before="1"/>
        <w:rPr>
          <w:b/>
          <w:sz w:val="39"/>
        </w:rPr>
      </w:pPr>
    </w:p>
    <w:p>
      <w:pPr>
        <w:spacing w:before="0"/>
        <w:ind w:left="4060" w:right="3856" w:firstLine="0"/>
        <w:jc w:val="center"/>
        <w:rPr>
          <w:b/>
          <w:sz w:val="32"/>
        </w:rPr>
      </w:pPr>
      <w:r>
        <w:rPr>
          <w:b/>
          <w:sz w:val="32"/>
        </w:rPr>
        <w:t>Submitted to</w:t>
      </w:r>
    </w:p>
    <w:p>
      <w:pPr>
        <w:spacing w:line="360" w:lineRule="auto" w:before="185"/>
        <w:ind w:left="2297" w:right="2095" w:firstLine="0"/>
        <w:jc w:val="center"/>
        <w:rPr>
          <w:b/>
          <w:sz w:val="32"/>
        </w:rPr>
      </w:pPr>
      <w:r>
        <w:rPr>
          <w:b/>
          <w:sz w:val="32"/>
        </w:rPr>
        <w:t>Mr. Moahmmed Nafeez Al Amin Assistant Professor</w:t>
      </w:r>
    </w:p>
    <w:p>
      <w:pPr>
        <w:spacing w:line="360" w:lineRule="auto" w:before="0"/>
        <w:ind w:left="2141" w:right="1935" w:hanging="2"/>
        <w:jc w:val="center"/>
        <w:rPr>
          <w:b/>
          <w:sz w:val="32"/>
        </w:rPr>
      </w:pPr>
      <w:r>
        <w:rPr>
          <w:b/>
          <w:sz w:val="32"/>
        </w:rPr>
        <w:t>Department of Business Administration Faculty of Business and Entrepreneurship Daffodil International University</w:t>
      </w:r>
    </w:p>
    <w:p>
      <w:pPr>
        <w:pStyle w:val="BodyText"/>
        <w:spacing w:before="1"/>
        <w:rPr>
          <w:b/>
          <w:sz w:val="48"/>
        </w:rPr>
      </w:pPr>
    </w:p>
    <w:p>
      <w:pPr>
        <w:spacing w:line="360" w:lineRule="auto" w:before="0"/>
        <w:ind w:left="3673" w:right="3453" w:firstLine="499"/>
        <w:jc w:val="left"/>
        <w:rPr>
          <w:b/>
          <w:sz w:val="32"/>
        </w:rPr>
      </w:pPr>
      <w:r>
        <w:rPr>
          <w:b/>
          <w:sz w:val="32"/>
        </w:rPr>
        <w:t>Prepared by Md. Maruf Hossain</w:t>
      </w:r>
    </w:p>
    <w:p>
      <w:pPr>
        <w:spacing w:before="0"/>
        <w:ind w:left="4004" w:right="0" w:firstLine="0"/>
        <w:jc w:val="left"/>
        <w:rPr>
          <w:b/>
          <w:sz w:val="32"/>
        </w:rPr>
      </w:pPr>
      <w:r>
        <w:rPr>
          <w:b/>
          <w:sz w:val="32"/>
        </w:rPr>
        <w:t>ID: 171-11-382</w:t>
      </w:r>
    </w:p>
    <w:p>
      <w:pPr>
        <w:spacing w:line="360" w:lineRule="auto" w:before="185"/>
        <w:ind w:left="3831" w:right="3624" w:hanging="2"/>
        <w:jc w:val="center"/>
        <w:rPr>
          <w:b/>
          <w:sz w:val="32"/>
        </w:rPr>
      </w:pPr>
      <w:r>
        <w:rPr>
          <w:b/>
          <w:sz w:val="32"/>
        </w:rPr>
        <w:t>Program: BBA Major in Finance</w:t>
      </w:r>
    </w:p>
    <w:p>
      <w:pPr>
        <w:spacing w:line="360" w:lineRule="auto" w:before="0"/>
        <w:ind w:left="2141" w:right="1935" w:hanging="6"/>
        <w:jc w:val="center"/>
        <w:rPr>
          <w:b/>
          <w:sz w:val="32"/>
        </w:rPr>
      </w:pPr>
      <w:r>
        <w:rPr>
          <w:b/>
          <w:sz w:val="32"/>
        </w:rPr>
        <w:t>Department of Business Administration Faculty of Business and Entrepreneurship Daffodil International University</w:t>
      </w:r>
    </w:p>
    <w:p>
      <w:pPr>
        <w:spacing w:before="0"/>
        <w:ind w:left="2297" w:right="2098" w:firstLine="0"/>
        <w:jc w:val="center"/>
        <w:rPr>
          <w:b/>
          <w:sz w:val="32"/>
        </w:rPr>
      </w:pPr>
      <w:r>
        <w:rPr>
          <w:b/>
          <w:sz w:val="32"/>
        </w:rPr>
        <w:t>Date of Submission: 17 December, 2020</w:t>
      </w:r>
    </w:p>
    <w:p>
      <w:pPr>
        <w:spacing w:after="0"/>
        <w:jc w:val="center"/>
        <w:rPr>
          <w:sz w:val="32"/>
        </w:rPr>
        <w:sectPr>
          <w:footerReference w:type="default" r:id="rId6"/>
          <w:pgSz w:w="12240" w:h="15840"/>
          <w:pgMar w:footer="1281" w:header="0" w:top="1440" w:bottom="1480" w:left="1100" w:right="1300"/>
          <w:pgNumType w:start="1"/>
        </w:sectPr>
      </w:pPr>
    </w:p>
    <w:p>
      <w:pPr>
        <w:spacing w:before="59"/>
        <w:ind w:left="2297" w:right="2098" w:firstLine="0"/>
        <w:jc w:val="center"/>
        <w:rPr>
          <w:b/>
          <w:sz w:val="32"/>
        </w:rPr>
      </w:pPr>
      <w:r>
        <w:rPr>
          <w:b/>
          <w:sz w:val="32"/>
        </w:rPr>
        <w:t>Letter of Transmittal</w:t>
      </w:r>
    </w:p>
    <w:p>
      <w:pPr>
        <w:pStyle w:val="BodyText"/>
        <w:spacing w:before="177"/>
        <w:ind w:left="340"/>
      </w:pPr>
      <w:r>
        <w:rPr/>
        <w:t>17 December, 2020</w:t>
      </w:r>
    </w:p>
    <w:p>
      <w:pPr>
        <w:pStyle w:val="BodyText"/>
        <w:spacing w:line="360" w:lineRule="auto" w:before="137"/>
        <w:ind w:left="340" w:right="5420"/>
      </w:pPr>
      <w:bookmarkStart w:name="Mr. Moahmmed Nafeez Al Amin" w:id="1"/>
      <w:bookmarkEnd w:id="1"/>
      <w:r>
        <w:rPr/>
      </w:r>
      <w:r>
        <w:rPr/>
        <w:t>Mr. Moahmmed Nafeez Al Amin</w:t>
      </w:r>
      <w:bookmarkStart w:name="Assistant Professor" w:id="2"/>
      <w:bookmarkEnd w:id="2"/>
      <w:r>
        <w:rPr/>
      </w:r>
      <w:r>
        <w:rPr/>
        <w:t> Assistant Professor</w:t>
      </w:r>
    </w:p>
    <w:p>
      <w:pPr>
        <w:pStyle w:val="BodyText"/>
        <w:spacing w:line="360" w:lineRule="auto" w:before="3"/>
        <w:ind w:left="340" w:right="5420"/>
      </w:pPr>
      <w:bookmarkStart w:name="Department of Business Administration" w:id="3"/>
      <w:bookmarkEnd w:id="3"/>
      <w:r>
        <w:rPr/>
      </w:r>
      <w:r>
        <w:rPr/>
        <w:t>Department of Business Administration</w:t>
      </w:r>
      <w:bookmarkStart w:name="Faculty of Business and Entrepreneurship" w:id="4"/>
      <w:bookmarkEnd w:id="4"/>
      <w:r>
        <w:rPr/>
      </w:r>
      <w:r>
        <w:rPr/>
        <w:t> Faculty of Business and Entrepreneurship</w:t>
      </w:r>
      <w:bookmarkStart w:name="Daffodil International University" w:id="5"/>
      <w:bookmarkEnd w:id="5"/>
      <w:r>
        <w:rPr/>
      </w:r>
      <w:r>
        <w:rPr/>
        <w:t> Daffodil International University</w:t>
      </w:r>
    </w:p>
    <w:p>
      <w:pPr>
        <w:pStyle w:val="BodyText"/>
        <w:spacing w:before="5"/>
        <w:rPr>
          <w:sz w:val="36"/>
        </w:rPr>
      </w:pPr>
    </w:p>
    <w:p>
      <w:pPr>
        <w:pStyle w:val="Heading3"/>
        <w:spacing w:line="360" w:lineRule="auto"/>
        <w:ind w:right="141"/>
        <w:jc w:val="both"/>
      </w:pPr>
      <w:bookmarkStart w:name="Subject: Submission of Thesis Report on " w:id="6"/>
      <w:bookmarkEnd w:id="6"/>
      <w:r>
        <w:rPr>
          <w:b w:val="0"/>
        </w:rPr>
      </w:r>
      <w:r>
        <w:rPr/>
        <w:t>Subject: Submission of Thesis Report on Financial Performance Analysis of Trust Bank Limited, Jamuna Bank Limited, Bangladesh Commerce Bank Limited, Premier Bank Limited and City Bank Limited.</w:t>
      </w:r>
    </w:p>
    <w:p>
      <w:pPr>
        <w:pStyle w:val="BodyText"/>
        <w:spacing w:line="268" w:lineRule="exact"/>
        <w:ind w:left="340"/>
        <w:jc w:val="both"/>
      </w:pPr>
      <w:bookmarkStart w:name="Dear Sir," w:id="7"/>
      <w:bookmarkEnd w:id="7"/>
      <w:r>
        <w:rPr/>
      </w:r>
      <w:r>
        <w:rPr/>
        <w:t>Dear Sir,</w:t>
      </w:r>
    </w:p>
    <w:p>
      <w:pPr>
        <w:pStyle w:val="BodyText"/>
        <w:spacing w:line="360" w:lineRule="auto" w:before="142"/>
        <w:ind w:left="340" w:right="141"/>
        <w:jc w:val="both"/>
      </w:pPr>
      <w:bookmarkStart w:name="With due respect, I would like to submit" w:id="8"/>
      <w:bookmarkEnd w:id="8"/>
      <w:r>
        <w:rPr/>
      </w:r>
      <w:r>
        <w:rPr/>
        <w:t>With due respect, I </w:t>
      </w:r>
      <w:r>
        <w:rPr>
          <w:spacing w:val="-3"/>
        </w:rPr>
        <w:t>would </w:t>
      </w:r>
      <w:r>
        <w:rPr/>
        <w:t>like to </w:t>
      </w:r>
      <w:r>
        <w:rPr>
          <w:spacing w:val="-3"/>
        </w:rPr>
        <w:t>submit </w:t>
      </w:r>
      <w:r>
        <w:rPr/>
        <w:t>this report on “Thesis Report on Financial Performance Analysis of Trust Bank Limited, Jamuna Bank Limited, Bangladesh Commerce Bank Limited, Premier Bank Limited and City Bank Limited. I </w:t>
      </w:r>
      <w:r>
        <w:rPr>
          <w:spacing w:val="-3"/>
        </w:rPr>
        <w:t>would </w:t>
      </w:r>
      <w:r>
        <w:rPr/>
        <w:t>like to say that this report has been organized by</w:t>
      </w:r>
      <w:r>
        <w:rPr>
          <w:spacing w:val="-5"/>
        </w:rPr>
        <w:t> </w:t>
      </w:r>
      <w:r>
        <w:rPr>
          <w:spacing w:val="-3"/>
        </w:rPr>
        <w:t>me</w:t>
      </w:r>
      <w:r>
        <w:rPr>
          <w:spacing w:val="-5"/>
        </w:rPr>
        <w:t> </w:t>
      </w:r>
      <w:r>
        <w:rPr/>
        <w:t>and</w:t>
      </w:r>
      <w:r>
        <w:rPr>
          <w:spacing w:val="-1"/>
        </w:rPr>
        <w:t> </w:t>
      </w:r>
      <w:r>
        <w:rPr/>
        <w:t>its</w:t>
      </w:r>
      <w:r>
        <w:rPr>
          <w:spacing w:val="-6"/>
        </w:rPr>
        <w:t> </w:t>
      </w:r>
      <w:r>
        <w:rPr/>
        <w:t>pleasure</w:t>
      </w:r>
      <w:r>
        <w:rPr>
          <w:spacing w:val="-2"/>
        </w:rPr>
        <w:t> </w:t>
      </w:r>
      <w:r>
        <w:rPr/>
        <w:t>for</w:t>
      </w:r>
      <w:r>
        <w:rPr>
          <w:spacing w:val="1"/>
        </w:rPr>
        <w:t> </w:t>
      </w:r>
      <w:r>
        <w:rPr>
          <w:spacing w:val="-4"/>
        </w:rPr>
        <w:t>me.</w:t>
      </w:r>
      <w:r>
        <w:rPr>
          <w:spacing w:val="-3"/>
        </w:rPr>
        <w:t> </w:t>
      </w:r>
      <w:r>
        <w:rPr/>
        <w:t>I</w:t>
      </w:r>
      <w:r>
        <w:rPr>
          <w:spacing w:val="1"/>
        </w:rPr>
        <w:t> </w:t>
      </w:r>
      <w:r>
        <w:rPr/>
        <w:t>believe</w:t>
      </w:r>
      <w:r>
        <w:rPr>
          <w:spacing w:val="-6"/>
        </w:rPr>
        <w:t> </w:t>
      </w:r>
      <w:r>
        <w:rPr/>
        <w:t>that this</w:t>
      </w:r>
      <w:r>
        <w:rPr>
          <w:spacing w:val="-7"/>
        </w:rPr>
        <w:t> </w:t>
      </w:r>
      <w:r>
        <w:rPr/>
        <w:t>thesis</w:t>
      </w:r>
      <w:r>
        <w:rPr>
          <w:spacing w:val="-7"/>
        </w:rPr>
        <w:t> </w:t>
      </w:r>
      <w:r>
        <w:rPr/>
        <w:t>report has</w:t>
      </w:r>
      <w:r>
        <w:rPr>
          <w:spacing w:val="-7"/>
        </w:rPr>
        <w:t> </w:t>
      </w:r>
      <w:r>
        <w:rPr/>
        <w:t>given</w:t>
      </w:r>
      <w:r>
        <w:rPr>
          <w:spacing w:val="-4"/>
        </w:rPr>
        <w:t> </w:t>
      </w:r>
      <w:r>
        <w:rPr>
          <w:spacing w:val="-3"/>
        </w:rPr>
        <w:t>me</w:t>
      </w:r>
      <w:r>
        <w:rPr>
          <w:spacing w:val="-6"/>
        </w:rPr>
        <w:t> </w:t>
      </w:r>
      <w:r>
        <w:rPr/>
        <w:t>an</w:t>
      </w:r>
      <w:r>
        <w:rPr>
          <w:spacing w:val="-5"/>
        </w:rPr>
        <w:t> </w:t>
      </w:r>
      <w:r>
        <w:rPr/>
        <w:t>immense opportunity</w:t>
      </w:r>
      <w:r>
        <w:rPr>
          <w:spacing w:val="-15"/>
        </w:rPr>
        <w:t> </w:t>
      </w:r>
      <w:r>
        <w:rPr>
          <w:spacing w:val="2"/>
        </w:rPr>
        <w:t>to</w:t>
      </w:r>
      <w:r>
        <w:rPr>
          <w:spacing w:val="-6"/>
        </w:rPr>
        <w:t> </w:t>
      </w:r>
      <w:r>
        <w:rPr/>
        <w:t>enhance</w:t>
      </w:r>
      <w:r>
        <w:rPr>
          <w:spacing w:val="-2"/>
        </w:rPr>
        <w:t> </w:t>
      </w:r>
      <w:r>
        <w:rPr/>
        <w:t>both</w:t>
      </w:r>
      <w:r>
        <w:rPr>
          <w:spacing w:val="-11"/>
        </w:rPr>
        <w:t> </w:t>
      </w:r>
      <w:r>
        <w:rPr/>
        <w:t>knowledge</w:t>
      </w:r>
      <w:r>
        <w:rPr>
          <w:spacing w:val="-7"/>
        </w:rPr>
        <w:t> </w:t>
      </w:r>
      <w:r>
        <w:rPr/>
        <w:t>and</w:t>
      </w:r>
      <w:r>
        <w:rPr>
          <w:spacing w:val="-6"/>
        </w:rPr>
        <w:t> </w:t>
      </w:r>
      <w:r>
        <w:rPr/>
        <w:t>experience.</w:t>
      </w:r>
      <w:r>
        <w:rPr>
          <w:spacing w:val="-5"/>
        </w:rPr>
        <w:t> </w:t>
      </w:r>
      <w:r>
        <w:rPr/>
        <w:t>I</w:t>
      </w:r>
      <w:r>
        <w:rPr>
          <w:spacing w:val="-4"/>
        </w:rPr>
        <w:t> </w:t>
      </w:r>
      <w:r>
        <w:rPr>
          <w:spacing w:val="-3"/>
        </w:rPr>
        <w:t>have</w:t>
      </w:r>
      <w:r>
        <w:rPr>
          <w:spacing w:val="-2"/>
        </w:rPr>
        <w:t> </w:t>
      </w:r>
      <w:r>
        <w:rPr/>
        <w:t>made</w:t>
      </w:r>
      <w:r>
        <w:rPr>
          <w:spacing w:val="-2"/>
        </w:rPr>
        <w:t> </w:t>
      </w:r>
      <w:r>
        <w:rPr/>
        <w:t>my</w:t>
      </w:r>
      <w:r>
        <w:rPr>
          <w:spacing w:val="-10"/>
        </w:rPr>
        <w:t> </w:t>
      </w:r>
      <w:r>
        <w:rPr/>
        <w:t>best</w:t>
      </w:r>
      <w:r>
        <w:rPr>
          <w:spacing w:val="-2"/>
        </w:rPr>
        <w:t> </w:t>
      </w:r>
      <w:r>
        <w:rPr/>
        <w:t>effort</w:t>
      </w:r>
      <w:r>
        <w:rPr>
          <w:spacing w:val="-6"/>
        </w:rPr>
        <w:t> </w:t>
      </w:r>
      <w:r>
        <w:rPr/>
        <w:t>to</w:t>
      </w:r>
      <w:r>
        <w:rPr>
          <w:spacing w:val="-1"/>
        </w:rPr>
        <w:t> </w:t>
      </w:r>
      <w:r>
        <w:rPr/>
        <w:t>accomplish the objectives </w:t>
      </w:r>
      <w:r>
        <w:rPr>
          <w:spacing w:val="4"/>
        </w:rPr>
        <w:t>of </w:t>
      </w:r>
      <w:r>
        <w:rPr/>
        <w:t>the report and believe that </w:t>
      </w:r>
      <w:r>
        <w:rPr>
          <w:spacing w:val="-5"/>
        </w:rPr>
        <w:t>it </w:t>
      </w:r>
      <w:r>
        <w:rPr/>
        <w:t>will meet your expectation. While formulating this report,</w:t>
      </w:r>
      <w:r>
        <w:rPr>
          <w:spacing w:val="-14"/>
        </w:rPr>
        <w:t> </w:t>
      </w:r>
      <w:r>
        <w:rPr/>
        <w:t>I</w:t>
      </w:r>
      <w:r>
        <w:rPr>
          <w:spacing w:val="-15"/>
        </w:rPr>
        <w:t> </w:t>
      </w:r>
      <w:r>
        <w:rPr>
          <w:spacing w:val="-3"/>
        </w:rPr>
        <w:t>have</w:t>
      </w:r>
      <w:r>
        <w:rPr>
          <w:spacing w:val="-13"/>
        </w:rPr>
        <w:t> </w:t>
      </w:r>
      <w:r>
        <w:rPr/>
        <w:t>tried</w:t>
      </w:r>
      <w:r>
        <w:rPr>
          <w:spacing w:val="-12"/>
        </w:rPr>
        <w:t> </w:t>
      </w:r>
      <w:r>
        <w:rPr/>
        <w:t>extremely</w:t>
      </w:r>
      <w:r>
        <w:rPr>
          <w:spacing w:val="-20"/>
        </w:rPr>
        <w:t> </w:t>
      </w:r>
      <w:r>
        <w:rPr>
          <w:spacing w:val="2"/>
        </w:rPr>
        <w:t>to</w:t>
      </w:r>
      <w:r>
        <w:rPr>
          <w:spacing w:val="-12"/>
        </w:rPr>
        <w:t> </w:t>
      </w:r>
      <w:r>
        <w:rPr/>
        <w:t>include</w:t>
      </w:r>
      <w:r>
        <w:rPr>
          <w:spacing w:val="-13"/>
        </w:rPr>
        <w:t> </w:t>
      </w:r>
      <w:r>
        <w:rPr/>
        <w:t>all</w:t>
      </w:r>
      <w:r>
        <w:rPr>
          <w:spacing w:val="-20"/>
        </w:rPr>
        <w:t> </w:t>
      </w:r>
      <w:r>
        <w:rPr/>
        <w:t>the</w:t>
      </w:r>
      <w:r>
        <w:rPr>
          <w:spacing w:val="-13"/>
        </w:rPr>
        <w:t> </w:t>
      </w:r>
      <w:r>
        <w:rPr/>
        <w:t>relevant</w:t>
      </w:r>
      <w:r>
        <w:rPr>
          <w:spacing w:val="-7"/>
        </w:rPr>
        <w:t> </w:t>
      </w:r>
      <w:r>
        <w:rPr/>
        <w:t>information</w:t>
      </w:r>
      <w:r>
        <w:rPr>
          <w:spacing w:val="-16"/>
        </w:rPr>
        <w:t> </w:t>
      </w:r>
      <w:r>
        <w:rPr/>
        <w:t>and</w:t>
      </w:r>
      <w:r>
        <w:rPr>
          <w:spacing w:val="-12"/>
        </w:rPr>
        <w:t> </w:t>
      </w:r>
      <w:r>
        <w:rPr/>
        <w:t>analysis</w:t>
      </w:r>
      <w:r>
        <w:rPr>
          <w:spacing w:val="-13"/>
        </w:rPr>
        <w:t> </w:t>
      </w:r>
      <w:r>
        <w:rPr/>
        <w:t>to</w:t>
      </w:r>
      <w:r>
        <w:rPr>
          <w:spacing w:val="-11"/>
        </w:rPr>
        <w:t> </w:t>
      </w:r>
      <w:r>
        <w:rPr/>
        <w:t>make</w:t>
      </w:r>
      <w:r>
        <w:rPr>
          <w:spacing w:val="-13"/>
        </w:rPr>
        <w:t> </w:t>
      </w:r>
      <w:r>
        <w:rPr/>
        <w:t>the</w:t>
      </w:r>
      <w:r>
        <w:rPr>
          <w:spacing w:val="-17"/>
        </w:rPr>
        <w:t> </w:t>
      </w:r>
      <w:r>
        <w:rPr/>
        <w:t>report wide-ranging as well as workable</w:t>
      </w:r>
      <w:r>
        <w:rPr>
          <w:spacing w:val="-1"/>
        </w:rPr>
        <w:t> </w:t>
      </w:r>
      <w:r>
        <w:rPr/>
        <w:t>one.</w:t>
      </w:r>
    </w:p>
    <w:p>
      <w:pPr>
        <w:pStyle w:val="BodyText"/>
        <w:spacing w:line="360" w:lineRule="auto" w:before="1"/>
        <w:ind w:left="340" w:right="2979"/>
        <w:jc w:val="both"/>
      </w:pPr>
      <w:bookmarkStart w:name="I, therefore hope that you will apprecia" w:id="9"/>
      <w:bookmarkEnd w:id="9"/>
      <w:r>
        <w:rPr/>
      </w:r>
      <w:r>
        <w:rPr/>
        <w:t>I, therefore hope that you will appreciate </w:t>
      </w:r>
      <w:r>
        <w:rPr>
          <w:spacing w:val="-5"/>
        </w:rPr>
        <w:t>it </w:t>
      </w:r>
      <w:r>
        <w:rPr/>
        <w:t>by reviewing this report. Yours Sincerely,</w:t>
      </w:r>
    </w:p>
    <w:p>
      <w:pPr>
        <w:pStyle w:val="BodyText"/>
        <w:rPr>
          <w:sz w:val="26"/>
        </w:rPr>
      </w:pPr>
    </w:p>
    <w:p>
      <w:pPr>
        <w:pStyle w:val="BodyText"/>
        <w:rPr>
          <w:sz w:val="26"/>
        </w:rPr>
      </w:pPr>
    </w:p>
    <w:p>
      <w:pPr>
        <w:spacing w:line="360" w:lineRule="auto" w:before="231"/>
        <w:ind w:left="340" w:right="7277" w:firstLine="0"/>
        <w:jc w:val="both"/>
        <w:rPr>
          <w:sz w:val="24"/>
        </w:rPr>
      </w:pPr>
      <w:r>
        <w:rPr>
          <w:sz w:val="24"/>
        </w:rPr>
        <w:t>………………………. </w:t>
      </w:r>
      <w:r>
        <w:rPr>
          <w:b/>
          <w:sz w:val="24"/>
        </w:rPr>
        <w:t>(Md. Maruf Hossain) </w:t>
      </w:r>
      <w:r>
        <w:rPr>
          <w:sz w:val="24"/>
        </w:rPr>
        <w:t>ID: 171-11-382</w:t>
      </w:r>
    </w:p>
    <w:p>
      <w:pPr>
        <w:pStyle w:val="BodyText"/>
        <w:spacing w:line="362" w:lineRule="auto"/>
        <w:ind w:left="340" w:right="7486"/>
      </w:pPr>
      <w:r>
        <w:rPr/>
        <w:t>Program: BBA Major in Finance</w:t>
      </w:r>
    </w:p>
    <w:p>
      <w:pPr>
        <w:pStyle w:val="BodyText"/>
        <w:spacing w:line="360" w:lineRule="auto"/>
        <w:ind w:left="340" w:right="5660"/>
      </w:pPr>
      <w:r>
        <w:rPr/>
        <w:t>Department of Business Administration Daffodil International University</w:t>
      </w:r>
    </w:p>
    <w:p>
      <w:pPr>
        <w:spacing w:after="0" w:line="360" w:lineRule="auto"/>
        <w:sectPr>
          <w:pgSz w:w="12240" w:h="15840"/>
          <w:pgMar w:header="0" w:footer="1281" w:top="1380" w:bottom="1480" w:left="1100" w:right="1300"/>
        </w:sectPr>
      </w:pPr>
    </w:p>
    <w:p>
      <w:pPr>
        <w:pStyle w:val="Heading1"/>
        <w:spacing w:before="59"/>
        <w:ind w:left="2296" w:right="2098" w:firstLine="0"/>
        <w:jc w:val="center"/>
      </w:pPr>
      <w:r>
        <w:rPr/>
        <w:t>Certificate of Approval</w:t>
      </w:r>
    </w:p>
    <w:p>
      <w:pPr>
        <w:pStyle w:val="BodyText"/>
        <w:spacing w:line="360" w:lineRule="auto" w:before="182"/>
        <w:ind w:left="340" w:right="140"/>
        <w:jc w:val="both"/>
      </w:pPr>
      <w:r>
        <w:rPr/>
        <w:t>This </w:t>
      </w:r>
      <w:r>
        <w:rPr>
          <w:spacing w:val="-3"/>
        </w:rPr>
        <w:t>is </w:t>
      </w:r>
      <w:r>
        <w:rPr/>
        <w:t>certifying that Md. Maruf Hossain ID # 171-11-382, BBA (Finance), </w:t>
      </w:r>
      <w:r>
        <w:rPr>
          <w:spacing w:val="-3"/>
        </w:rPr>
        <w:t>is </w:t>
      </w:r>
      <w:r>
        <w:rPr/>
        <w:t>a regular student of Department of Business Administration, Faculty </w:t>
      </w:r>
      <w:r>
        <w:rPr>
          <w:spacing w:val="4"/>
        </w:rPr>
        <w:t>of </w:t>
      </w:r>
      <w:r>
        <w:rPr/>
        <w:t>Business and Entrepreneurship, Daffodil International University. He has successfully completed his thesis on “</w:t>
      </w:r>
      <w:r>
        <w:rPr>
          <w:b/>
        </w:rPr>
        <w:t>Financial Performance Analysis of Trust Bank Limited, Jamuna Bank Limited, Bangladesh Commerce Bank Limited, Premier Bank Limited and City Bank Limited</w:t>
      </w:r>
      <w:r>
        <w:rPr/>
        <w:t>” and has prepared this research under my</w:t>
      </w:r>
      <w:r>
        <w:rPr>
          <w:spacing w:val="-24"/>
        </w:rPr>
        <w:t> </w:t>
      </w:r>
      <w:r>
        <w:rPr/>
        <w:t>direct</w:t>
      </w:r>
      <w:r>
        <w:rPr>
          <w:spacing w:val="-9"/>
        </w:rPr>
        <w:t> </w:t>
      </w:r>
      <w:r>
        <w:rPr/>
        <w:t>supervision.</w:t>
      </w:r>
      <w:r>
        <w:rPr>
          <w:spacing w:val="-12"/>
        </w:rPr>
        <w:t> </w:t>
      </w:r>
      <w:r>
        <w:rPr/>
        <w:t>I</w:t>
      </w:r>
      <w:r>
        <w:rPr>
          <w:spacing w:val="-18"/>
        </w:rPr>
        <w:t> </w:t>
      </w:r>
      <w:r>
        <w:rPr/>
        <w:t>think</w:t>
      </w:r>
      <w:r>
        <w:rPr>
          <w:spacing w:val="-13"/>
        </w:rPr>
        <w:t> </w:t>
      </w:r>
      <w:r>
        <w:rPr/>
        <w:t>that</w:t>
      </w:r>
      <w:r>
        <w:rPr>
          <w:spacing w:val="-19"/>
        </w:rPr>
        <w:t> </w:t>
      </w:r>
      <w:r>
        <w:rPr/>
        <w:t>this</w:t>
      </w:r>
      <w:r>
        <w:rPr>
          <w:spacing w:val="-17"/>
        </w:rPr>
        <w:t> </w:t>
      </w:r>
      <w:r>
        <w:rPr/>
        <w:t>research</w:t>
      </w:r>
      <w:r>
        <w:rPr>
          <w:spacing w:val="-18"/>
        </w:rPr>
        <w:t> </w:t>
      </w:r>
      <w:r>
        <w:rPr/>
        <w:t>paper</w:t>
      </w:r>
      <w:r>
        <w:rPr>
          <w:spacing w:val="-13"/>
        </w:rPr>
        <w:t> </w:t>
      </w:r>
      <w:r>
        <w:rPr>
          <w:spacing w:val="-5"/>
        </w:rPr>
        <w:t>is</w:t>
      </w:r>
      <w:r>
        <w:rPr>
          <w:spacing w:val="-17"/>
        </w:rPr>
        <w:t> </w:t>
      </w:r>
      <w:r>
        <w:rPr/>
        <w:t>worthy</w:t>
      </w:r>
      <w:r>
        <w:rPr>
          <w:spacing w:val="-24"/>
        </w:rPr>
        <w:t> </w:t>
      </w:r>
      <w:r>
        <w:rPr/>
        <w:t>of</w:t>
      </w:r>
      <w:r>
        <w:rPr>
          <w:spacing w:val="-17"/>
        </w:rPr>
        <w:t> </w:t>
      </w:r>
      <w:r>
        <w:rPr/>
        <w:t>fulfilling</w:t>
      </w:r>
      <w:r>
        <w:rPr>
          <w:spacing w:val="-14"/>
        </w:rPr>
        <w:t> </w:t>
      </w:r>
      <w:r>
        <w:rPr/>
        <w:t>the</w:t>
      </w:r>
      <w:r>
        <w:rPr>
          <w:spacing w:val="-15"/>
        </w:rPr>
        <w:t> </w:t>
      </w:r>
      <w:r>
        <w:rPr/>
        <w:t>partial</w:t>
      </w:r>
      <w:r>
        <w:rPr>
          <w:spacing w:val="-23"/>
        </w:rPr>
        <w:t> </w:t>
      </w:r>
      <w:r>
        <w:rPr/>
        <w:t>requirements of BBA program. I </w:t>
      </w:r>
      <w:r>
        <w:rPr>
          <w:spacing w:val="-3"/>
        </w:rPr>
        <w:t>also </w:t>
      </w:r>
      <w:r>
        <w:rPr/>
        <w:t>declare that the study has been prepared for academic purposes only and this paper may not </w:t>
      </w:r>
      <w:r>
        <w:rPr>
          <w:spacing w:val="-3"/>
        </w:rPr>
        <w:t>be </w:t>
      </w:r>
      <w:r>
        <w:rPr/>
        <w:t>used </w:t>
      </w:r>
      <w:r>
        <w:rPr>
          <w:spacing w:val="-3"/>
        </w:rPr>
        <w:t>in </w:t>
      </w:r>
      <w:r>
        <w:rPr/>
        <w:t>actual market scenario. I have gone through the research report and found </w:t>
      </w:r>
      <w:r>
        <w:rPr>
          <w:spacing w:val="-5"/>
        </w:rPr>
        <w:t>it </w:t>
      </w:r>
      <w:r>
        <w:rPr/>
        <w:t>a well written. He has completed the report by</w:t>
      </w:r>
      <w:r>
        <w:rPr>
          <w:spacing w:val="14"/>
        </w:rPr>
        <w:t> </w:t>
      </w:r>
      <w:r>
        <w:rPr/>
        <w:t>himself.</w:t>
      </w:r>
    </w:p>
    <w:p>
      <w:pPr>
        <w:pStyle w:val="BodyText"/>
        <w:spacing w:before="1"/>
        <w:ind w:left="340"/>
        <w:jc w:val="both"/>
      </w:pPr>
      <w:r>
        <w:rPr/>
        <w:t>I wish his every success in life.</w:t>
      </w:r>
    </w:p>
    <w:p>
      <w:pPr>
        <w:pStyle w:val="BodyText"/>
        <w:rPr>
          <w:sz w:val="26"/>
        </w:rPr>
      </w:pPr>
    </w:p>
    <w:p>
      <w:pPr>
        <w:pStyle w:val="BodyText"/>
        <w:rPr>
          <w:sz w:val="26"/>
        </w:rPr>
      </w:pPr>
    </w:p>
    <w:p>
      <w:pPr>
        <w:pStyle w:val="BodyText"/>
        <w:rPr>
          <w:sz w:val="26"/>
        </w:rPr>
      </w:pPr>
    </w:p>
    <w:p>
      <w:pPr>
        <w:pStyle w:val="BodyText"/>
        <w:spacing w:before="3"/>
        <w:rPr>
          <w:sz w:val="38"/>
        </w:rPr>
      </w:pPr>
    </w:p>
    <w:p>
      <w:pPr>
        <w:spacing w:line="360" w:lineRule="auto" w:before="0"/>
        <w:ind w:left="340" w:right="6376" w:firstLine="0"/>
        <w:jc w:val="both"/>
        <w:rPr>
          <w:sz w:val="24"/>
        </w:rPr>
      </w:pPr>
      <w:r>
        <w:rPr>
          <w:sz w:val="24"/>
        </w:rPr>
        <w:t>………………………………… </w:t>
      </w:r>
      <w:r>
        <w:rPr>
          <w:b/>
          <w:sz w:val="24"/>
        </w:rPr>
        <w:t>(Moahmmed Nafeez Al Amin) </w:t>
      </w:r>
      <w:r>
        <w:rPr>
          <w:sz w:val="24"/>
        </w:rPr>
        <w:t>Assistant Professor</w:t>
      </w:r>
    </w:p>
    <w:p>
      <w:pPr>
        <w:pStyle w:val="BodyText"/>
        <w:spacing w:line="360" w:lineRule="auto" w:before="1"/>
        <w:ind w:left="340" w:right="5420"/>
      </w:pPr>
      <w:r>
        <w:rPr/>
        <w:t>Department of Business Administration Faculty of Business and Entrepreneurship</w:t>
      </w:r>
      <w:bookmarkStart w:name="Daffodil International University (1)" w:id="10"/>
      <w:bookmarkEnd w:id="10"/>
      <w:r>
        <w:rPr/>
      </w:r>
      <w:r>
        <w:rPr/>
        <w:t> Daffodil International University</w:t>
      </w:r>
    </w:p>
    <w:p>
      <w:pPr>
        <w:spacing w:after="0" w:line="360" w:lineRule="auto"/>
        <w:sectPr>
          <w:footerReference w:type="default" r:id="rId8"/>
          <w:pgSz w:w="12240" w:h="15840"/>
          <w:pgMar w:footer="1281" w:header="0" w:top="1380" w:bottom="1480" w:left="1100" w:right="1300"/>
          <w:pgNumType w:start="3"/>
        </w:sectPr>
      </w:pPr>
    </w:p>
    <w:p>
      <w:pPr>
        <w:pStyle w:val="Heading1"/>
        <w:spacing w:before="59"/>
        <w:ind w:left="2297" w:right="2090" w:firstLine="0"/>
        <w:jc w:val="center"/>
      </w:pPr>
      <w:r>
        <w:rPr/>
        <w:t>Student’s Declaration</w:t>
      </w:r>
    </w:p>
    <w:p>
      <w:pPr>
        <w:pStyle w:val="BodyText"/>
        <w:spacing w:line="360" w:lineRule="auto" w:before="177"/>
        <w:ind w:left="340" w:right="141"/>
        <w:jc w:val="both"/>
      </w:pPr>
      <w:r>
        <w:rPr/>
        <w:t>I,</w:t>
      </w:r>
      <w:r>
        <w:rPr>
          <w:spacing w:val="-9"/>
        </w:rPr>
        <w:t> </w:t>
      </w:r>
      <w:r>
        <w:rPr/>
        <w:t>Md.</w:t>
      </w:r>
      <w:r>
        <w:rPr>
          <w:spacing w:val="-1"/>
        </w:rPr>
        <w:t> </w:t>
      </w:r>
      <w:r>
        <w:rPr/>
        <w:t>Maruf</w:t>
      </w:r>
      <w:r>
        <w:rPr>
          <w:spacing w:val="-5"/>
        </w:rPr>
        <w:t> </w:t>
      </w:r>
      <w:r>
        <w:rPr/>
        <w:t>Hossain</w:t>
      </w:r>
      <w:r>
        <w:rPr>
          <w:spacing w:val="-2"/>
        </w:rPr>
        <w:t> </w:t>
      </w:r>
      <w:r>
        <w:rPr/>
        <w:t>hereby</w:t>
      </w:r>
      <w:r>
        <w:rPr>
          <w:spacing w:val="-13"/>
        </w:rPr>
        <w:t> </w:t>
      </w:r>
      <w:r>
        <w:rPr/>
        <w:t>declared</w:t>
      </w:r>
      <w:r>
        <w:rPr>
          <w:spacing w:val="-6"/>
        </w:rPr>
        <w:t> </w:t>
      </w:r>
      <w:r>
        <w:rPr/>
        <w:t>that</w:t>
      </w:r>
      <w:r>
        <w:rPr>
          <w:spacing w:val="-16"/>
        </w:rPr>
        <w:t> </w:t>
      </w:r>
      <w:r>
        <w:rPr/>
        <w:t>the</w:t>
      </w:r>
      <w:r>
        <w:rPr>
          <w:spacing w:val="-11"/>
        </w:rPr>
        <w:t> </w:t>
      </w:r>
      <w:r>
        <w:rPr/>
        <w:t>presented</w:t>
      </w:r>
      <w:r>
        <w:rPr>
          <w:spacing w:val="-6"/>
        </w:rPr>
        <w:t> </w:t>
      </w:r>
      <w:r>
        <w:rPr/>
        <w:t>internship</w:t>
      </w:r>
      <w:r>
        <w:rPr>
          <w:spacing w:val="-15"/>
        </w:rPr>
        <w:t> </w:t>
      </w:r>
      <w:r>
        <w:rPr/>
        <w:t>report</w:t>
      </w:r>
      <w:r>
        <w:rPr>
          <w:spacing w:val="-5"/>
        </w:rPr>
        <w:t> </w:t>
      </w:r>
      <w:r>
        <w:rPr/>
        <w:t>“Financial</w:t>
      </w:r>
      <w:r>
        <w:rPr>
          <w:spacing w:val="-7"/>
        </w:rPr>
        <w:t> </w:t>
      </w:r>
      <w:r>
        <w:rPr/>
        <w:t>Performance Analysis of Trust Bank Limited, Jamuna Bank Limited, Bangladesh Commerce Bank Limited, Premier Bank Limited and City Bank Limited” </w:t>
      </w:r>
      <w:r>
        <w:rPr>
          <w:spacing w:val="-3"/>
        </w:rPr>
        <w:t>is </w:t>
      </w:r>
      <w:r>
        <w:rPr/>
        <w:t>uniquely prepared by</w:t>
      </w:r>
      <w:r>
        <w:rPr>
          <w:spacing w:val="2"/>
        </w:rPr>
        <w:t> </w:t>
      </w:r>
      <w:r>
        <w:rPr/>
        <w:t>me.</w:t>
      </w:r>
    </w:p>
    <w:p>
      <w:pPr>
        <w:pStyle w:val="BodyText"/>
        <w:spacing w:line="360" w:lineRule="auto" w:before="2"/>
        <w:ind w:left="340" w:right="140"/>
        <w:jc w:val="both"/>
      </w:pPr>
      <w:r>
        <w:rPr/>
        <w:t>I </w:t>
      </w:r>
      <w:r>
        <w:rPr>
          <w:spacing w:val="-3"/>
        </w:rPr>
        <w:t>also </w:t>
      </w:r>
      <w:r>
        <w:rPr/>
        <w:t>confirm that this thesis report </w:t>
      </w:r>
      <w:r>
        <w:rPr>
          <w:spacing w:val="-5"/>
        </w:rPr>
        <w:t>is </w:t>
      </w:r>
      <w:r>
        <w:rPr/>
        <w:t>only prepared for any academic requirement, not for any other</w:t>
      </w:r>
      <w:r>
        <w:rPr>
          <w:spacing w:val="-3"/>
        </w:rPr>
        <w:t> </w:t>
      </w:r>
      <w:r>
        <w:rPr/>
        <w:t>purpose.</w:t>
      </w:r>
      <w:r>
        <w:rPr>
          <w:spacing w:val="-7"/>
        </w:rPr>
        <w:t> </w:t>
      </w:r>
      <w:r>
        <w:rPr/>
        <w:t>It</w:t>
      </w:r>
      <w:r>
        <w:rPr>
          <w:spacing w:val="-4"/>
        </w:rPr>
        <w:t> </w:t>
      </w:r>
      <w:r>
        <w:rPr/>
        <w:t>has</w:t>
      </w:r>
      <w:r>
        <w:rPr>
          <w:spacing w:val="-7"/>
        </w:rPr>
        <w:t> </w:t>
      </w:r>
      <w:r>
        <w:rPr/>
        <w:t>not been</w:t>
      </w:r>
      <w:r>
        <w:rPr>
          <w:spacing w:val="-10"/>
        </w:rPr>
        <w:t> </w:t>
      </w:r>
      <w:r>
        <w:rPr/>
        <w:t>previously</w:t>
      </w:r>
      <w:r>
        <w:rPr>
          <w:spacing w:val="-9"/>
        </w:rPr>
        <w:t> </w:t>
      </w:r>
      <w:r>
        <w:rPr/>
        <w:t>submitted</w:t>
      </w:r>
      <w:r>
        <w:rPr>
          <w:spacing w:val="-9"/>
        </w:rPr>
        <w:t> </w:t>
      </w:r>
      <w:r>
        <w:rPr/>
        <w:t>to any</w:t>
      </w:r>
      <w:r>
        <w:rPr>
          <w:spacing w:val="-14"/>
        </w:rPr>
        <w:t> </w:t>
      </w:r>
      <w:r>
        <w:rPr/>
        <w:t>other</w:t>
      </w:r>
      <w:r>
        <w:rPr>
          <w:spacing w:val="-3"/>
        </w:rPr>
        <w:t> </w:t>
      </w:r>
      <w:r>
        <w:rPr/>
        <w:t>purpose</w:t>
      </w:r>
      <w:r>
        <w:rPr>
          <w:spacing w:val="-11"/>
        </w:rPr>
        <w:t> </w:t>
      </w:r>
      <w:r>
        <w:rPr/>
        <w:t>or</w:t>
      </w:r>
      <w:r>
        <w:rPr>
          <w:spacing w:val="-8"/>
        </w:rPr>
        <w:t> </w:t>
      </w:r>
      <w:r>
        <w:rPr/>
        <w:t>any</w:t>
      </w:r>
      <w:r>
        <w:rPr>
          <w:spacing w:val="-13"/>
        </w:rPr>
        <w:t> </w:t>
      </w:r>
      <w:r>
        <w:rPr/>
        <w:t>other</w:t>
      </w:r>
      <w:r>
        <w:rPr>
          <w:spacing w:val="-3"/>
        </w:rPr>
        <w:t> </w:t>
      </w:r>
      <w:r>
        <w:rPr/>
        <w:t>university</w:t>
      </w:r>
      <w:r>
        <w:rPr>
          <w:spacing w:val="-14"/>
        </w:rPr>
        <w:t> </w:t>
      </w:r>
      <w:r>
        <w:rPr/>
        <w:t>or organization for an academic</w:t>
      </w:r>
      <w:r>
        <w:rPr>
          <w:spacing w:val="1"/>
        </w:rPr>
        <w:t> </w:t>
      </w:r>
      <w:r>
        <w:rPr/>
        <w:t>qualification.</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8"/>
        <w:rPr>
          <w:sz w:val="21"/>
        </w:rPr>
      </w:pPr>
    </w:p>
    <w:p>
      <w:pPr>
        <w:pStyle w:val="BodyText"/>
        <w:ind w:left="340"/>
      </w:pPr>
      <w:r>
        <w:rPr/>
        <w:t>……………………………….</w:t>
      </w:r>
    </w:p>
    <w:p>
      <w:pPr>
        <w:pStyle w:val="Heading3"/>
        <w:spacing w:before="142"/>
      </w:pPr>
      <w:r>
        <w:rPr/>
        <w:t>(Md. Maruf Hossain)</w:t>
      </w:r>
    </w:p>
    <w:p>
      <w:pPr>
        <w:pStyle w:val="BodyText"/>
        <w:spacing w:before="132"/>
        <w:ind w:left="340"/>
      </w:pPr>
      <w:r>
        <w:rPr/>
        <w:t>ID: 171-11-382</w:t>
      </w:r>
    </w:p>
    <w:p>
      <w:pPr>
        <w:pStyle w:val="BodyText"/>
        <w:spacing w:line="360" w:lineRule="auto" w:before="142"/>
        <w:ind w:left="340" w:right="7486"/>
      </w:pPr>
      <w:r>
        <w:rPr/>
        <w:t>Program: BBA Major in Finance</w:t>
      </w:r>
    </w:p>
    <w:p>
      <w:pPr>
        <w:pStyle w:val="BodyText"/>
        <w:spacing w:line="360" w:lineRule="auto"/>
        <w:ind w:left="340" w:right="5660"/>
      </w:pPr>
      <w:r>
        <w:rPr/>
        <w:t>Department of Business Administration Daffodil International University</w:t>
      </w:r>
    </w:p>
    <w:p>
      <w:pPr>
        <w:spacing w:after="0" w:line="360" w:lineRule="auto"/>
        <w:sectPr>
          <w:footerReference w:type="default" r:id="rId9"/>
          <w:pgSz w:w="12240" w:h="15840"/>
          <w:pgMar w:footer="1201" w:header="0" w:top="1380" w:bottom="1400" w:left="1100" w:right="1300"/>
          <w:pgNumType w:start="4"/>
        </w:sectPr>
      </w:pPr>
    </w:p>
    <w:p>
      <w:pPr>
        <w:pStyle w:val="Heading1"/>
        <w:spacing w:before="59"/>
        <w:ind w:left="2296" w:right="2098" w:firstLine="0"/>
        <w:jc w:val="center"/>
      </w:pPr>
      <w:r>
        <w:rPr/>
        <w:t>Acknowledgement</w:t>
      </w:r>
    </w:p>
    <w:p>
      <w:pPr>
        <w:pStyle w:val="BodyText"/>
        <w:spacing w:line="360" w:lineRule="auto" w:before="177"/>
        <w:ind w:left="340" w:right="129"/>
        <w:jc w:val="both"/>
      </w:pPr>
      <w:r>
        <w:rPr/>
        <w:t>Firstly, I </w:t>
      </w:r>
      <w:r>
        <w:rPr>
          <w:spacing w:val="-3"/>
        </w:rPr>
        <w:t>would like </w:t>
      </w:r>
      <w:r>
        <w:rPr/>
        <w:t>to express </w:t>
      </w:r>
      <w:r>
        <w:rPr>
          <w:spacing w:val="-3"/>
        </w:rPr>
        <w:t>my </w:t>
      </w:r>
      <w:r>
        <w:rPr/>
        <w:t>gratefulness to almighty Allah who has enabled </w:t>
      </w:r>
      <w:r>
        <w:rPr>
          <w:spacing w:val="-5"/>
        </w:rPr>
        <w:t>me </w:t>
      </w:r>
      <w:r>
        <w:rPr/>
        <w:t>to pursue my study. I convey my gratitude to </w:t>
      </w:r>
      <w:r>
        <w:rPr>
          <w:spacing w:val="-3"/>
        </w:rPr>
        <w:t>my </w:t>
      </w:r>
      <w:r>
        <w:rPr/>
        <w:t>honorable supervision, Mr. Mohammed Nafeez Al Amin, Assistant</w:t>
      </w:r>
      <w:r>
        <w:rPr>
          <w:spacing w:val="-4"/>
        </w:rPr>
        <w:t> </w:t>
      </w:r>
      <w:r>
        <w:rPr/>
        <w:t>Professor,</w:t>
      </w:r>
      <w:r>
        <w:rPr>
          <w:spacing w:val="-10"/>
        </w:rPr>
        <w:t> </w:t>
      </w:r>
      <w:r>
        <w:rPr/>
        <w:t>Department</w:t>
      </w:r>
      <w:r>
        <w:rPr>
          <w:spacing w:val="-8"/>
        </w:rPr>
        <w:t> </w:t>
      </w:r>
      <w:r>
        <w:rPr/>
        <w:t>of</w:t>
      </w:r>
      <w:r>
        <w:rPr>
          <w:spacing w:val="-16"/>
        </w:rPr>
        <w:t> </w:t>
      </w:r>
      <w:r>
        <w:rPr/>
        <w:t>Business</w:t>
      </w:r>
      <w:r>
        <w:rPr>
          <w:spacing w:val="-9"/>
        </w:rPr>
        <w:t> </w:t>
      </w:r>
      <w:r>
        <w:rPr/>
        <w:t>Administration,</w:t>
      </w:r>
      <w:r>
        <w:rPr>
          <w:spacing w:val="-7"/>
        </w:rPr>
        <w:t> </w:t>
      </w:r>
      <w:r>
        <w:rPr/>
        <w:t>Daffodil</w:t>
      </w:r>
      <w:r>
        <w:rPr>
          <w:spacing w:val="-16"/>
        </w:rPr>
        <w:t> </w:t>
      </w:r>
      <w:r>
        <w:rPr/>
        <w:t>International</w:t>
      </w:r>
      <w:r>
        <w:rPr>
          <w:spacing w:val="-16"/>
        </w:rPr>
        <w:t> </w:t>
      </w:r>
      <w:r>
        <w:rPr/>
        <w:t>University</w:t>
      </w:r>
      <w:r>
        <w:rPr>
          <w:spacing w:val="-13"/>
        </w:rPr>
        <w:t> </w:t>
      </w:r>
      <w:r>
        <w:rPr/>
        <w:t>for his guidance and co-operation, which helped </w:t>
      </w:r>
      <w:r>
        <w:rPr>
          <w:spacing w:val="-3"/>
        </w:rPr>
        <w:t>me </w:t>
      </w:r>
      <w:r>
        <w:rPr/>
        <w:t>immensely </w:t>
      </w:r>
      <w:r>
        <w:rPr>
          <w:spacing w:val="2"/>
        </w:rPr>
        <w:t>to </w:t>
      </w:r>
      <w:r>
        <w:rPr/>
        <w:t>prepare this report. </w:t>
      </w:r>
      <w:r>
        <w:rPr>
          <w:spacing w:val="-3"/>
        </w:rPr>
        <w:t>At </w:t>
      </w:r>
      <w:r>
        <w:rPr/>
        <w:t>last, </w:t>
      </w:r>
      <w:r>
        <w:rPr>
          <w:spacing w:val="5"/>
        </w:rPr>
        <w:t>my </w:t>
      </w:r>
      <w:r>
        <w:rPr/>
        <w:t>sincere apology goes to the reader for </w:t>
      </w:r>
      <w:r>
        <w:rPr>
          <w:spacing w:val="-3"/>
        </w:rPr>
        <w:t>my </w:t>
      </w:r>
      <w:r>
        <w:rPr/>
        <w:t>conceptual and printing mistake, </w:t>
      </w:r>
      <w:r>
        <w:rPr>
          <w:spacing w:val="-3"/>
        </w:rPr>
        <w:t>if </w:t>
      </w:r>
      <w:r>
        <w:rPr/>
        <w:t>there </w:t>
      </w:r>
      <w:r>
        <w:rPr>
          <w:spacing w:val="-5"/>
        </w:rPr>
        <w:t>is</w:t>
      </w:r>
      <w:r>
        <w:rPr>
          <w:spacing w:val="-2"/>
        </w:rPr>
        <w:t> </w:t>
      </w:r>
      <w:r>
        <w:rPr/>
        <w:t>any.</w:t>
      </w:r>
    </w:p>
    <w:p>
      <w:pPr>
        <w:spacing w:after="0" w:line="360" w:lineRule="auto"/>
        <w:jc w:val="both"/>
        <w:sectPr>
          <w:pgSz w:w="12240" w:h="15840"/>
          <w:pgMar w:header="0" w:footer="1201" w:top="1380" w:bottom="1480" w:left="1100" w:right="1300"/>
        </w:sectPr>
      </w:pPr>
    </w:p>
    <w:p>
      <w:pPr>
        <w:pStyle w:val="Heading1"/>
        <w:spacing w:before="59"/>
        <w:ind w:left="2297" w:right="2098" w:firstLine="0"/>
        <w:jc w:val="center"/>
      </w:pPr>
      <w:r>
        <w:rPr/>
        <w:t>Executive Summary</w:t>
      </w:r>
    </w:p>
    <w:p>
      <w:pPr>
        <w:pStyle w:val="BodyText"/>
        <w:spacing w:line="360" w:lineRule="auto" w:before="177"/>
        <w:ind w:left="340" w:right="135"/>
        <w:jc w:val="both"/>
      </w:pPr>
      <w:r>
        <w:rPr/>
        <w:t>Financial</w:t>
      </w:r>
      <w:r>
        <w:rPr>
          <w:spacing w:val="-26"/>
        </w:rPr>
        <w:t> </w:t>
      </w:r>
      <w:r>
        <w:rPr/>
        <w:t>analysis</w:t>
      </w:r>
      <w:r>
        <w:rPr>
          <w:spacing w:val="-15"/>
        </w:rPr>
        <w:t> </w:t>
      </w:r>
      <w:r>
        <w:rPr>
          <w:spacing w:val="-3"/>
        </w:rPr>
        <w:t>is</w:t>
      </w:r>
      <w:r>
        <w:rPr>
          <w:spacing w:val="-20"/>
        </w:rPr>
        <w:t> </w:t>
      </w:r>
      <w:r>
        <w:rPr/>
        <w:t>the</w:t>
      </w:r>
      <w:r>
        <w:rPr>
          <w:spacing w:val="-23"/>
        </w:rPr>
        <w:t> </w:t>
      </w:r>
      <w:r>
        <w:rPr/>
        <w:t>process</w:t>
      </w:r>
      <w:r>
        <w:rPr>
          <w:spacing w:val="-25"/>
        </w:rPr>
        <w:t> </w:t>
      </w:r>
      <w:r>
        <w:rPr/>
        <w:t>of</w:t>
      </w:r>
      <w:r>
        <w:rPr>
          <w:spacing w:val="-29"/>
        </w:rPr>
        <w:t> </w:t>
      </w:r>
      <w:r>
        <w:rPr/>
        <w:t>evaluate</w:t>
      </w:r>
      <w:r>
        <w:rPr>
          <w:spacing w:val="-18"/>
        </w:rPr>
        <w:t> </w:t>
      </w:r>
      <w:r>
        <w:rPr/>
        <w:t>the</w:t>
      </w:r>
      <w:r>
        <w:rPr>
          <w:spacing w:val="-23"/>
        </w:rPr>
        <w:t> </w:t>
      </w:r>
      <w:r>
        <w:rPr/>
        <w:t>financial</w:t>
      </w:r>
      <w:r>
        <w:rPr>
          <w:spacing w:val="-22"/>
        </w:rPr>
        <w:t> </w:t>
      </w:r>
      <w:r>
        <w:rPr/>
        <w:t>health</w:t>
      </w:r>
      <w:r>
        <w:rPr>
          <w:spacing w:val="-21"/>
        </w:rPr>
        <w:t> </w:t>
      </w:r>
      <w:r>
        <w:rPr/>
        <w:t>of</w:t>
      </w:r>
      <w:r>
        <w:rPr>
          <w:spacing w:val="-31"/>
        </w:rPr>
        <w:t> </w:t>
      </w:r>
      <w:r>
        <w:rPr/>
        <w:t>an</w:t>
      </w:r>
      <w:r>
        <w:rPr>
          <w:spacing w:val="-22"/>
        </w:rPr>
        <w:t> </w:t>
      </w:r>
      <w:r>
        <w:rPr/>
        <w:t>organization</w:t>
      </w:r>
      <w:r>
        <w:rPr>
          <w:spacing w:val="-17"/>
        </w:rPr>
        <w:t> </w:t>
      </w:r>
      <w:r>
        <w:rPr>
          <w:spacing w:val="3"/>
        </w:rPr>
        <w:t>byusing</w:t>
      </w:r>
      <w:r>
        <w:rPr>
          <w:spacing w:val="-13"/>
        </w:rPr>
        <w:t> </w:t>
      </w:r>
      <w:r>
        <w:rPr/>
        <w:t>different mathematical</w:t>
      </w:r>
      <w:r>
        <w:rPr>
          <w:spacing w:val="-21"/>
        </w:rPr>
        <w:t> </w:t>
      </w:r>
      <w:r>
        <w:rPr/>
        <w:t>and</w:t>
      </w:r>
      <w:r>
        <w:rPr>
          <w:spacing w:val="-13"/>
        </w:rPr>
        <w:t> </w:t>
      </w:r>
      <w:r>
        <w:rPr/>
        <w:t>logical</w:t>
      </w:r>
      <w:r>
        <w:rPr>
          <w:spacing w:val="-25"/>
        </w:rPr>
        <w:t> </w:t>
      </w:r>
      <w:r>
        <w:rPr/>
        <w:t>tools.</w:t>
      </w:r>
      <w:r>
        <w:rPr>
          <w:spacing w:val="-14"/>
        </w:rPr>
        <w:t> </w:t>
      </w:r>
      <w:r>
        <w:rPr/>
        <w:t>Financial</w:t>
      </w:r>
      <w:r>
        <w:rPr>
          <w:spacing w:val="-21"/>
        </w:rPr>
        <w:t> </w:t>
      </w:r>
      <w:r>
        <w:rPr/>
        <w:t>analysis</w:t>
      </w:r>
      <w:r>
        <w:rPr>
          <w:spacing w:val="-19"/>
        </w:rPr>
        <w:t> </w:t>
      </w:r>
      <w:r>
        <w:rPr/>
        <w:t>also</w:t>
      </w:r>
      <w:r>
        <w:rPr>
          <w:spacing w:val="-12"/>
        </w:rPr>
        <w:t> </w:t>
      </w:r>
      <w:r>
        <w:rPr/>
        <w:t>represents</w:t>
      </w:r>
      <w:r>
        <w:rPr>
          <w:spacing w:val="-19"/>
        </w:rPr>
        <w:t> </w:t>
      </w:r>
      <w:r>
        <w:rPr/>
        <w:t>the</w:t>
      </w:r>
      <w:r>
        <w:rPr>
          <w:spacing w:val="-17"/>
        </w:rPr>
        <w:t> </w:t>
      </w:r>
      <w:r>
        <w:rPr/>
        <w:t>overall</w:t>
      </w:r>
      <w:r>
        <w:rPr>
          <w:spacing w:val="-20"/>
        </w:rPr>
        <w:t> </w:t>
      </w:r>
      <w:r>
        <w:rPr/>
        <w:t>financial</w:t>
      </w:r>
      <w:r>
        <w:rPr>
          <w:spacing w:val="-26"/>
        </w:rPr>
        <w:t> </w:t>
      </w:r>
      <w:r>
        <w:rPr/>
        <w:t>performance of an institution. It </w:t>
      </w:r>
      <w:r>
        <w:rPr>
          <w:spacing w:val="-5"/>
        </w:rPr>
        <w:t>is </w:t>
      </w:r>
      <w:r>
        <w:rPr/>
        <w:t>helpful for evaluate the financial condition of the organization and making decision for business operation. I use ratio analysis as the </w:t>
      </w:r>
      <w:r>
        <w:rPr>
          <w:spacing w:val="-3"/>
        </w:rPr>
        <w:t>main </w:t>
      </w:r>
      <w:r>
        <w:rPr/>
        <w:t>tools for performing the financial analysis for </w:t>
      </w:r>
      <w:r>
        <w:rPr>
          <w:spacing w:val="-3"/>
        </w:rPr>
        <w:t>my </w:t>
      </w:r>
      <w:r>
        <w:rPr/>
        <w:t>report. The ratio analysis gives the summarized overview to the investor. So the investor tries to concentrate on different financial ratios to get an overall overview of the organization.</w:t>
      </w:r>
      <w:r>
        <w:rPr>
          <w:spacing w:val="-5"/>
        </w:rPr>
        <w:t> </w:t>
      </w:r>
      <w:r>
        <w:rPr/>
        <w:t>The</w:t>
      </w:r>
      <w:r>
        <w:rPr>
          <w:spacing w:val="-7"/>
        </w:rPr>
        <w:t> </w:t>
      </w:r>
      <w:r>
        <w:rPr/>
        <w:t>ratios</w:t>
      </w:r>
      <w:r>
        <w:rPr>
          <w:spacing w:val="-8"/>
        </w:rPr>
        <w:t> </w:t>
      </w:r>
      <w:r>
        <w:rPr/>
        <w:t>analysis</w:t>
      </w:r>
      <w:r>
        <w:rPr>
          <w:spacing w:val="-3"/>
        </w:rPr>
        <w:t> </w:t>
      </w:r>
      <w:r>
        <w:rPr/>
        <w:t>not</w:t>
      </w:r>
      <w:r>
        <w:rPr>
          <w:spacing w:val="-10"/>
        </w:rPr>
        <w:t> </w:t>
      </w:r>
      <w:r>
        <w:rPr/>
        <w:t>only</w:t>
      </w:r>
      <w:r>
        <w:rPr>
          <w:spacing w:val="-6"/>
        </w:rPr>
        <w:t> </w:t>
      </w:r>
      <w:r>
        <w:rPr/>
        <w:t>help</w:t>
      </w:r>
      <w:r>
        <w:rPr>
          <w:spacing w:val="-6"/>
        </w:rPr>
        <w:t> </w:t>
      </w:r>
      <w:r>
        <w:rPr/>
        <w:t>to</w:t>
      </w:r>
      <w:r>
        <w:rPr>
          <w:spacing w:val="-1"/>
        </w:rPr>
        <w:t> </w:t>
      </w:r>
      <w:r>
        <w:rPr/>
        <w:t>decision</w:t>
      </w:r>
      <w:r>
        <w:rPr>
          <w:spacing w:val="-6"/>
        </w:rPr>
        <w:t> </w:t>
      </w:r>
      <w:r>
        <w:rPr>
          <w:spacing w:val="-2"/>
        </w:rPr>
        <w:t>making</w:t>
      </w:r>
      <w:r>
        <w:rPr>
          <w:spacing w:val="-6"/>
        </w:rPr>
        <w:t> </w:t>
      </w:r>
      <w:r>
        <w:rPr/>
        <w:t>process</w:t>
      </w:r>
      <w:r>
        <w:rPr>
          <w:spacing w:val="-8"/>
        </w:rPr>
        <w:t> </w:t>
      </w:r>
      <w:r>
        <w:rPr/>
        <w:t>but</w:t>
      </w:r>
      <w:r>
        <w:rPr>
          <w:spacing w:val="-2"/>
        </w:rPr>
        <w:t> </w:t>
      </w:r>
      <w:r>
        <w:rPr>
          <w:spacing w:val="-3"/>
        </w:rPr>
        <w:t>also</w:t>
      </w:r>
      <w:r>
        <w:rPr>
          <w:spacing w:val="-1"/>
        </w:rPr>
        <w:t> </w:t>
      </w:r>
      <w:r>
        <w:rPr/>
        <w:t>emphasized</w:t>
      </w:r>
      <w:r>
        <w:rPr>
          <w:spacing w:val="-6"/>
        </w:rPr>
        <w:t> </w:t>
      </w:r>
      <w:r>
        <w:rPr/>
        <w:t>on risk</w:t>
      </w:r>
      <w:r>
        <w:rPr>
          <w:spacing w:val="-9"/>
        </w:rPr>
        <w:t> </w:t>
      </w:r>
      <w:r>
        <w:rPr/>
        <w:t>avoiding</w:t>
      </w:r>
      <w:r>
        <w:rPr>
          <w:spacing w:val="-9"/>
        </w:rPr>
        <w:t> </w:t>
      </w:r>
      <w:r>
        <w:rPr/>
        <w:t>and</w:t>
      </w:r>
      <w:r>
        <w:rPr>
          <w:spacing w:val="-9"/>
        </w:rPr>
        <w:t> </w:t>
      </w:r>
      <w:r>
        <w:rPr/>
        <w:t>profit</w:t>
      </w:r>
      <w:r>
        <w:rPr>
          <w:spacing w:val="-5"/>
        </w:rPr>
        <w:t> </w:t>
      </w:r>
      <w:r>
        <w:rPr/>
        <w:t>raising</w:t>
      </w:r>
      <w:r>
        <w:rPr>
          <w:spacing w:val="-8"/>
        </w:rPr>
        <w:t> </w:t>
      </w:r>
      <w:r>
        <w:rPr/>
        <w:t>related</w:t>
      </w:r>
      <w:r>
        <w:rPr>
          <w:spacing w:val="-9"/>
        </w:rPr>
        <w:t> </w:t>
      </w:r>
      <w:r>
        <w:rPr/>
        <w:t>factors.</w:t>
      </w:r>
      <w:r>
        <w:rPr>
          <w:spacing w:val="-16"/>
        </w:rPr>
        <w:t> </w:t>
      </w:r>
      <w:r>
        <w:rPr/>
        <w:t>To</w:t>
      </w:r>
      <w:r>
        <w:rPr>
          <w:spacing w:val="-4"/>
        </w:rPr>
        <w:t> </w:t>
      </w:r>
      <w:r>
        <w:rPr/>
        <w:t>calculate</w:t>
      </w:r>
      <w:r>
        <w:rPr>
          <w:spacing w:val="-14"/>
        </w:rPr>
        <w:t> </w:t>
      </w:r>
      <w:r>
        <w:rPr/>
        <w:t>this</w:t>
      </w:r>
      <w:r>
        <w:rPr>
          <w:spacing w:val="-11"/>
        </w:rPr>
        <w:t> </w:t>
      </w:r>
      <w:r>
        <w:rPr/>
        <w:t>ratio,</w:t>
      </w:r>
      <w:r>
        <w:rPr>
          <w:spacing w:val="-3"/>
        </w:rPr>
        <w:t> </w:t>
      </w:r>
      <w:r>
        <w:rPr/>
        <w:t>I</w:t>
      </w:r>
      <w:r>
        <w:rPr>
          <w:spacing w:val="-12"/>
        </w:rPr>
        <w:t> </w:t>
      </w:r>
      <w:r>
        <w:rPr/>
        <w:t>need</w:t>
      </w:r>
      <w:r>
        <w:rPr>
          <w:spacing w:val="-13"/>
        </w:rPr>
        <w:t> </w:t>
      </w:r>
      <w:r>
        <w:rPr/>
        <w:t>to</w:t>
      </w:r>
      <w:r>
        <w:rPr>
          <w:spacing w:val="-5"/>
        </w:rPr>
        <w:t> </w:t>
      </w:r>
      <w:r>
        <w:rPr/>
        <w:t>collect</w:t>
      </w:r>
      <w:r>
        <w:rPr>
          <w:spacing w:val="-4"/>
        </w:rPr>
        <w:t> </w:t>
      </w:r>
      <w:r>
        <w:rPr/>
        <w:t>quantitative data from authentic source such as bank trading activity and other sources. Financial statement Analysis involves a comparison of a firm’s performance with that of other firms </w:t>
      </w:r>
      <w:r>
        <w:rPr>
          <w:spacing w:val="-3"/>
        </w:rPr>
        <w:t>in </w:t>
      </w:r>
      <w:r>
        <w:rPr/>
        <w:t>the same line of business, which usually </w:t>
      </w:r>
      <w:r>
        <w:rPr>
          <w:spacing w:val="-3"/>
        </w:rPr>
        <w:t>is </w:t>
      </w:r>
      <w:r>
        <w:rPr/>
        <w:t>identified by the firm’s industry Classification. I prepare </w:t>
      </w:r>
      <w:r>
        <w:rPr>
          <w:spacing w:val="-3"/>
        </w:rPr>
        <w:t>my </w:t>
      </w:r>
      <w:r>
        <w:rPr/>
        <w:t>report on</w:t>
      </w:r>
      <w:r>
        <w:rPr>
          <w:spacing w:val="-19"/>
        </w:rPr>
        <w:t> </w:t>
      </w:r>
      <w:r>
        <w:rPr/>
        <w:t>the</w:t>
      </w:r>
      <w:r>
        <w:rPr>
          <w:spacing w:val="-14"/>
        </w:rPr>
        <w:t> </w:t>
      </w:r>
      <w:r>
        <w:rPr/>
        <w:t>basis</w:t>
      </w:r>
      <w:r>
        <w:rPr>
          <w:spacing w:val="-11"/>
        </w:rPr>
        <w:t> </w:t>
      </w:r>
      <w:r>
        <w:rPr/>
        <w:t>of</w:t>
      </w:r>
      <w:r>
        <w:rPr>
          <w:spacing w:val="-21"/>
        </w:rPr>
        <w:t> </w:t>
      </w:r>
      <w:r>
        <w:rPr/>
        <w:t>this</w:t>
      </w:r>
      <w:r>
        <w:rPr>
          <w:spacing w:val="-15"/>
        </w:rPr>
        <w:t> </w:t>
      </w:r>
      <w:r>
        <w:rPr/>
        <w:t>ratio</w:t>
      </w:r>
      <w:r>
        <w:rPr>
          <w:spacing w:val="-4"/>
        </w:rPr>
        <w:t> </w:t>
      </w:r>
      <w:r>
        <w:rPr/>
        <w:t>analysis</w:t>
      </w:r>
      <w:r>
        <w:rPr>
          <w:spacing w:val="-10"/>
        </w:rPr>
        <w:t> </w:t>
      </w:r>
      <w:r>
        <w:rPr/>
        <w:t>and</w:t>
      </w:r>
      <w:r>
        <w:rPr>
          <w:spacing w:val="-10"/>
        </w:rPr>
        <w:t> </w:t>
      </w:r>
      <w:r>
        <w:rPr/>
        <w:t>I</w:t>
      </w:r>
      <w:r>
        <w:rPr>
          <w:spacing w:val="-12"/>
        </w:rPr>
        <w:t> </w:t>
      </w:r>
      <w:r>
        <w:rPr>
          <w:spacing w:val="-3"/>
        </w:rPr>
        <w:t>also</w:t>
      </w:r>
      <w:r>
        <w:rPr>
          <w:spacing w:val="-5"/>
        </w:rPr>
        <w:t> </w:t>
      </w:r>
      <w:r>
        <w:rPr/>
        <w:t>used</w:t>
      </w:r>
      <w:r>
        <w:rPr>
          <w:spacing w:val="-9"/>
        </w:rPr>
        <w:t> </w:t>
      </w:r>
      <w:r>
        <w:rPr>
          <w:spacing w:val="-5"/>
        </w:rPr>
        <w:t>it</w:t>
      </w:r>
      <w:r>
        <w:rPr>
          <w:spacing w:val="-3"/>
        </w:rPr>
        <w:t> </w:t>
      </w:r>
      <w:r>
        <w:rPr/>
        <w:t>to</w:t>
      </w:r>
      <w:r>
        <w:rPr>
          <w:spacing w:val="-10"/>
        </w:rPr>
        <w:t> </w:t>
      </w:r>
      <w:r>
        <w:rPr/>
        <w:t>determine</w:t>
      </w:r>
      <w:r>
        <w:rPr>
          <w:spacing w:val="-13"/>
        </w:rPr>
        <w:t> </w:t>
      </w:r>
      <w:r>
        <w:rPr/>
        <w:t>the</w:t>
      </w:r>
      <w:r>
        <w:rPr>
          <w:spacing w:val="-10"/>
        </w:rPr>
        <w:t> </w:t>
      </w:r>
      <w:r>
        <w:rPr/>
        <w:t>firm’s</w:t>
      </w:r>
      <w:r>
        <w:rPr>
          <w:spacing w:val="-10"/>
        </w:rPr>
        <w:t> </w:t>
      </w:r>
      <w:r>
        <w:rPr/>
        <w:t>financial</w:t>
      </w:r>
      <w:r>
        <w:rPr>
          <w:spacing w:val="-9"/>
        </w:rPr>
        <w:t> </w:t>
      </w:r>
      <w:r>
        <w:rPr/>
        <w:t>position.</w:t>
      </w:r>
    </w:p>
    <w:p>
      <w:pPr>
        <w:pStyle w:val="BodyText"/>
        <w:spacing w:line="360" w:lineRule="auto" w:before="2"/>
        <w:ind w:left="340" w:right="130"/>
        <w:jc w:val="both"/>
      </w:pPr>
      <w:r>
        <w:rPr/>
        <w:t>The</w:t>
      </w:r>
      <w:r>
        <w:rPr>
          <w:spacing w:val="-3"/>
        </w:rPr>
        <w:t> </w:t>
      </w:r>
      <w:r>
        <w:rPr/>
        <w:t>main</w:t>
      </w:r>
      <w:r>
        <w:rPr>
          <w:spacing w:val="-6"/>
        </w:rPr>
        <w:t> </w:t>
      </w:r>
      <w:r>
        <w:rPr/>
        <w:t>objectives</w:t>
      </w:r>
      <w:r>
        <w:rPr>
          <w:spacing w:val="-7"/>
        </w:rPr>
        <w:t> </w:t>
      </w:r>
      <w:r>
        <w:rPr>
          <w:spacing w:val="4"/>
        </w:rPr>
        <w:t>of</w:t>
      </w:r>
      <w:r>
        <w:rPr>
          <w:spacing w:val="-14"/>
        </w:rPr>
        <w:t> </w:t>
      </w:r>
      <w:r>
        <w:rPr/>
        <w:t>report</w:t>
      </w:r>
      <w:r>
        <w:rPr>
          <w:spacing w:val="-1"/>
        </w:rPr>
        <w:t> </w:t>
      </w:r>
      <w:r>
        <w:rPr/>
        <w:t>are</w:t>
      </w:r>
      <w:r>
        <w:rPr>
          <w:spacing w:val="-12"/>
        </w:rPr>
        <w:t> </w:t>
      </w:r>
      <w:r>
        <w:rPr/>
        <w:t>to</w:t>
      </w:r>
      <w:r>
        <w:rPr>
          <w:spacing w:val="-1"/>
        </w:rPr>
        <w:t> </w:t>
      </w:r>
      <w:r>
        <w:rPr>
          <w:spacing w:val="-3"/>
        </w:rPr>
        <w:t>find</w:t>
      </w:r>
      <w:r>
        <w:rPr>
          <w:spacing w:val="-6"/>
        </w:rPr>
        <w:t> </w:t>
      </w:r>
      <w:r>
        <w:rPr/>
        <w:t>out</w:t>
      </w:r>
      <w:r>
        <w:rPr>
          <w:spacing w:val="-1"/>
        </w:rPr>
        <w:t> </w:t>
      </w:r>
      <w:r>
        <w:rPr/>
        <w:t>Financial</w:t>
      </w:r>
      <w:r>
        <w:rPr>
          <w:spacing w:val="-10"/>
        </w:rPr>
        <w:t> </w:t>
      </w:r>
      <w:r>
        <w:rPr/>
        <w:t>Statement</w:t>
      </w:r>
      <w:r>
        <w:rPr>
          <w:spacing w:val="-1"/>
        </w:rPr>
        <w:t> </w:t>
      </w:r>
      <w:r>
        <w:rPr/>
        <w:t>Analysis</w:t>
      </w:r>
      <w:r>
        <w:rPr>
          <w:spacing w:val="-8"/>
        </w:rPr>
        <w:t> </w:t>
      </w:r>
      <w:r>
        <w:rPr>
          <w:spacing w:val="4"/>
        </w:rPr>
        <w:t>of</w:t>
      </w:r>
      <w:r>
        <w:rPr>
          <w:spacing w:val="-4"/>
        </w:rPr>
        <w:t> </w:t>
      </w:r>
      <w:r>
        <w:rPr/>
        <w:t>Trust</w:t>
      </w:r>
      <w:r>
        <w:rPr>
          <w:spacing w:val="-1"/>
        </w:rPr>
        <w:t> </w:t>
      </w:r>
      <w:r>
        <w:rPr/>
        <w:t>Bank</w:t>
      </w:r>
      <w:r>
        <w:rPr>
          <w:spacing w:val="-6"/>
        </w:rPr>
        <w:t> </w:t>
      </w:r>
      <w:r>
        <w:rPr/>
        <w:t>Limited, Jamuna Bank Limited, Bangladesh Commerce Bank Limited, Premier Bank Limited and City Bank</w:t>
      </w:r>
      <w:r>
        <w:rPr>
          <w:spacing w:val="1"/>
        </w:rPr>
        <w:t> </w:t>
      </w:r>
      <w:r>
        <w:rPr/>
        <w:t>Limited.</w:t>
      </w:r>
    </w:p>
    <w:p>
      <w:pPr>
        <w:pStyle w:val="BodyText"/>
        <w:spacing w:line="360" w:lineRule="auto" w:before="2"/>
        <w:ind w:left="340"/>
      </w:pPr>
      <w:r>
        <w:rPr/>
        <w:t>The report is divided into five chapters. First Chapter contains the introductory part of the report which implies introduction, background, origin, objectives, scope, methodology and limitations. Second chapter includes the organizational overview of Trust Bank Limited, Jamuna Bank Limited, Bangladesh Commerce Bank Limited, Premier Bank Limited and City Bank Limited.</w:t>
      </w:r>
    </w:p>
    <w:p>
      <w:pPr>
        <w:pStyle w:val="BodyText"/>
        <w:spacing w:line="360" w:lineRule="auto"/>
        <w:ind w:left="340"/>
      </w:pPr>
      <w:r>
        <w:rPr/>
        <w:t>Third</w:t>
      </w:r>
      <w:r>
        <w:rPr>
          <w:spacing w:val="-17"/>
        </w:rPr>
        <w:t> </w:t>
      </w:r>
      <w:r>
        <w:rPr/>
        <w:t>chapter</w:t>
      </w:r>
      <w:r>
        <w:rPr>
          <w:spacing w:val="-16"/>
        </w:rPr>
        <w:t> </w:t>
      </w:r>
      <w:r>
        <w:rPr/>
        <w:t>consists</w:t>
      </w:r>
      <w:r>
        <w:rPr>
          <w:spacing w:val="-19"/>
        </w:rPr>
        <w:t> </w:t>
      </w:r>
      <w:r>
        <w:rPr/>
        <w:t>Theoretical</w:t>
      </w:r>
      <w:r>
        <w:rPr>
          <w:spacing w:val="-17"/>
        </w:rPr>
        <w:t> </w:t>
      </w:r>
      <w:r>
        <w:rPr/>
        <w:t>Aspects.</w:t>
      </w:r>
      <w:r>
        <w:rPr>
          <w:spacing w:val="-15"/>
        </w:rPr>
        <w:t> </w:t>
      </w:r>
      <w:r>
        <w:rPr/>
        <w:t>Financial</w:t>
      </w:r>
      <w:r>
        <w:rPr>
          <w:spacing w:val="-26"/>
        </w:rPr>
        <w:t> </w:t>
      </w:r>
      <w:r>
        <w:rPr/>
        <w:t>performance</w:t>
      </w:r>
      <w:r>
        <w:rPr>
          <w:spacing w:val="-17"/>
        </w:rPr>
        <w:t> </w:t>
      </w:r>
      <w:r>
        <w:rPr/>
        <w:t>analysis,</w:t>
      </w:r>
      <w:r>
        <w:rPr>
          <w:spacing w:val="-15"/>
        </w:rPr>
        <w:t> </w:t>
      </w:r>
      <w:r>
        <w:rPr/>
        <w:t>Balance</w:t>
      </w:r>
      <w:r>
        <w:rPr>
          <w:spacing w:val="-18"/>
        </w:rPr>
        <w:t> </w:t>
      </w:r>
      <w:r>
        <w:rPr/>
        <w:t>sheet,</w:t>
      </w:r>
      <w:r>
        <w:rPr>
          <w:spacing w:val="-19"/>
        </w:rPr>
        <w:t> </w:t>
      </w:r>
      <w:r>
        <w:rPr/>
        <w:t>Income statement, </w:t>
      </w:r>
      <w:r>
        <w:rPr>
          <w:spacing w:val="-3"/>
        </w:rPr>
        <w:t>Ratio </w:t>
      </w:r>
      <w:r>
        <w:rPr/>
        <w:t>Analysis</w:t>
      </w:r>
      <w:r>
        <w:rPr>
          <w:spacing w:val="12"/>
        </w:rPr>
        <w:t> </w:t>
      </w:r>
      <w:r>
        <w:rPr/>
        <w:t>etc.</w:t>
      </w:r>
    </w:p>
    <w:p>
      <w:pPr>
        <w:pStyle w:val="BodyText"/>
        <w:spacing w:line="360" w:lineRule="auto"/>
        <w:ind w:left="340"/>
      </w:pPr>
      <w:r>
        <w:rPr/>
        <w:t>Four</w:t>
      </w:r>
      <w:r>
        <w:rPr>
          <w:spacing w:val="-15"/>
        </w:rPr>
        <w:t> </w:t>
      </w:r>
      <w:r>
        <w:rPr/>
        <w:t>chapters</w:t>
      </w:r>
      <w:r>
        <w:rPr>
          <w:spacing w:val="-18"/>
        </w:rPr>
        <w:t> </w:t>
      </w:r>
      <w:r>
        <w:rPr/>
        <w:t>consists</w:t>
      </w:r>
      <w:r>
        <w:rPr>
          <w:spacing w:val="-18"/>
        </w:rPr>
        <w:t> </w:t>
      </w:r>
      <w:r>
        <w:rPr/>
        <w:t>Financial</w:t>
      </w:r>
      <w:r>
        <w:rPr>
          <w:spacing w:val="-25"/>
        </w:rPr>
        <w:t> </w:t>
      </w:r>
      <w:r>
        <w:rPr/>
        <w:t>Statement</w:t>
      </w:r>
      <w:r>
        <w:rPr>
          <w:spacing w:val="-10"/>
        </w:rPr>
        <w:t> </w:t>
      </w:r>
      <w:r>
        <w:rPr/>
        <w:t>Analysis</w:t>
      </w:r>
      <w:r>
        <w:rPr>
          <w:spacing w:val="-17"/>
        </w:rPr>
        <w:t> </w:t>
      </w:r>
      <w:r>
        <w:rPr/>
        <w:t>of</w:t>
      </w:r>
      <w:r>
        <w:rPr>
          <w:spacing w:val="-17"/>
        </w:rPr>
        <w:t> </w:t>
      </w:r>
      <w:r>
        <w:rPr/>
        <w:t>Trust</w:t>
      </w:r>
      <w:r>
        <w:rPr>
          <w:spacing w:val="-10"/>
        </w:rPr>
        <w:t> </w:t>
      </w:r>
      <w:r>
        <w:rPr/>
        <w:t>Bank</w:t>
      </w:r>
      <w:r>
        <w:rPr>
          <w:spacing w:val="-16"/>
        </w:rPr>
        <w:t> </w:t>
      </w:r>
      <w:r>
        <w:rPr/>
        <w:t>Limited,</w:t>
      </w:r>
      <w:r>
        <w:rPr>
          <w:spacing w:val="-13"/>
        </w:rPr>
        <w:t> </w:t>
      </w:r>
      <w:r>
        <w:rPr/>
        <w:t>Jamuna</w:t>
      </w:r>
      <w:r>
        <w:rPr>
          <w:spacing w:val="-16"/>
        </w:rPr>
        <w:t> </w:t>
      </w:r>
      <w:r>
        <w:rPr/>
        <w:t>Bank</w:t>
      </w:r>
      <w:r>
        <w:rPr>
          <w:spacing w:val="-16"/>
        </w:rPr>
        <w:t> </w:t>
      </w:r>
      <w:r>
        <w:rPr/>
        <w:t>Limited, Bangladesh Commerce Bank Limited, Premier Bank Limited and City Bank</w:t>
      </w:r>
      <w:r>
        <w:rPr>
          <w:spacing w:val="-3"/>
        </w:rPr>
        <w:t> </w:t>
      </w:r>
      <w:r>
        <w:rPr/>
        <w:t>Limited.</w:t>
      </w:r>
    </w:p>
    <w:p>
      <w:pPr>
        <w:pStyle w:val="BodyText"/>
        <w:spacing w:before="1"/>
        <w:ind w:left="340"/>
      </w:pPr>
      <w:r>
        <w:rPr/>
        <w:t>Five chapters consists findings recommendations and conclusion about the report.</w:t>
      </w:r>
    </w:p>
    <w:p>
      <w:pPr>
        <w:spacing w:after="0"/>
        <w:sectPr>
          <w:pgSz w:w="12240" w:h="15840"/>
          <w:pgMar w:header="0" w:footer="1201" w:top="1380" w:bottom="1480" w:left="1100" w:right="1300"/>
        </w:sectPr>
      </w:pPr>
    </w:p>
    <w:p>
      <w:pPr>
        <w:spacing w:before="60"/>
        <w:ind w:left="2297" w:right="2092" w:firstLine="0"/>
        <w:jc w:val="center"/>
        <w:rPr>
          <w:b/>
          <w:sz w:val="36"/>
        </w:rPr>
      </w:pPr>
      <w:r>
        <w:rPr>
          <w:b/>
          <w:sz w:val="36"/>
        </w:rPr>
        <w:t>TABLE OF CONTENTS</w:t>
      </w:r>
    </w:p>
    <w:p>
      <w:pPr>
        <w:pStyle w:val="BodyText"/>
        <w:spacing w:before="10"/>
        <w:rPr>
          <w:b/>
          <w:sz w:val="17"/>
        </w:rPr>
      </w:pP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49"/>
        <w:gridCol w:w="1099"/>
      </w:tblGrid>
      <w:tr>
        <w:trPr>
          <w:trHeight w:val="470" w:hRule="atLeast"/>
        </w:trPr>
        <w:tc>
          <w:tcPr>
            <w:tcW w:w="7649" w:type="dxa"/>
          </w:tcPr>
          <w:p>
            <w:pPr>
              <w:pStyle w:val="TableParagraph"/>
              <w:ind w:left="105"/>
              <w:rPr>
                <w:b/>
                <w:sz w:val="24"/>
              </w:rPr>
            </w:pPr>
            <w:r>
              <w:rPr>
                <w:b/>
                <w:sz w:val="24"/>
              </w:rPr>
              <w:t>Contents</w:t>
            </w:r>
          </w:p>
        </w:tc>
        <w:tc>
          <w:tcPr>
            <w:tcW w:w="1099" w:type="dxa"/>
          </w:tcPr>
          <w:p>
            <w:pPr>
              <w:pStyle w:val="TableParagraph"/>
              <w:ind w:left="91" w:right="111"/>
              <w:jc w:val="center"/>
              <w:rPr>
                <w:b/>
                <w:sz w:val="24"/>
              </w:rPr>
            </w:pPr>
            <w:r>
              <w:rPr>
                <w:b/>
                <w:sz w:val="24"/>
              </w:rPr>
              <w:t>Page No</w:t>
            </w:r>
          </w:p>
        </w:tc>
      </w:tr>
      <w:tr>
        <w:trPr>
          <w:trHeight w:val="465" w:hRule="atLeast"/>
        </w:trPr>
        <w:tc>
          <w:tcPr>
            <w:tcW w:w="7649" w:type="dxa"/>
          </w:tcPr>
          <w:p>
            <w:pPr>
              <w:pStyle w:val="TableParagraph"/>
              <w:spacing w:line="268" w:lineRule="exact"/>
              <w:ind w:left="105"/>
              <w:rPr>
                <w:sz w:val="24"/>
              </w:rPr>
            </w:pPr>
            <w:r>
              <w:rPr>
                <w:sz w:val="24"/>
              </w:rPr>
              <w:t>Title Page</w:t>
            </w:r>
          </w:p>
        </w:tc>
        <w:tc>
          <w:tcPr>
            <w:tcW w:w="1099" w:type="dxa"/>
          </w:tcPr>
          <w:p>
            <w:pPr>
              <w:pStyle w:val="TableParagraph"/>
              <w:spacing w:line="268" w:lineRule="exact"/>
              <w:ind w:left="15"/>
              <w:jc w:val="center"/>
              <w:rPr>
                <w:sz w:val="24"/>
              </w:rPr>
            </w:pPr>
            <w:r>
              <w:rPr>
                <w:sz w:val="24"/>
              </w:rPr>
              <w:t>i</w:t>
            </w:r>
          </w:p>
        </w:tc>
      </w:tr>
      <w:tr>
        <w:trPr>
          <w:trHeight w:val="465" w:hRule="atLeast"/>
        </w:trPr>
        <w:tc>
          <w:tcPr>
            <w:tcW w:w="7649" w:type="dxa"/>
          </w:tcPr>
          <w:p>
            <w:pPr>
              <w:pStyle w:val="TableParagraph"/>
              <w:spacing w:line="268" w:lineRule="exact"/>
              <w:ind w:left="105"/>
              <w:rPr>
                <w:sz w:val="24"/>
              </w:rPr>
            </w:pPr>
            <w:r>
              <w:rPr>
                <w:sz w:val="24"/>
              </w:rPr>
              <w:t>Letter of Transmittal</w:t>
            </w:r>
          </w:p>
        </w:tc>
        <w:tc>
          <w:tcPr>
            <w:tcW w:w="1099" w:type="dxa"/>
          </w:tcPr>
          <w:p>
            <w:pPr>
              <w:pStyle w:val="TableParagraph"/>
              <w:spacing w:line="268" w:lineRule="exact"/>
              <w:ind w:left="91" w:right="76"/>
              <w:jc w:val="center"/>
              <w:rPr>
                <w:sz w:val="24"/>
              </w:rPr>
            </w:pPr>
            <w:r>
              <w:rPr>
                <w:sz w:val="24"/>
              </w:rPr>
              <w:t>ii</w:t>
            </w:r>
          </w:p>
        </w:tc>
      </w:tr>
      <w:tr>
        <w:trPr>
          <w:trHeight w:val="470" w:hRule="atLeast"/>
        </w:trPr>
        <w:tc>
          <w:tcPr>
            <w:tcW w:w="7649" w:type="dxa"/>
          </w:tcPr>
          <w:p>
            <w:pPr>
              <w:pStyle w:val="TableParagraph"/>
              <w:ind w:left="105"/>
              <w:rPr>
                <w:sz w:val="24"/>
              </w:rPr>
            </w:pPr>
            <w:r>
              <w:rPr>
                <w:sz w:val="24"/>
              </w:rPr>
              <w:t>Certificate of Approval</w:t>
            </w:r>
          </w:p>
        </w:tc>
        <w:tc>
          <w:tcPr>
            <w:tcW w:w="1099" w:type="dxa"/>
          </w:tcPr>
          <w:p>
            <w:pPr>
              <w:pStyle w:val="TableParagraph"/>
              <w:ind w:left="91" w:right="76"/>
              <w:jc w:val="center"/>
              <w:rPr>
                <w:sz w:val="24"/>
              </w:rPr>
            </w:pPr>
            <w:r>
              <w:rPr>
                <w:sz w:val="24"/>
              </w:rPr>
              <w:t>iii</w:t>
            </w:r>
          </w:p>
        </w:tc>
      </w:tr>
      <w:tr>
        <w:trPr>
          <w:trHeight w:val="465" w:hRule="atLeast"/>
        </w:trPr>
        <w:tc>
          <w:tcPr>
            <w:tcW w:w="7649" w:type="dxa"/>
          </w:tcPr>
          <w:p>
            <w:pPr>
              <w:pStyle w:val="TableParagraph"/>
              <w:spacing w:line="268" w:lineRule="exact"/>
              <w:ind w:left="105"/>
              <w:rPr>
                <w:sz w:val="24"/>
              </w:rPr>
            </w:pPr>
            <w:r>
              <w:rPr>
                <w:sz w:val="24"/>
              </w:rPr>
              <w:t>Student’s Declaration</w:t>
            </w:r>
          </w:p>
        </w:tc>
        <w:tc>
          <w:tcPr>
            <w:tcW w:w="1099" w:type="dxa"/>
          </w:tcPr>
          <w:p>
            <w:pPr>
              <w:pStyle w:val="TableParagraph"/>
              <w:spacing w:line="268" w:lineRule="exact"/>
              <w:ind w:left="91" w:right="90"/>
              <w:jc w:val="center"/>
              <w:rPr>
                <w:sz w:val="24"/>
              </w:rPr>
            </w:pPr>
            <w:r>
              <w:rPr>
                <w:sz w:val="24"/>
              </w:rPr>
              <w:t>iv</w:t>
            </w:r>
          </w:p>
        </w:tc>
      </w:tr>
      <w:tr>
        <w:trPr>
          <w:trHeight w:val="470" w:hRule="atLeast"/>
        </w:trPr>
        <w:tc>
          <w:tcPr>
            <w:tcW w:w="7649" w:type="dxa"/>
          </w:tcPr>
          <w:p>
            <w:pPr>
              <w:pStyle w:val="TableParagraph"/>
              <w:spacing w:line="268" w:lineRule="exact"/>
              <w:ind w:left="105"/>
              <w:rPr>
                <w:sz w:val="24"/>
              </w:rPr>
            </w:pPr>
            <w:r>
              <w:rPr>
                <w:sz w:val="24"/>
              </w:rPr>
              <w:t>Acknowledgement</w:t>
            </w:r>
          </w:p>
        </w:tc>
        <w:tc>
          <w:tcPr>
            <w:tcW w:w="1099" w:type="dxa"/>
          </w:tcPr>
          <w:p>
            <w:pPr>
              <w:pStyle w:val="TableParagraph"/>
              <w:spacing w:line="268" w:lineRule="exact"/>
              <w:ind w:left="11"/>
              <w:jc w:val="center"/>
              <w:rPr>
                <w:sz w:val="24"/>
              </w:rPr>
            </w:pPr>
            <w:r>
              <w:rPr>
                <w:sz w:val="24"/>
              </w:rPr>
              <w:t>v</w:t>
            </w:r>
          </w:p>
        </w:tc>
      </w:tr>
      <w:tr>
        <w:trPr>
          <w:trHeight w:val="498" w:hRule="atLeast"/>
        </w:trPr>
        <w:tc>
          <w:tcPr>
            <w:tcW w:w="7649" w:type="dxa"/>
          </w:tcPr>
          <w:p>
            <w:pPr>
              <w:pStyle w:val="TableParagraph"/>
              <w:spacing w:line="268" w:lineRule="exact"/>
              <w:ind w:left="105"/>
              <w:rPr>
                <w:sz w:val="24"/>
              </w:rPr>
            </w:pPr>
            <w:r>
              <w:rPr>
                <w:sz w:val="24"/>
              </w:rPr>
              <w:t>Executive Summary</w:t>
            </w:r>
          </w:p>
        </w:tc>
        <w:tc>
          <w:tcPr>
            <w:tcW w:w="1099" w:type="dxa"/>
          </w:tcPr>
          <w:p>
            <w:pPr>
              <w:pStyle w:val="TableParagraph"/>
              <w:spacing w:line="268" w:lineRule="exact"/>
              <w:ind w:left="91" w:right="82"/>
              <w:jc w:val="center"/>
              <w:rPr>
                <w:sz w:val="24"/>
              </w:rPr>
            </w:pPr>
            <w:r>
              <w:rPr>
                <w:sz w:val="24"/>
              </w:rPr>
              <w:t>vi</w:t>
            </w:r>
          </w:p>
        </w:tc>
      </w:tr>
      <w:tr>
        <w:trPr>
          <w:trHeight w:val="504" w:hRule="atLeast"/>
        </w:trPr>
        <w:tc>
          <w:tcPr>
            <w:tcW w:w="7649" w:type="dxa"/>
          </w:tcPr>
          <w:p>
            <w:pPr>
              <w:pStyle w:val="TableParagraph"/>
              <w:ind w:left="105"/>
              <w:rPr>
                <w:sz w:val="24"/>
              </w:rPr>
            </w:pPr>
            <w:r>
              <w:rPr>
                <w:sz w:val="24"/>
              </w:rPr>
              <w:t>Table of Contents</w:t>
            </w:r>
          </w:p>
        </w:tc>
        <w:tc>
          <w:tcPr>
            <w:tcW w:w="1099" w:type="dxa"/>
          </w:tcPr>
          <w:p>
            <w:pPr>
              <w:pStyle w:val="TableParagraph"/>
              <w:ind w:left="91" w:right="77"/>
              <w:jc w:val="center"/>
              <w:rPr>
                <w:sz w:val="24"/>
              </w:rPr>
            </w:pPr>
            <w:r>
              <w:rPr>
                <w:sz w:val="24"/>
              </w:rPr>
              <w:t>vii-viii</w:t>
            </w:r>
          </w:p>
        </w:tc>
      </w:tr>
      <w:tr>
        <w:trPr>
          <w:trHeight w:val="503" w:hRule="atLeast"/>
        </w:trPr>
        <w:tc>
          <w:tcPr>
            <w:tcW w:w="8748" w:type="dxa"/>
            <w:gridSpan w:val="2"/>
          </w:tcPr>
          <w:p>
            <w:pPr>
              <w:pStyle w:val="TableParagraph"/>
              <w:ind w:left="2219" w:right="2214"/>
              <w:jc w:val="center"/>
              <w:rPr>
                <w:b/>
                <w:sz w:val="24"/>
              </w:rPr>
            </w:pPr>
            <w:r>
              <w:rPr>
                <w:b/>
                <w:sz w:val="24"/>
              </w:rPr>
              <w:t>Chapter One:  Introduction</w:t>
            </w:r>
          </w:p>
        </w:tc>
      </w:tr>
      <w:tr>
        <w:trPr>
          <w:trHeight w:val="417" w:hRule="atLeast"/>
        </w:trPr>
        <w:tc>
          <w:tcPr>
            <w:tcW w:w="7649" w:type="dxa"/>
          </w:tcPr>
          <w:p>
            <w:pPr>
              <w:pStyle w:val="TableParagraph"/>
              <w:spacing w:line="268" w:lineRule="exact"/>
              <w:ind w:left="105"/>
              <w:rPr>
                <w:sz w:val="24"/>
              </w:rPr>
            </w:pPr>
            <w:r>
              <w:rPr>
                <w:sz w:val="24"/>
              </w:rPr>
              <w:t>1.1 Introduction</w:t>
            </w:r>
          </w:p>
        </w:tc>
        <w:tc>
          <w:tcPr>
            <w:tcW w:w="1099" w:type="dxa"/>
          </w:tcPr>
          <w:p>
            <w:pPr>
              <w:pStyle w:val="TableParagraph"/>
              <w:spacing w:line="268" w:lineRule="exact"/>
              <w:ind w:left="11"/>
              <w:jc w:val="center"/>
              <w:rPr>
                <w:sz w:val="24"/>
              </w:rPr>
            </w:pPr>
            <w:r>
              <w:rPr>
                <w:sz w:val="24"/>
              </w:rPr>
              <w:t>1</w:t>
            </w:r>
          </w:p>
        </w:tc>
      </w:tr>
      <w:tr>
        <w:trPr>
          <w:trHeight w:val="412" w:hRule="atLeast"/>
        </w:trPr>
        <w:tc>
          <w:tcPr>
            <w:tcW w:w="7649" w:type="dxa"/>
          </w:tcPr>
          <w:p>
            <w:pPr>
              <w:pStyle w:val="TableParagraph"/>
              <w:spacing w:line="268" w:lineRule="exact"/>
              <w:ind w:left="105"/>
              <w:rPr>
                <w:sz w:val="24"/>
              </w:rPr>
            </w:pPr>
            <w:r>
              <w:rPr>
                <w:sz w:val="24"/>
              </w:rPr>
              <w:t>1.2 Background of the Study</w:t>
            </w:r>
          </w:p>
        </w:tc>
        <w:tc>
          <w:tcPr>
            <w:tcW w:w="1099" w:type="dxa"/>
          </w:tcPr>
          <w:p>
            <w:pPr>
              <w:pStyle w:val="TableParagraph"/>
              <w:spacing w:line="268" w:lineRule="exact"/>
              <w:ind w:left="11"/>
              <w:jc w:val="center"/>
              <w:rPr>
                <w:sz w:val="24"/>
              </w:rPr>
            </w:pPr>
            <w:r>
              <w:rPr>
                <w:sz w:val="24"/>
              </w:rPr>
              <w:t>2</w:t>
            </w:r>
          </w:p>
        </w:tc>
      </w:tr>
      <w:tr>
        <w:trPr>
          <w:trHeight w:val="412" w:hRule="atLeast"/>
        </w:trPr>
        <w:tc>
          <w:tcPr>
            <w:tcW w:w="7649" w:type="dxa"/>
          </w:tcPr>
          <w:p>
            <w:pPr>
              <w:pStyle w:val="TableParagraph"/>
              <w:spacing w:line="268" w:lineRule="exact"/>
              <w:ind w:left="105"/>
              <w:rPr>
                <w:sz w:val="24"/>
              </w:rPr>
            </w:pPr>
            <w:r>
              <w:rPr>
                <w:sz w:val="24"/>
              </w:rPr>
              <w:t>1.3 Origin of the Study</w:t>
            </w:r>
          </w:p>
        </w:tc>
        <w:tc>
          <w:tcPr>
            <w:tcW w:w="1099" w:type="dxa"/>
          </w:tcPr>
          <w:p>
            <w:pPr>
              <w:pStyle w:val="TableParagraph"/>
              <w:spacing w:line="268" w:lineRule="exact"/>
              <w:ind w:left="11"/>
              <w:jc w:val="center"/>
              <w:rPr>
                <w:sz w:val="24"/>
              </w:rPr>
            </w:pPr>
            <w:r>
              <w:rPr>
                <w:sz w:val="24"/>
              </w:rPr>
              <w:t>2</w:t>
            </w:r>
          </w:p>
        </w:tc>
      </w:tr>
      <w:tr>
        <w:trPr>
          <w:trHeight w:val="417" w:hRule="atLeast"/>
        </w:trPr>
        <w:tc>
          <w:tcPr>
            <w:tcW w:w="7649" w:type="dxa"/>
          </w:tcPr>
          <w:p>
            <w:pPr>
              <w:pStyle w:val="TableParagraph"/>
              <w:spacing w:line="268" w:lineRule="exact"/>
              <w:ind w:left="105"/>
              <w:rPr>
                <w:sz w:val="24"/>
              </w:rPr>
            </w:pPr>
            <w:r>
              <w:rPr>
                <w:sz w:val="24"/>
              </w:rPr>
              <w:t>1.4 Objectives of the Study</w:t>
            </w:r>
          </w:p>
        </w:tc>
        <w:tc>
          <w:tcPr>
            <w:tcW w:w="1099" w:type="dxa"/>
          </w:tcPr>
          <w:p>
            <w:pPr>
              <w:pStyle w:val="TableParagraph"/>
              <w:spacing w:line="268" w:lineRule="exact"/>
              <w:ind w:left="11"/>
              <w:jc w:val="center"/>
              <w:rPr>
                <w:sz w:val="24"/>
              </w:rPr>
            </w:pPr>
            <w:r>
              <w:rPr>
                <w:sz w:val="24"/>
              </w:rPr>
              <w:t>2</w:t>
            </w:r>
          </w:p>
        </w:tc>
      </w:tr>
      <w:tr>
        <w:trPr>
          <w:trHeight w:val="412" w:hRule="atLeast"/>
        </w:trPr>
        <w:tc>
          <w:tcPr>
            <w:tcW w:w="7649" w:type="dxa"/>
          </w:tcPr>
          <w:p>
            <w:pPr>
              <w:pStyle w:val="TableParagraph"/>
              <w:spacing w:line="268" w:lineRule="exact"/>
              <w:ind w:left="105"/>
              <w:rPr>
                <w:sz w:val="24"/>
              </w:rPr>
            </w:pPr>
            <w:r>
              <w:rPr>
                <w:sz w:val="24"/>
              </w:rPr>
              <w:t>1.5 Scope of the Study</w:t>
            </w:r>
          </w:p>
        </w:tc>
        <w:tc>
          <w:tcPr>
            <w:tcW w:w="1099" w:type="dxa"/>
          </w:tcPr>
          <w:p>
            <w:pPr>
              <w:pStyle w:val="TableParagraph"/>
              <w:spacing w:line="268" w:lineRule="exact"/>
              <w:ind w:left="11"/>
              <w:jc w:val="center"/>
              <w:rPr>
                <w:sz w:val="24"/>
              </w:rPr>
            </w:pPr>
            <w:r>
              <w:rPr>
                <w:sz w:val="24"/>
              </w:rPr>
              <w:t>3</w:t>
            </w:r>
          </w:p>
        </w:tc>
      </w:tr>
      <w:tr>
        <w:trPr>
          <w:trHeight w:val="412" w:hRule="atLeast"/>
        </w:trPr>
        <w:tc>
          <w:tcPr>
            <w:tcW w:w="7649" w:type="dxa"/>
          </w:tcPr>
          <w:p>
            <w:pPr>
              <w:pStyle w:val="TableParagraph"/>
              <w:spacing w:line="268" w:lineRule="exact"/>
              <w:ind w:left="105"/>
              <w:rPr>
                <w:sz w:val="24"/>
              </w:rPr>
            </w:pPr>
            <w:r>
              <w:rPr>
                <w:sz w:val="24"/>
              </w:rPr>
              <w:t>1.6 Methodology of the Study</w:t>
            </w:r>
          </w:p>
        </w:tc>
        <w:tc>
          <w:tcPr>
            <w:tcW w:w="1099" w:type="dxa"/>
          </w:tcPr>
          <w:p>
            <w:pPr>
              <w:pStyle w:val="TableParagraph"/>
              <w:spacing w:line="268" w:lineRule="exact"/>
              <w:ind w:left="11"/>
              <w:jc w:val="center"/>
              <w:rPr>
                <w:sz w:val="24"/>
              </w:rPr>
            </w:pPr>
            <w:r>
              <w:rPr>
                <w:sz w:val="24"/>
              </w:rPr>
              <w:t>3</w:t>
            </w:r>
          </w:p>
        </w:tc>
      </w:tr>
      <w:tr>
        <w:trPr>
          <w:trHeight w:val="417" w:hRule="atLeast"/>
        </w:trPr>
        <w:tc>
          <w:tcPr>
            <w:tcW w:w="7649" w:type="dxa"/>
          </w:tcPr>
          <w:p>
            <w:pPr>
              <w:pStyle w:val="TableParagraph"/>
              <w:spacing w:line="268" w:lineRule="exact"/>
              <w:ind w:left="105"/>
              <w:rPr>
                <w:sz w:val="24"/>
              </w:rPr>
            </w:pPr>
            <w:r>
              <w:rPr>
                <w:sz w:val="24"/>
              </w:rPr>
              <w:t>1.7 Limitations of the Study</w:t>
            </w:r>
          </w:p>
        </w:tc>
        <w:tc>
          <w:tcPr>
            <w:tcW w:w="1099" w:type="dxa"/>
          </w:tcPr>
          <w:p>
            <w:pPr>
              <w:pStyle w:val="TableParagraph"/>
              <w:spacing w:line="268" w:lineRule="exact"/>
              <w:ind w:left="11"/>
              <w:jc w:val="center"/>
              <w:rPr>
                <w:sz w:val="24"/>
              </w:rPr>
            </w:pPr>
            <w:r>
              <w:rPr>
                <w:sz w:val="24"/>
              </w:rPr>
              <w:t>3</w:t>
            </w:r>
          </w:p>
        </w:tc>
      </w:tr>
      <w:tr>
        <w:trPr>
          <w:trHeight w:val="412" w:hRule="atLeast"/>
        </w:trPr>
        <w:tc>
          <w:tcPr>
            <w:tcW w:w="8748" w:type="dxa"/>
            <w:gridSpan w:val="2"/>
          </w:tcPr>
          <w:p>
            <w:pPr>
              <w:pStyle w:val="TableParagraph"/>
              <w:ind w:left="2219" w:right="2219"/>
              <w:jc w:val="center"/>
              <w:rPr>
                <w:b/>
                <w:sz w:val="24"/>
              </w:rPr>
            </w:pPr>
            <w:r>
              <w:rPr>
                <w:b/>
                <w:sz w:val="24"/>
              </w:rPr>
              <w:t>Chapter Two: Profile of the Organization</w:t>
            </w:r>
          </w:p>
        </w:tc>
      </w:tr>
      <w:tr>
        <w:trPr>
          <w:trHeight w:val="412" w:hRule="atLeast"/>
        </w:trPr>
        <w:tc>
          <w:tcPr>
            <w:tcW w:w="7649" w:type="dxa"/>
          </w:tcPr>
          <w:p>
            <w:pPr>
              <w:pStyle w:val="TableParagraph"/>
              <w:spacing w:line="268" w:lineRule="exact"/>
              <w:ind w:left="105"/>
              <w:rPr>
                <w:sz w:val="24"/>
              </w:rPr>
            </w:pPr>
            <w:r>
              <w:rPr>
                <w:sz w:val="24"/>
              </w:rPr>
              <w:t>2.1 Overview of Trust Bank Limited</w:t>
            </w:r>
          </w:p>
        </w:tc>
        <w:tc>
          <w:tcPr>
            <w:tcW w:w="1099" w:type="dxa"/>
          </w:tcPr>
          <w:p>
            <w:pPr>
              <w:pStyle w:val="TableParagraph"/>
              <w:spacing w:line="268" w:lineRule="exact"/>
              <w:ind w:left="11"/>
              <w:jc w:val="center"/>
              <w:rPr>
                <w:sz w:val="24"/>
              </w:rPr>
            </w:pPr>
            <w:r>
              <w:rPr>
                <w:sz w:val="24"/>
              </w:rPr>
              <w:t>4</w:t>
            </w:r>
          </w:p>
        </w:tc>
      </w:tr>
      <w:tr>
        <w:trPr>
          <w:trHeight w:val="417" w:hRule="atLeast"/>
        </w:trPr>
        <w:tc>
          <w:tcPr>
            <w:tcW w:w="7649" w:type="dxa"/>
          </w:tcPr>
          <w:p>
            <w:pPr>
              <w:pStyle w:val="TableParagraph"/>
              <w:spacing w:line="268" w:lineRule="exact"/>
              <w:ind w:left="105"/>
              <w:rPr>
                <w:sz w:val="24"/>
              </w:rPr>
            </w:pPr>
            <w:r>
              <w:rPr>
                <w:sz w:val="24"/>
              </w:rPr>
              <w:t>2.2 Overview of Jamuna Bank Limited</w:t>
            </w:r>
          </w:p>
        </w:tc>
        <w:tc>
          <w:tcPr>
            <w:tcW w:w="1099" w:type="dxa"/>
          </w:tcPr>
          <w:p>
            <w:pPr>
              <w:pStyle w:val="TableParagraph"/>
              <w:spacing w:line="268" w:lineRule="exact"/>
              <w:ind w:left="11"/>
              <w:jc w:val="center"/>
              <w:rPr>
                <w:sz w:val="24"/>
              </w:rPr>
            </w:pPr>
            <w:r>
              <w:rPr>
                <w:sz w:val="24"/>
              </w:rPr>
              <w:t>5</w:t>
            </w:r>
          </w:p>
        </w:tc>
      </w:tr>
      <w:tr>
        <w:trPr>
          <w:trHeight w:val="412" w:hRule="atLeast"/>
        </w:trPr>
        <w:tc>
          <w:tcPr>
            <w:tcW w:w="7649" w:type="dxa"/>
          </w:tcPr>
          <w:p>
            <w:pPr>
              <w:pStyle w:val="TableParagraph"/>
              <w:spacing w:line="268" w:lineRule="exact"/>
              <w:ind w:left="105"/>
              <w:rPr>
                <w:sz w:val="24"/>
              </w:rPr>
            </w:pPr>
            <w:r>
              <w:rPr>
                <w:sz w:val="24"/>
              </w:rPr>
              <w:t>2.3 Overview of Bangladesh Commerce Bank Limited</w:t>
            </w:r>
          </w:p>
        </w:tc>
        <w:tc>
          <w:tcPr>
            <w:tcW w:w="1099" w:type="dxa"/>
          </w:tcPr>
          <w:p>
            <w:pPr>
              <w:pStyle w:val="TableParagraph"/>
              <w:spacing w:line="268" w:lineRule="exact"/>
              <w:ind w:left="11"/>
              <w:jc w:val="center"/>
              <w:rPr>
                <w:sz w:val="24"/>
              </w:rPr>
            </w:pPr>
            <w:r>
              <w:rPr>
                <w:sz w:val="24"/>
              </w:rPr>
              <w:t>7</w:t>
            </w:r>
          </w:p>
        </w:tc>
      </w:tr>
      <w:tr>
        <w:trPr>
          <w:trHeight w:val="412" w:hRule="atLeast"/>
        </w:trPr>
        <w:tc>
          <w:tcPr>
            <w:tcW w:w="7649" w:type="dxa"/>
          </w:tcPr>
          <w:p>
            <w:pPr>
              <w:pStyle w:val="TableParagraph"/>
              <w:spacing w:line="268" w:lineRule="exact"/>
              <w:ind w:left="105"/>
              <w:rPr>
                <w:sz w:val="24"/>
              </w:rPr>
            </w:pPr>
            <w:r>
              <w:rPr>
                <w:sz w:val="24"/>
              </w:rPr>
              <w:t>2.4 Overview of Premier Bank Limited</w:t>
            </w:r>
          </w:p>
        </w:tc>
        <w:tc>
          <w:tcPr>
            <w:tcW w:w="1099" w:type="dxa"/>
          </w:tcPr>
          <w:p>
            <w:pPr>
              <w:pStyle w:val="TableParagraph"/>
              <w:spacing w:line="268" w:lineRule="exact"/>
              <w:ind w:left="11"/>
              <w:jc w:val="center"/>
              <w:rPr>
                <w:sz w:val="24"/>
              </w:rPr>
            </w:pPr>
            <w:r>
              <w:rPr>
                <w:sz w:val="24"/>
              </w:rPr>
              <w:t>8</w:t>
            </w:r>
          </w:p>
        </w:tc>
      </w:tr>
      <w:tr>
        <w:trPr>
          <w:trHeight w:val="412" w:hRule="atLeast"/>
        </w:trPr>
        <w:tc>
          <w:tcPr>
            <w:tcW w:w="7649" w:type="dxa"/>
          </w:tcPr>
          <w:p>
            <w:pPr>
              <w:pStyle w:val="TableParagraph"/>
              <w:spacing w:line="268" w:lineRule="exact"/>
              <w:ind w:left="105"/>
              <w:rPr>
                <w:sz w:val="24"/>
              </w:rPr>
            </w:pPr>
            <w:r>
              <w:rPr>
                <w:sz w:val="24"/>
              </w:rPr>
              <w:t>2.5 Overview of City Bank Limited</w:t>
            </w:r>
          </w:p>
        </w:tc>
        <w:tc>
          <w:tcPr>
            <w:tcW w:w="1099" w:type="dxa"/>
          </w:tcPr>
          <w:p>
            <w:pPr>
              <w:pStyle w:val="TableParagraph"/>
              <w:spacing w:line="268" w:lineRule="exact"/>
              <w:ind w:left="11"/>
              <w:jc w:val="center"/>
              <w:rPr>
                <w:sz w:val="24"/>
              </w:rPr>
            </w:pPr>
            <w:r>
              <w:rPr>
                <w:sz w:val="24"/>
              </w:rPr>
              <w:t>9</w:t>
            </w:r>
          </w:p>
        </w:tc>
      </w:tr>
      <w:tr>
        <w:trPr>
          <w:trHeight w:val="510" w:hRule="atLeast"/>
        </w:trPr>
        <w:tc>
          <w:tcPr>
            <w:tcW w:w="8748" w:type="dxa"/>
            <w:gridSpan w:val="2"/>
            <w:tcBorders>
              <w:bottom w:val="single" w:sz="6" w:space="0" w:color="000000"/>
            </w:tcBorders>
          </w:tcPr>
          <w:p>
            <w:pPr>
              <w:pStyle w:val="TableParagraph"/>
              <w:spacing w:line="240" w:lineRule="auto" w:before="1"/>
              <w:ind w:left="2219" w:right="2217"/>
              <w:jc w:val="center"/>
              <w:rPr>
                <w:b/>
                <w:sz w:val="24"/>
              </w:rPr>
            </w:pPr>
            <w:r>
              <w:rPr>
                <w:b/>
                <w:sz w:val="24"/>
              </w:rPr>
              <w:t>Chapter Three: Theoretical Framework</w:t>
            </w:r>
          </w:p>
        </w:tc>
      </w:tr>
      <w:tr>
        <w:trPr>
          <w:trHeight w:val="438" w:hRule="atLeast"/>
        </w:trPr>
        <w:tc>
          <w:tcPr>
            <w:tcW w:w="7649" w:type="dxa"/>
            <w:tcBorders>
              <w:top w:val="single" w:sz="6" w:space="0" w:color="000000"/>
            </w:tcBorders>
          </w:tcPr>
          <w:p>
            <w:pPr>
              <w:pStyle w:val="TableParagraph"/>
              <w:spacing w:line="265" w:lineRule="exact"/>
              <w:ind w:left="105"/>
              <w:rPr>
                <w:sz w:val="24"/>
              </w:rPr>
            </w:pPr>
            <w:r>
              <w:rPr>
                <w:sz w:val="24"/>
              </w:rPr>
              <w:t>3.1 Financial Performance Analysis</w:t>
            </w:r>
          </w:p>
        </w:tc>
        <w:tc>
          <w:tcPr>
            <w:tcW w:w="1099" w:type="dxa"/>
            <w:tcBorders>
              <w:top w:val="single" w:sz="6" w:space="0" w:color="000000"/>
            </w:tcBorders>
          </w:tcPr>
          <w:p>
            <w:pPr>
              <w:pStyle w:val="TableParagraph"/>
              <w:spacing w:line="265" w:lineRule="exact"/>
              <w:ind w:left="91" w:right="76"/>
              <w:jc w:val="center"/>
              <w:rPr>
                <w:sz w:val="24"/>
              </w:rPr>
            </w:pPr>
            <w:r>
              <w:rPr>
                <w:sz w:val="24"/>
              </w:rPr>
              <w:t>11</w:t>
            </w:r>
          </w:p>
        </w:tc>
      </w:tr>
      <w:tr>
        <w:trPr>
          <w:trHeight w:val="441" w:hRule="atLeast"/>
        </w:trPr>
        <w:tc>
          <w:tcPr>
            <w:tcW w:w="7649" w:type="dxa"/>
          </w:tcPr>
          <w:p>
            <w:pPr>
              <w:pStyle w:val="TableParagraph"/>
              <w:spacing w:line="268" w:lineRule="exact"/>
              <w:ind w:left="105"/>
              <w:rPr>
                <w:sz w:val="24"/>
              </w:rPr>
            </w:pPr>
            <w:r>
              <w:rPr>
                <w:sz w:val="24"/>
              </w:rPr>
              <w:t>3.2 Income Statement</w:t>
            </w:r>
          </w:p>
        </w:tc>
        <w:tc>
          <w:tcPr>
            <w:tcW w:w="1099" w:type="dxa"/>
          </w:tcPr>
          <w:p>
            <w:pPr>
              <w:pStyle w:val="TableParagraph"/>
              <w:spacing w:line="268" w:lineRule="exact"/>
              <w:ind w:left="91" w:right="76"/>
              <w:jc w:val="center"/>
              <w:rPr>
                <w:sz w:val="24"/>
              </w:rPr>
            </w:pPr>
            <w:r>
              <w:rPr>
                <w:sz w:val="24"/>
              </w:rPr>
              <w:t>11</w:t>
            </w:r>
          </w:p>
        </w:tc>
      </w:tr>
      <w:tr>
        <w:trPr>
          <w:trHeight w:val="436" w:hRule="atLeast"/>
        </w:trPr>
        <w:tc>
          <w:tcPr>
            <w:tcW w:w="7649" w:type="dxa"/>
          </w:tcPr>
          <w:p>
            <w:pPr>
              <w:pStyle w:val="TableParagraph"/>
              <w:spacing w:line="268" w:lineRule="exact"/>
              <w:ind w:left="105"/>
              <w:rPr>
                <w:sz w:val="24"/>
              </w:rPr>
            </w:pPr>
            <w:r>
              <w:rPr>
                <w:sz w:val="24"/>
              </w:rPr>
              <w:t>3.3 Balance Sheet</w:t>
            </w:r>
          </w:p>
        </w:tc>
        <w:tc>
          <w:tcPr>
            <w:tcW w:w="1099" w:type="dxa"/>
          </w:tcPr>
          <w:p>
            <w:pPr>
              <w:pStyle w:val="TableParagraph"/>
              <w:spacing w:line="268" w:lineRule="exact"/>
              <w:ind w:left="91" w:right="76"/>
              <w:jc w:val="center"/>
              <w:rPr>
                <w:sz w:val="24"/>
              </w:rPr>
            </w:pPr>
            <w:r>
              <w:rPr>
                <w:sz w:val="24"/>
              </w:rPr>
              <w:t>11</w:t>
            </w:r>
          </w:p>
        </w:tc>
      </w:tr>
      <w:tr>
        <w:trPr>
          <w:trHeight w:val="441" w:hRule="atLeast"/>
        </w:trPr>
        <w:tc>
          <w:tcPr>
            <w:tcW w:w="7649" w:type="dxa"/>
          </w:tcPr>
          <w:p>
            <w:pPr>
              <w:pStyle w:val="TableParagraph"/>
              <w:ind w:left="105"/>
              <w:rPr>
                <w:sz w:val="24"/>
              </w:rPr>
            </w:pPr>
            <w:r>
              <w:rPr>
                <w:sz w:val="24"/>
              </w:rPr>
              <w:t>3.4 Ratio Analysis</w:t>
            </w:r>
          </w:p>
        </w:tc>
        <w:tc>
          <w:tcPr>
            <w:tcW w:w="1099" w:type="dxa"/>
          </w:tcPr>
          <w:p>
            <w:pPr>
              <w:pStyle w:val="TableParagraph"/>
              <w:ind w:left="91" w:right="76"/>
              <w:jc w:val="center"/>
              <w:rPr>
                <w:sz w:val="24"/>
              </w:rPr>
            </w:pPr>
            <w:r>
              <w:rPr>
                <w:sz w:val="24"/>
              </w:rPr>
              <w:t>11</w:t>
            </w:r>
          </w:p>
        </w:tc>
      </w:tr>
    </w:tbl>
    <w:p>
      <w:pPr>
        <w:spacing w:after="0"/>
        <w:jc w:val="center"/>
        <w:rPr>
          <w:sz w:val="24"/>
        </w:rPr>
        <w:sectPr>
          <w:pgSz w:w="12240" w:h="15840"/>
          <w:pgMar w:header="0" w:footer="1201" w:top="1380" w:bottom="1440" w:left="1100" w:right="1300"/>
        </w:sectPr>
      </w:pP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4"/>
        <w:gridCol w:w="1095"/>
      </w:tblGrid>
      <w:tr>
        <w:trPr>
          <w:trHeight w:val="412" w:hRule="atLeast"/>
        </w:trPr>
        <w:tc>
          <w:tcPr>
            <w:tcW w:w="7654" w:type="dxa"/>
          </w:tcPr>
          <w:p>
            <w:pPr>
              <w:pStyle w:val="TableParagraph"/>
              <w:spacing w:line="268" w:lineRule="exact"/>
              <w:ind w:left="105"/>
              <w:rPr>
                <w:sz w:val="24"/>
              </w:rPr>
            </w:pPr>
            <w:r>
              <w:rPr>
                <w:sz w:val="24"/>
              </w:rPr>
              <w:t>3.5 Types of Comparison</w:t>
            </w:r>
          </w:p>
        </w:tc>
        <w:tc>
          <w:tcPr>
            <w:tcW w:w="1095" w:type="dxa"/>
          </w:tcPr>
          <w:p>
            <w:pPr>
              <w:pStyle w:val="TableParagraph"/>
              <w:spacing w:line="268" w:lineRule="exact"/>
              <w:ind w:left="427"/>
              <w:rPr>
                <w:sz w:val="24"/>
              </w:rPr>
            </w:pPr>
            <w:r>
              <w:rPr>
                <w:sz w:val="24"/>
              </w:rPr>
              <w:t>11</w:t>
            </w:r>
          </w:p>
        </w:tc>
      </w:tr>
      <w:tr>
        <w:trPr>
          <w:trHeight w:val="417" w:hRule="atLeast"/>
        </w:trPr>
        <w:tc>
          <w:tcPr>
            <w:tcW w:w="7654" w:type="dxa"/>
          </w:tcPr>
          <w:p>
            <w:pPr>
              <w:pStyle w:val="TableParagraph"/>
              <w:spacing w:line="268" w:lineRule="exact"/>
              <w:ind w:left="105"/>
              <w:rPr>
                <w:sz w:val="24"/>
              </w:rPr>
            </w:pPr>
            <w:r>
              <w:rPr>
                <w:sz w:val="24"/>
              </w:rPr>
              <w:t>3.6 Significance of using ratios</w:t>
            </w:r>
          </w:p>
        </w:tc>
        <w:tc>
          <w:tcPr>
            <w:tcW w:w="1095" w:type="dxa"/>
          </w:tcPr>
          <w:p>
            <w:pPr>
              <w:pStyle w:val="TableParagraph"/>
              <w:spacing w:line="268" w:lineRule="exact"/>
              <w:ind w:left="427"/>
              <w:rPr>
                <w:sz w:val="24"/>
              </w:rPr>
            </w:pPr>
            <w:r>
              <w:rPr>
                <w:sz w:val="24"/>
              </w:rPr>
              <w:t>11</w:t>
            </w:r>
          </w:p>
        </w:tc>
      </w:tr>
      <w:tr>
        <w:trPr>
          <w:trHeight w:val="412" w:hRule="atLeast"/>
        </w:trPr>
        <w:tc>
          <w:tcPr>
            <w:tcW w:w="7654" w:type="dxa"/>
          </w:tcPr>
          <w:p>
            <w:pPr>
              <w:pStyle w:val="TableParagraph"/>
              <w:spacing w:line="268" w:lineRule="exact"/>
              <w:ind w:left="105"/>
              <w:rPr>
                <w:sz w:val="24"/>
              </w:rPr>
            </w:pPr>
            <w:r>
              <w:rPr>
                <w:sz w:val="24"/>
              </w:rPr>
              <w:t>3.7 Cautions</w:t>
            </w:r>
          </w:p>
        </w:tc>
        <w:tc>
          <w:tcPr>
            <w:tcW w:w="1095" w:type="dxa"/>
          </w:tcPr>
          <w:p>
            <w:pPr>
              <w:pStyle w:val="TableParagraph"/>
              <w:spacing w:line="268" w:lineRule="exact"/>
              <w:ind w:left="427"/>
              <w:rPr>
                <w:sz w:val="24"/>
              </w:rPr>
            </w:pPr>
            <w:r>
              <w:rPr>
                <w:sz w:val="24"/>
              </w:rPr>
              <w:t>12</w:t>
            </w:r>
          </w:p>
        </w:tc>
      </w:tr>
      <w:tr>
        <w:trPr>
          <w:trHeight w:val="412" w:hRule="atLeast"/>
        </w:trPr>
        <w:tc>
          <w:tcPr>
            <w:tcW w:w="7654" w:type="dxa"/>
          </w:tcPr>
          <w:p>
            <w:pPr>
              <w:pStyle w:val="TableParagraph"/>
              <w:spacing w:line="268" w:lineRule="exact"/>
              <w:ind w:left="105"/>
              <w:rPr>
                <w:sz w:val="24"/>
              </w:rPr>
            </w:pPr>
            <w:r>
              <w:rPr>
                <w:sz w:val="24"/>
              </w:rPr>
              <w:t>3.8 Groups of Ratios</w:t>
            </w:r>
          </w:p>
        </w:tc>
        <w:tc>
          <w:tcPr>
            <w:tcW w:w="1095" w:type="dxa"/>
          </w:tcPr>
          <w:p>
            <w:pPr>
              <w:pStyle w:val="TableParagraph"/>
              <w:spacing w:line="268" w:lineRule="exact"/>
              <w:ind w:left="427"/>
              <w:rPr>
                <w:sz w:val="24"/>
              </w:rPr>
            </w:pPr>
            <w:r>
              <w:rPr>
                <w:sz w:val="24"/>
              </w:rPr>
              <w:t>12</w:t>
            </w:r>
          </w:p>
        </w:tc>
      </w:tr>
      <w:tr>
        <w:trPr>
          <w:trHeight w:val="417" w:hRule="atLeast"/>
        </w:trPr>
        <w:tc>
          <w:tcPr>
            <w:tcW w:w="8749" w:type="dxa"/>
            <w:gridSpan w:val="2"/>
          </w:tcPr>
          <w:p>
            <w:pPr>
              <w:pStyle w:val="TableParagraph"/>
              <w:ind w:left="1320" w:right="1319"/>
              <w:jc w:val="center"/>
              <w:rPr>
                <w:b/>
                <w:sz w:val="24"/>
              </w:rPr>
            </w:pPr>
            <w:r>
              <w:rPr>
                <w:b/>
                <w:sz w:val="24"/>
              </w:rPr>
              <w:t>Chapter Four: Analysis</w:t>
            </w:r>
          </w:p>
        </w:tc>
      </w:tr>
      <w:tr>
        <w:trPr>
          <w:trHeight w:val="412" w:hRule="atLeast"/>
        </w:trPr>
        <w:tc>
          <w:tcPr>
            <w:tcW w:w="7654" w:type="dxa"/>
          </w:tcPr>
          <w:p>
            <w:pPr>
              <w:pStyle w:val="TableParagraph"/>
              <w:spacing w:line="268" w:lineRule="exact"/>
              <w:ind w:left="105"/>
              <w:rPr>
                <w:sz w:val="24"/>
              </w:rPr>
            </w:pPr>
            <w:r>
              <w:rPr>
                <w:sz w:val="24"/>
              </w:rPr>
              <w:t>4.1 Financial Performance Analysis of Trust Bank Limited</w:t>
            </w:r>
          </w:p>
        </w:tc>
        <w:tc>
          <w:tcPr>
            <w:tcW w:w="1095" w:type="dxa"/>
          </w:tcPr>
          <w:p>
            <w:pPr>
              <w:pStyle w:val="TableParagraph"/>
              <w:spacing w:line="268" w:lineRule="exact"/>
              <w:ind w:left="427"/>
              <w:rPr>
                <w:sz w:val="24"/>
              </w:rPr>
            </w:pPr>
            <w:r>
              <w:rPr>
                <w:sz w:val="24"/>
              </w:rPr>
              <w:t>15</w:t>
            </w:r>
          </w:p>
        </w:tc>
      </w:tr>
      <w:tr>
        <w:trPr>
          <w:trHeight w:val="412" w:hRule="atLeast"/>
        </w:trPr>
        <w:tc>
          <w:tcPr>
            <w:tcW w:w="7654" w:type="dxa"/>
          </w:tcPr>
          <w:p>
            <w:pPr>
              <w:pStyle w:val="TableParagraph"/>
              <w:spacing w:line="268" w:lineRule="exact"/>
              <w:ind w:left="105"/>
              <w:rPr>
                <w:sz w:val="24"/>
              </w:rPr>
            </w:pPr>
            <w:r>
              <w:rPr>
                <w:sz w:val="24"/>
              </w:rPr>
              <w:t>4.2 Financial Performance Analysis of Jamuna Bank Limited</w:t>
            </w:r>
          </w:p>
        </w:tc>
        <w:tc>
          <w:tcPr>
            <w:tcW w:w="1095" w:type="dxa"/>
          </w:tcPr>
          <w:p>
            <w:pPr>
              <w:pStyle w:val="TableParagraph"/>
              <w:spacing w:line="268" w:lineRule="exact"/>
              <w:ind w:left="427"/>
              <w:rPr>
                <w:sz w:val="24"/>
              </w:rPr>
            </w:pPr>
            <w:r>
              <w:rPr>
                <w:sz w:val="24"/>
              </w:rPr>
              <w:t>23</w:t>
            </w:r>
          </w:p>
        </w:tc>
      </w:tr>
      <w:tr>
        <w:trPr>
          <w:trHeight w:val="417" w:hRule="atLeast"/>
        </w:trPr>
        <w:tc>
          <w:tcPr>
            <w:tcW w:w="7654" w:type="dxa"/>
          </w:tcPr>
          <w:p>
            <w:pPr>
              <w:pStyle w:val="TableParagraph"/>
              <w:spacing w:line="268" w:lineRule="exact"/>
              <w:ind w:left="105"/>
              <w:rPr>
                <w:sz w:val="24"/>
              </w:rPr>
            </w:pPr>
            <w:r>
              <w:rPr>
                <w:sz w:val="24"/>
              </w:rPr>
              <w:t>4.3 Financial Performance Analysis of Bangladesh Commerce Bank Limited</w:t>
            </w:r>
          </w:p>
        </w:tc>
        <w:tc>
          <w:tcPr>
            <w:tcW w:w="1095" w:type="dxa"/>
          </w:tcPr>
          <w:p>
            <w:pPr>
              <w:pStyle w:val="TableParagraph"/>
              <w:spacing w:line="268" w:lineRule="exact"/>
              <w:ind w:left="427"/>
              <w:rPr>
                <w:sz w:val="24"/>
              </w:rPr>
            </w:pPr>
            <w:r>
              <w:rPr>
                <w:sz w:val="24"/>
              </w:rPr>
              <w:t>27</w:t>
            </w:r>
          </w:p>
        </w:tc>
      </w:tr>
      <w:tr>
        <w:trPr>
          <w:trHeight w:val="412" w:hRule="atLeast"/>
        </w:trPr>
        <w:tc>
          <w:tcPr>
            <w:tcW w:w="7654" w:type="dxa"/>
          </w:tcPr>
          <w:p>
            <w:pPr>
              <w:pStyle w:val="TableParagraph"/>
              <w:spacing w:line="268" w:lineRule="exact"/>
              <w:ind w:left="105"/>
              <w:rPr>
                <w:sz w:val="24"/>
              </w:rPr>
            </w:pPr>
            <w:r>
              <w:rPr>
                <w:sz w:val="24"/>
              </w:rPr>
              <w:t>4.4 Financial Performance Analysis of Premier Bank Limited</w:t>
            </w:r>
          </w:p>
        </w:tc>
        <w:tc>
          <w:tcPr>
            <w:tcW w:w="1095" w:type="dxa"/>
          </w:tcPr>
          <w:p>
            <w:pPr>
              <w:pStyle w:val="TableParagraph"/>
              <w:spacing w:line="268" w:lineRule="exact"/>
              <w:ind w:left="427"/>
              <w:rPr>
                <w:sz w:val="24"/>
              </w:rPr>
            </w:pPr>
            <w:r>
              <w:rPr>
                <w:sz w:val="24"/>
              </w:rPr>
              <w:t>31</w:t>
            </w:r>
          </w:p>
        </w:tc>
      </w:tr>
      <w:tr>
        <w:trPr>
          <w:trHeight w:val="412" w:hRule="atLeast"/>
        </w:trPr>
        <w:tc>
          <w:tcPr>
            <w:tcW w:w="7654" w:type="dxa"/>
          </w:tcPr>
          <w:p>
            <w:pPr>
              <w:pStyle w:val="TableParagraph"/>
              <w:spacing w:line="268" w:lineRule="exact"/>
              <w:ind w:left="105"/>
              <w:rPr>
                <w:sz w:val="24"/>
              </w:rPr>
            </w:pPr>
            <w:r>
              <w:rPr>
                <w:sz w:val="24"/>
              </w:rPr>
              <w:t>4.5 Financial Performance Analysis of City Bank Limited</w:t>
            </w:r>
          </w:p>
        </w:tc>
        <w:tc>
          <w:tcPr>
            <w:tcW w:w="1095" w:type="dxa"/>
          </w:tcPr>
          <w:p>
            <w:pPr>
              <w:pStyle w:val="TableParagraph"/>
              <w:spacing w:line="268" w:lineRule="exact"/>
              <w:ind w:left="427"/>
              <w:rPr>
                <w:sz w:val="24"/>
              </w:rPr>
            </w:pPr>
            <w:r>
              <w:rPr>
                <w:sz w:val="24"/>
              </w:rPr>
              <w:t>34</w:t>
            </w:r>
          </w:p>
        </w:tc>
      </w:tr>
      <w:tr>
        <w:trPr>
          <w:trHeight w:val="417" w:hRule="atLeast"/>
        </w:trPr>
        <w:tc>
          <w:tcPr>
            <w:tcW w:w="8749" w:type="dxa"/>
            <w:gridSpan w:val="2"/>
          </w:tcPr>
          <w:p>
            <w:pPr>
              <w:pStyle w:val="TableParagraph"/>
              <w:ind w:left="1320" w:right="1324"/>
              <w:jc w:val="center"/>
              <w:rPr>
                <w:b/>
                <w:sz w:val="24"/>
              </w:rPr>
            </w:pPr>
            <w:r>
              <w:rPr>
                <w:b/>
                <w:sz w:val="24"/>
              </w:rPr>
              <w:t>Chapter Five: Findings, Recommendations and Conclusion</w:t>
            </w:r>
          </w:p>
        </w:tc>
      </w:tr>
      <w:tr>
        <w:trPr>
          <w:trHeight w:val="412" w:hRule="atLeast"/>
        </w:trPr>
        <w:tc>
          <w:tcPr>
            <w:tcW w:w="7654" w:type="dxa"/>
          </w:tcPr>
          <w:p>
            <w:pPr>
              <w:pStyle w:val="TableParagraph"/>
              <w:spacing w:line="268" w:lineRule="exact"/>
              <w:ind w:left="105"/>
              <w:rPr>
                <w:sz w:val="24"/>
              </w:rPr>
            </w:pPr>
            <w:r>
              <w:rPr>
                <w:sz w:val="24"/>
              </w:rPr>
              <w:t>5.1 Findings of the study</w:t>
            </w:r>
          </w:p>
        </w:tc>
        <w:tc>
          <w:tcPr>
            <w:tcW w:w="1095" w:type="dxa"/>
          </w:tcPr>
          <w:p>
            <w:pPr>
              <w:pStyle w:val="TableParagraph"/>
              <w:spacing w:line="268" w:lineRule="exact"/>
              <w:ind w:left="431"/>
              <w:rPr>
                <w:sz w:val="24"/>
              </w:rPr>
            </w:pPr>
            <w:r>
              <w:rPr>
                <w:sz w:val="24"/>
              </w:rPr>
              <w:t>38</w:t>
            </w:r>
          </w:p>
        </w:tc>
      </w:tr>
      <w:tr>
        <w:trPr>
          <w:trHeight w:val="412" w:hRule="atLeast"/>
        </w:trPr>
        <w:tc>
          <w:tcPr>
            <w:tcW w:w="7654" w:type="dxa"/>
          </w:tcPr>
          <w:p>
            <w:pPr>
              <w:pStyle w:val="TableParagraph"/>
              <w:spacing w:line="268" w:lineRule="exact"/>
              <w:ind w:left="105"/>
              <w:rPr>
                <w:sz w:val="24"/>
              </w:rPr>
            </w:pPr>
            <w:r>
              <w:rPr>
                <w:sz w:val="24"/>
              </w:rPr>
              <w:t>5.2 Recommendations</w:t>
            </w:r>
          </w:p>
        </w:tc>
        <w:tc>
          <w:tcPr>
            <w:tcW w:w="1095" w:type="dxa"/>
          </w:tcPr>
          <w:p>
            <w:pPr>
              <w:pStyle w:val="TableParagraph"/>
              <w:spacing w:line="268" w:lineRule="exact"/>
              <w:ind w:left="431"/>
              <w:rPr>
                <w:sz w:val="24"/>
              </w:rPr>
            </w:pPr>
            <w:r>
              <w:rPr>
                <w:sz w:val="24"/>
              </w:rPr>
              <w:t>39</w:t>
            </w:r>
          </w:p>
        </w:tc>
      </w:tr>
      <w:tr>
        <w:trPr>
          <w:trHeight w:val="417" w:hRule="atLeast"/>
        </w:trPr>
        <w:tc>
          <w:tcPr>
            <w:tcW w:w="7654" w:type="dxa"/>
          </w:tcPr>
          <w:p>
            <w:pPr>
              <w:pStyle w:val="TableParagraph"/>
              <w:spacing w:line="268" w:lineRule="exact"/>
              <w:ind w:left="105"/>
              <w:rPr>
                <w:sz w:val="24"/>
              </w:rPr>
            </w:pPr>
            <w:r>
              <w:rPr>
                <w:sz w:val="24"/>
              </w:rPr>
              <w:t>5.3 Conclusion</w:t>
            </w:r>
          </w:p>
        </w:tc>
        <w:tc>
          <w:tcPr>
            <w:tcW w:w="1095" w:type="dxa"/>
          </w:tcPr>
          <w:p>
            <w:pPr>
              <w:pStyle w:val="TableParagraph"/>
              <w:spacing w:line="268" w:lineRule="exact"/>
              <w:ind w:left="431"/>
              <w:rPr>
                <w:sz w:val="24"/>
              </w:rPr>
            </w:pPr>
            <w:r>
              <w:rPr>
                <w:sz w:val="24"/>
              </w:rPr>
              <w:t>41</w:t>
            </w:r>
          </w:p>
        </w:tc>
      </w:tr>
      <w:tr>
        <w:trPr>
          <w:trHeight w:val="412" w:hRule="atLeast"/>
        </w:trPr>
        <w:tc>
          <w:tcPr>
            <w:tcW w:w="7654" w:type="dxa"/>
          </w:tcPr>
          <w:p>
            <w:pPr>
              <w:pStyle w:val="TableParagraph"/>
              <w:spacing w:line="268" w:lineRule="exact"/>
              <w:ind w:left="105"/>
              <w:rPr>
                <w:sz w:val="24"/>
              </w:rPr>
            </w:pPr>
            <w:r>
              <w:rPr>
                <w:sz w:val="24"/>
              </w:rPr>
              <w:t>References</w:t>
            </w:r>
          </w:p>
        </w:tc>
        <w:tc>
          <w:tcPr>
            <w:tcW w:w="1095" w:type="dxa"/>
          </w:tcPr>
          <w:p>
            <w:pPr>
              <w:pStyle w:val="TableParagraph"/>
              <w:spacing w:line="268" w:lineRule="exact"/>
              <w:ind w:left="431"/>
              <w:rPr>
                <w:sz w:val="24"/>
              </w:rPr>
            </w:pPr>
            <w:r>
              <w:rPr>
                <w:sz w:val="24"/>
              </w:rPr>
              <w:t>42</w:t>
            </w:r>
          </w:p>
        </w:tc>
      </w:tr>
    </w:tbl>
    <w:p>
      <w:pPr>
        <w:spacing w:after="0" w:line="268" w:lineRule="exact"/>
        <w:rPr>
          <w:sz w:val="24"/>
        </w:rPr>
        <w:sectPr>
          <w:pgSz w:w="12240" w:h="15840"/>
          <w:pgMar w:header="0" w:footer="1201" w:top="1440" w:bottom="1400" w:left="1100" w:right="1300"/>
        </w:sectPr>
      </w:pPr>
    </w:p>
    <w:p>
      <w:pPr>
        <w:pStyle w:val="Heading1"/>
        <w:numPr>
          <w:ilvl w:val="1"/>
          <w:numId w:val="1"/>
        </w:numPr>
        <w:tabs>
          <w:tab w:pos="825" w:val="left" w:leader="none"/>
        </w:tabs>
        <w:spacing w:line="240" w:lineRule="auto" w:before="59" w:after="0"/>
        <w:ind w:left="824" w:right="0" w:hanging="485"/>
        <w:jc w:val="left"/>
      </w:pPr>
      <w:r>
        <w:rPr/>
        <w:t>Introduction</w:t>
      </w:r>
    </w:p>
    <w:p>
      <w:pPr>
        <w:pStyle w:val="BodyText"/>
        <w:spacing w:line="360" w:lineRule="auto" w:before="177"/>
        <w:ind w:left="340" w:right="131"/>
        <w:jc w:val="both"/>
      </w:pPr>
      <w:r>
        <w:rPr/>
        <w:t>The Banks play an important role </w:t>
      </w:r>
      <w:r>
        <w:rPr>
          <w:spacing w:val="-3"/>
        </w:rPr>
        <w:t>in </w:t>
      </w:r>
      <w:r>
        <w:rPr/>
        <w:t>the economy of the country. Early banking system served mainly as depositors for funds, while the more modern system has considered the supplying </w:t>
      </w:r>
      <w:r>
        <w:rPr>
          <w:spacing w:val="4"/>
        </w:rPr>
        <w:t>of </w:t>
      </w:r>
      <w:r>
        <w:rPr/>
        <w:t>credit</w:t>
      </w:r>
      <w:r>
        <w:rPr>
          <w:spacing w:val="-16"/>
        </w:rPr>
        <w:t> </w:t>
      </w:r>
      <w:r>
        <w:rPr/>
        <w:t>their</w:t>
      </w:r>
      <w:r>
        <w:rPr>
          <w:spacing w:val="-10"/>
        </w:rPr>
        <w:t> </w:t>
      </w:r>
      <w:r>
        <w:rPr>
          <w:spacing w:val="-3"/>
        </w:rPr>
        <w:t>main</w:t>
      </w:r>
      <w:r>
        <w:rPr>
          <w:spacing w:val="-21"/>
        </w:rPr>
        <w:t> </w:t>
      </w:r>
      <w:r>
        <w:rPr/>
        <w:t>purpose.</w:t>
      </w:r>
      <w:r>
        <w:rPr>
          <w:spacing w:val="-14"/>
        </w:rPr>
        <w:t> </w:t>
      </w:r>
      <w:r>
        <w:rPr/>
        <w:t>Banks</w:t>
      </w:r>
      <w:r>
        <w:rPr>
          <w:spacing w:val="-18"/>
        </w:rPr>
        <w:t> </w:t>
      </w:r>
      <w:r>
        <w:rPr/>
        <w:t>are</w:t>
      </w:r>
      <w:r>
        <w:rPr>
          <w:spacing w:val="-17"/>
        </w:rPr>
        <w:t> </w:t>
      </w:r>
      <w:r>
        <w:rPr/>
        <w:t>financial</w:t>
      </w:r>
      <w:r>
        <w:rPr>
          <w:spacing w:val="-20"/>
        </w:rPr>
        <w:t> </w:t>
      </w:r>
      <w:r>
        <w:rPr/>
        <w:t>institutions</w:t>
      </w:r>
      <w:r>
        <w:rPr>
          <w:spacing w:val="-18"/>
        </w:rPr>
        <w:t> </w:t>
      </w:r>
      <w:r>
        <w:rPr/>
        <w:t>or</w:t>
      </w:r>
      <w:r>
        <w:rPr>
          <w:spacing w:val="-19"/>
        </w:rPr>
        <w:t> </w:t>
      </w:r>
      <w:r>
        <w:rPr/>
        <w:t>financial</w:t>
      </w:r>
      <w:r>
        <w:rPr>
          <w:spacing w:val="-20"/>
        </w:rPr>
        <w:t> </w:t>
      </w:r>
      <w:r>
        <w:rPr/>
        <w:t>intermediary</w:t>
      </w:r>
      <w:r>
        <w:rPr>
          <w:spacing w:val="-28"/>
        </w:rPr>
        <w:t> </w:t>
      </w:r>
      <w:r>
        <w:rPr/>
        <w:t>that</w:t>
      </w:r>
      <w:r>
        <w:rPr>
          <w:spacing w:val="-11"/>
        </w:rPr>
        <w:t> </w:t>
      </w:r>
      <w:r>
        <w:rPr/>
        <w:t>collect</w:t>
      </w:r>
      <w:r>
        <w:rPr>
          <w:spacing w:val="-8"/>
        </w:rPr>
        <w:t> </w:t>
      </w:r>
      <w:r>
        <w:rPr>
          <w:spacing w:val="-3"/>
        </w:rPr>
        <w:t>fund </w:t>
      </w:r>
      <w:r>
        <w:rPr/>
        <w:t>from people as deposit and </w:t>
      </w:r>
      <w:r>
        <w:rPr>
          <w:spacing w:val="-3"/>
        </w:rPr>
        <w:t>lend </w:t>
      </w:r>
      <w:r>
        <w:rPr/>
        <w:t>this </w:t>
      </w:r>
      <w:r>
        <w:rPr>
          <w:spacing w:val="-3"/>
        </w:rPr>
        <w:t>fund </w:t>
      </w:r>
      <w:r>
        <w:rPr/>
        <w:t>as </w:t>
      </w:r>
      <w:r>
        <w:rPr>
          <w:spacing w:val="-3"/>
        </w:rPr>
        <w:t>loans </w:t>
      </w:r>
      <w:r>
        <w:rPr/>
        <w:t>and advances to the borrowers </w:t>
      </w:r>
      <w:r>
        <w:rPr>
          <w:spacing w:val="-3"/>
        </w:rPr>
        <w:t>in </w:t>
      </w:r>
      <w:r>
        <w:rPr/>
        <w:t>different sectors of the economy against interest for a certain</w:t>
      </w:r>
      <w:r>
        <w:rPr>
          <w:spacing w:val="-3"/>
        </w:rPr>
        <w:t> </w:t>
      </w:r>
      <w:r>
        <w:rPr/>
        <w:t>period.</w:t>
      </w:r>
    </w:p>
    <w:p>
      <w:pPr>
        <w:pStyle w:val="BodyText"/>
        <w:spacing w:line="360" w:lineRule="auto"/>
        <w:ind w:left="340" w:right="128"/>
        <w:jc w:val="both"/>
      </w:pPr>
      <w:r>
        <w:rPr/>
        <w:t>Banks play a very important </w:t>
      </w:r>
      <w:r>
        <w:rPr>
          <w:spacing w:val="-3"/>
        </w:rPr>
        <w:t>role in </w:t>
      </w:r>
      <w:r>
        <w:rPr/>
        <w:t>both National and International trade. Now a </w:t>
      </w:r>
      <w:r>
        <w:rPr>
          <w:spacing w:val="-3"/>
        </w:rPr>
        <w:t>day, no </w:t>
      </w:r>
      <w:r>
        <w:rPr/>
        <w:t>country can survive without international trade. Besides, </w:t>
      </w:r>
      <w:r>
        <w:rPr>
          <w:spacing w:val="-3"/>
        </w:rPr>
        <w:t>banks </w:t>
      </w:r>
      <w:r>
        <w:rPr/>
        <w:t>give some other non- conventional administrations like-figuring, </w:t>
      </w:r>
      <w:r>
        <w:rPr>
          <w:spacing w:val="-3"/>
        </w:rPr>
        <w:t>issuing </w:t>
      </w:r>
      <w:r>
        <w:rPr/>
        <w:t>bank ensures and so forth. Which are particularly steady </w:t>
      </w:r>
      <w:r>
        <w:rPr>
          <w:spacing w:val="5"/>
        </w:rPr>
        <w:t>to </w:t>
      </w:r>
      <w:r>
        <w:rPr/>
        <w:t>current business? Monetary improvement </w:t>
      </w:r>
      <w:r>
        <w:rPr>
          <w:spacing w:val="-5"/>
        </w:rPr>
        <w:t>is </w:t>
      </w:r>
      <w:r>
        <w:rPr/>
        <w:t>the pre-condition for any sort of advancement of a nation.</w:t>
      </w:r>
      <w:r>
        <w:rPr>
          <w:spacing w:val="-10"/>
        </w:rPr>
        <w:t> </w:t>
      </w:r>
      <w:r>
        <w:rPr/>
        <w:t>To</w:t>
      </w:r>
      <w:r>
        <w:rPr>
          <w:spacing w:val="-11"/>
        </w:rPr>
        <w:t> </w:t>
      </w:r>
      <w:r>
        <w:rPr/>
        <w:t>support</w:t>
      </w:r>
      <w:r>
        <w:rPr>
          <w:spacing w:val="-7"/>
        </w:rPr>
        <w:t> </w:t>
      </w:r>
      <w:r>
        <w:rPr/>
        <w:t>such</w:t>
      </w:r>
      <w:r>
        <w:rPr>
          <w:spacing w:val="-15"/>
        </w:rPr>
        <w:t> </w:t>
      </w:r>
      <w:r>
        <w:rPr/>
        <w:t>sort</w:t>
      </w:r>
      <w:r>
        <w:rPr>
          <w:spacing w:val="-10"/>
        </w:rPr>
        <w:t> </w:t>
      </w:r>
      <w:r>
        <w:rPr/>
        <w:t>of</w:t>
      </w:r>
      <w:r>
        <w:rPr>
          <w:spacing w:val="-19"/>
        </w:rPr>
        <w:t> </w:t>
      </w:r>
      <w:r>
        <w:rPr/>
        <w:t>advancement</w:t>
      </w:r>
      <w:r>
        <w:rPr>
          <w:spacing w:val="-11"/>
        </w:rPr>
        <w:t> </w:t>
      </w:r>
      <w:r>
        <w:rPr/>
        <w:t>the</w:t>
      </w:r>
      <w:r>
        <w:rPr>
          <w:spacing w:val="-12"/>
        </w:rPr>
        <w:t> </w:t>
      </w:r>
      <w:r>
        <w:rPr/>
        <w:t>commitment</w:t>
      </w:r>
      <w:r>
        <w:rPr>
          <w:spacing w:val="-10"/>
        </w:rPr>
        <w:t> </w:t>
      </w:r>
      <w:r>
        <w:rPr/>
        <w:t>of</w:t>
      </w:r>
      <w:r>
        <w:rPr>
          <w:spacing w:val="-19"/>
        </w:rPr>
        <w:t> </w:t>
      </w:r>
      <w:r>
        <w:rPr/>
        <w:t>various</w:t>
      </w:r>
      <w:r>
        <w:rPr>
          <w:spacing w:val="-9"/>
        </w:rPr>
        <w:t> </w:t>
      </w:r>
      <w:r>
        <w:rPr/>
        <w:t>money</w:t>
      </w:r>
      <w:r>
        <w:rPr>
          <w:spacing w:val="-15"/>
        </w:rPr>
        <w:t> </w:t>
      </w:r>
      <w:r>
        <w:rPr/>
        <w:t>related</w:t>
      </w:r>
      <w:r>
        <w:rPr>
          <w:spacing w:val="-11"/>
        </w:rPr>
        <w:t> </w:t>
      </w:r>
      <w:r>
        <w:rPr/>
        <w:t>association </w:t>
      </w:r>
      <w:r>
        <w:rPr>
          <w:spacing w:val="-3"/>
        </w:rPr>
        <w:t>is</w:t>
      </w:r>
      <w:r>
        <w:rPr>
          <w:spacing w:val="-8"/>
        </w:rPr>
        <w:t> </w:t>
      </w:r>
      <w:r>
        <w:rPr/>
        <w:t>vital.</w:t>
      </w:r>
      <w:r>
        <w:rPr>
          <w:spacing w:val="-8"/>
        </w:rPr>
        <w:t> </w:t>
      </w:r>
      <w:r>
        <w:rPr/>
        <w:t>Presently</w:t>
      </w:r>
      <w:r>
        <w:rPr>
          <w:spacing w:val="-14"/>
        </w:rPr>
        <w:t> </w:t>
      </w:r>
      <w:r>
        <w:rPr/>
        <w:t>a-days</w:t>
      </w:r>
      <w:r>
        <w:rPr>
          <w:spacing w:val="-11"/>
        </w:rPr>
        <w:t> </w:t>
      </w:r>
      <w:r>
        <w:rPr/>
        <w:t>Banking</w:t>
      </w:r>
      <w:r>
        <w:rPr>
          <w:spacing w:val="-10"/>
        </w:rPr>
        <w:t> </w:t>
      </w:r>
      <w:r>
        <w:rPr/>
        <w:t>area</w:t>
      </w:r>
      <w:r>
        <w:rPr>
          <w:spacing w:val="-7"/>
        </w:rPr>
        <w:t> </w:t>
      </w:r>
      <w:r>
        <w:rPr>
          <w:spacing w:val="-3"/>
        </w:rPr>
        <w:t>is</w:t>
      </w:r>
      <w:r>
        <w:rPr>
          <w:spacing w:val="-12"/>
        </w:rPr>
        <w:t> </w:t>
      </w:r>
      <w:r>
        <w:rPr/>
        <w:t>the</w:t>
      </w:r>
      <w:r>
        <w:rPr>
          <w:spacing w:val="-10"/>
        </w:rPr>
        <w:t> </w:t>
      </w:r>
      <w:r>
        <w:rPr/>
        <w:t>rising</w:t>
      </w:r>
      <w:r>
        <w:rPr>
          <w:spacing w:val="-6"/>
        </w:rPr>
        <w:t> </w:t>
      </w:r>
      <w:r>
        <w:rPr/>
        <w:t>part</w:t>
      </w:r>
      <w:r>
        <w:rPr>
          <w:spacing w:val="-9"/>
        </w:rPr>
        <w:t> </w:t>
      </w:r>
      <w:r>
        <w:rPr>
          <w:spacing w:val="-3"/>
        </w:rPr>
        <w:t>if</w:t>
      </w:r>
      <w:r>
        <w:rPr>
          <w:spacing w:val="-17"/>
        </w:rPr>
        <w:t> </w:t>
      </w:r>
      <w:r>
        <w:rPr/>
        <w:t>there</w:t>
      </w:r>
      <w:r>
        <w:rPr>
          <w:spacing w:val="-11"/>
        </w:rPr>
        <w:t> </w:t>
      </w:r>
      <w:r>
        <w:rPr/>
        <w:t>should</w:t>
      </w:r>
      <w:r>
        <w:rPr>
          <w:spacing w:val="-15"/>
        </w:rPr>
        <w:t> </w:t>
      </w:r>
      <w:r>
        <w:rPr>
          <w:spacing w:val="-3"/>
        </w:rPr>
        <w:t>be</w:t>
      </w:r>
      <w:r>
        <w:rPr>
          <w:spacing w:val="-25"/>
        </w:rPr>
        <w:t> </w:t>
      </w:r>
      <w:r>
        <w:rPr/>
        <w:t>an</w:t>
      </w:r>
      <w:r>
        <w:rPr>
          <w:spacing w:val="-22"/>
        </w:rPr>
        <w:t> </w:t>
      </w:r>
      <w:r>
        <w:rPr/>
        <w:t>occurrence</w:t>
      </w:r>
      <w:r>
        <w:rPr>
          <w:spacing w:val="-24"/>
        </w:rPr>
        <w:t> </w:t>
      </w:r>
      <w:r>
        <w:rPr/>
        <w:t>of</w:t>
      </w:r>
      <w:r>
        <w:rPr>
          <w:spacing w:val="-26"/>
        </w:rPr>
        <w:t> </w:t>
      </w:r>
      <w:r>
        <w:rPr/>
        <w:t>financial improvement.</w:t>
      </w:r>
      <w:r>
        <w:rPr>
          <w:spacing w:val="-16"/>
        </w:rPr>
        <w:t> </w:t>
      </w:r>
      <w:r>
        <w:rPr/>
        <w:t>Bank</w:t>
      </w:r>
      <w:r>
        <w:rPr>
          <w:spacing w:val="-19"/>
        </w:rPr>
        <w:t> </w:t>
      </w:r>
      <w:r>
        <w:rPr/>
        <w:t>has</w:t>
      </w:r>
      <w:r>
        <w:rPr>
          <w:spacing w:val="-21"/>
        </w:rPr>
        <w:t> </w:t>
      </w:r>
      <w:r>
        <w:rPr/>
        <w:t>assumed</w:t>
      </w:r>
      <w:r>
        <w:rPr>
          <w:spacing w:val="-18"/>
        </w:rPr>
        <w:t> </w:t>
      </w:r>
      <w:r>
        <w:rPr/>
        <w:t>a</w:t>
      </w:r>
      <w:r>
        <w:rPr>
          <w:spacing w:val="-20"/>
        </w:rPr>
        <w:t> </w:t>
      </w:r>
      <w:r>
        <w:rPr/>
        <w:t>crucial</w:t>
      </w:r>
      <w:r>
        <w:rPr>
          <w:spacing w:val="-23"/>
        </w:rPr>
        <w:t> </w:t>
      </w:r>
      <w:r>
        <w:rPr/>
        <w:t>job</w:t>
      </w:r>
      <w:r>
        <w:rPr>
          <w:spacing w:val="-23"/>
        </w:rPr>
        <w:t> </w:t>
      </w:r>
      <w:r>
        <w:rPr/>
        <w:t>with</w:t>
      </w:r>
      <w:r>
        <w:rPr>
          <w:spacing w:val="-24"/>
        </w:rPr>
        <w:t> </w:t>
      </w:r>
      <w:r>
        <w:rPr/>
        <w:t>regards</w:t>
      </w:r>
      <w:r>
        <w:rPr>
          <w:spacing w:val="-8"/>
        </w:rPr>
        <w:t> </w:t>
      </w:r>
      <w:r>
        <w:rPr/>
        <w:t>to</w:t>
      </w:r>
      <w:r>
        <w:rPr>
          <w:spacing w:val="-5"/>
        </w:rPr>
        <w:t> </w:t>
      </w:r>
      <w:r>
        <w:rPr/>
        <w:t>industrialization.</w:t>
      </w:r>
      <w:r>
        <w:rPr>
          <w:spacing w:val="-4"/>
        </w:rPr>
        <w:t> </w:t>
      </w:r>
      <w:r>
        <w:rPr/>
        <w:t>The</w:t>
      </w:r>
      <w:r>
        <w:rPr>
          <w:spacing w:val="-7"/>
        </w:rPr>
        <w:t> </w:t>
      </w:r>
      <w:r>
        <w:rPr/>
        <w:t>current</w:t>
      </w:r>
      <w:r>
        <w:rPr>
          <w:spacing w:val="-1"/>
        </w:rPr>
        <w:t> </w:t>
      </w:r>
      <w:r>
        <w:rPr/>
        <w:t>state</w:t>
      </w:r>
      <w:r>
        <w:rPr>
          <w:spacing w:val="-12"/>
        </w:rPr>
        <w:t> </w:t>
      </w:r>
      <w:r>
        <w:rPr/>
        <w:t>of managing an account </w:t>
      </w:r>
      <w:r>
        <w:rPr>
          <w:spacing w:val="-3"/>
        </w:rPr>
        <w:t>in </w:t>
      </w:r>
      <w:r>
        <w:rPr/>
        <w:t>Bangladesh isn't monetary support </w:t>
      </w:r>
      <w:r>
        <w:rPr>
          <w:spacing w:val="-3"/>
        </w:rPr>
        <w:t>in </w:t>
      </w:r>
      <w:r>
        <w:rPr/>
        <w:t>light of political distress and nepotism</w:t>
      </w:r>
      <w:r>
        <w:rPr>
          <w:spacing w:val="-14"/>
        </w:rPr>
        <w:t> </w:t>
      </w:r>
      <w:r>
        <w:rPr/>
        <w:t>and</w:t>
      </w:r>
      <w:r>
        <w:rPr>
          <w:spacing w:val="-14"/>
        </w:rPr>
        <w:t> </w:t>
      </w:r>
      <w:r>
        <w:rPr/>
        <w:t>so</w:t>
      </w:r>
      <w:r>
        <w:rPr>
          <w:spacing w:val="-5"/>
        </w:rPr>
        <w:t> </w:t>
      </w:r>
      <w:r>
        <w:rPr/>
        <w:t>forth.</w:t>
      </w:r>
      <w:r>
        <w:rPr>
          <w:spacing w:val="-11"/>
        </w:rPr>
        <w:t> </w:t>
      </w:r>
      <w:r>
        <w:rPr/>
        <w:t>To</w:t>
      </w:r>
      <w:r>
        <w:rPr>
          <w:spacing w:val="-14"/>
        </w:rPr>
        <w:t> </w:t>
      </w:r>
      <w:r>
        <w:rPr>
          <w:spacing w:val="-3"/>
        </w:rPr>
        <w:t>build</w:t>
      </w:r>
      <w:r>
        <w:rPr>
          <w:spacing w:val="-14"/>
        </w:rPr>
        <w:t> </w:t>
      </w:r>
      <w:r>
        <w:rPr/>
        <w:t>up</w:t>
      </w:r>
      <w:r>
        <w:rPr>
          <w:spacing w:val="-14"/>
        </w:rPr>
        <w:t> </w:t>
      </w:r>
      <w:r>
        <w:rPr/>
        <w:t>the</w:t>
      </w:r>
      <w:r>
        <w:rPr>
          <w:spacing w:val="-11"/>
        </w:rPr>
        <w:t> </w:t>
      </w:r>
      <w:r>
        <w:rPr/>
        <w:t>modern</w:t>
      </w:r>
      <w:r>
        <w:rPr>
          <w:spacing w:val="-17"/>
        </w:rPr>
        <w:t> </w:t>
      </w:r>
      <w:r>
        <w:rPr/>
        <w:t>divisions</w:t>
      </w:r>
      <w:r>
        <w:rPr>
          <w:spacing w:val="1"/>
        </w:rPr>
        <w:t> </w:t>
      </w:r>
      <w:r>
        <w:rPr/>
        <w:t>budgetary</w:t>
      </w:r>
      <w:r>
        <w:rPr>
          <w:spacing w:val="-6"/>
        </w:rPr>
        <w:t> </w:t>
      </w:r>
      <w:r>
        <w:rPr/>
        <w:t>help</w:t>
      </w:r>
      <w:r>
        <w:rPr>
          <w:spacing w:val="4"/>
        </w:rPr>
        <w:t> </w:t>
      </w:r>
      <w:r>
        <w:rPr>
          <w:spacing w:val="-3"/>
        </w:rPr>
        <w:t>is </w:t>
      </w:r>
      <w:r>
        <w:rPr/>
        <w:t>critical.</w:t>
      </w:r>
      <w:r>
        <w:rPr>
          <w:spacing w:val="6"/>
        </w:rPr>
        <w:t> </w:t>
      </w:r>
      <w:r>
        <w:rPr/>
        <w:t>Without</w:t>
      </w:r>
      <w:r>
        <w:rPr>
          <w:spacing w:val="-1"/>
        </w:rPr>
        <w:t> </w:t>
      </w:r>
      <w:r>
        <w:rPr/>
        <w:t>money related help </w:t>
      </w:r>
      <w:r>
        <w:rPr>
          <w:spacing w:val="-3"/>
        </w:rPr>
        <w:t>no </w:t>
      </w:r>
      <w:r>
        <w:rPr/>
        <w:t>modern association can set up. So the managing an account association should approach to helping diverse assembling and non- fabricating association to </w:t>
      </w:r>
      <w:r>
        <w:rPr>
          <w:spacing w:val="-3"/>
        </w:rPr>
        <w:t>build </w:t>
      </w:r>
      <w:r>
        <w:rPr/>
        <w:t>up the modern division.</w:t>
      </w:r>
    </w:p>
    <w:p>
      <w:pPr>
        <w:pStyle w:val="BodyText"/>
        <w:spacing w:line="360" w:lineRule="auto" w:before="2"/>
        <w:ind w:left="340" w:right="134"/>
        <w:jc w:val="both"/>
      </w:pPr>
      <w:r>
        <w:rPr/>
        <w:t>Modern banking system plays a vital role for a nation’s economic development. Over the </w:t>
      </w:r>
      <w:r>
        <w:rPr>
          <w:spacing w:val="-4"/>
        </w:rPr>
        <w:t>last </w:t>
      </w:r>
      <w:r>
        <w:rPr/>
        <w:t>few years the banking world has been undergoing a lot of changes due to deregulation, technological innovations, globalization etc. These alterations </w:t>
      </w:r>
      <w:r>
        <w:rPr>
          <w:spacing w:val="-3"/>
        </w:rPr>
        <w:t>in </w:t>
      </w:r>
      <w:r>
        <w:rPr/>
        <w:t>the dealing with a record structure</w:t>
      </w:r>
      <w:r>
        <w:rPr>
          <w:spacing w:val="-44"/>
        </w:rPr>
        <w:t> </w:t>
      </w:r>
      <w:r>
        <w:rPr/>
        <w:t>furthermore gained dynamic changes a country's economy. Present world </w:t>
      </w:r>
      <w:r>
        <w:rPr>
          <w:spacing w:val="-3"/>
        </w:rPr>
        <w:t>is </w:t>
      </w:r>
      <w:r>
        <w:rPr/>
        <w:t>changing rapidly </w:t>
      </w:r>
      <w:r>
        <w:rPr>
          <w:spacing w:val="2"/>
        </w:rPr>
        <w:t>to </w:t>
      </w:r>
      <w:r>
        <w:rPr/>
        <w:t>defy the trial of concentrated free market economy. It </w:t>
      </w:r>
      <w:r>
        <w:rPr>
          <w:spacing w:val="-3"/>
        </w:rPr>
        <w:t>is </w:t>
      </w:r>
      <w:r>
        <w:rPr/>
        <w:t>all around seen that there </w:t>
      </w:r>
      <w:r>
        <w:rPr>
          <w:spacing w:val="-3"/>
        </w:rPr>
        <w:t>is </w:t>
      </w:r>
      <w:r>
        <w:rPr/>
        <w:t>a critical necessity for better, qualified organization and better-readied staff </w:t>
      </w:r>
      <w:r>
        <w:rPr>
          <w:spacing w:val="-3"/>
        </w:rPr>
        <w:t>in </w:t>
      </w:r>
      <w:r>
        <w:rPr/>
        <w:t>the dynamic overall cash related market. Bangladesh </w:t>
      </w:r>
      <w:r>
        <w:rPr>
          <w:spacing w:val="-3"/>
        </w:rPr>
        <w:t>is no </w:t>
      </w:r>
      <w:r>
        <w:rPr/>
        <w:t>extraordinary instances of this example. Managing an account Sector </w:t>
      </w:r>
      <w:r>
        <w:rPr>
          <w:spacing w:val="-3"/>
        </w:rPr>
        <w:t>in </w:t>
      </w:r>
      <w:r>
        <w:rPr/>
        <w:t>Bangladesh </w:t>
      </w:r>
      <w:r>
        <w:rPr>
          <w:spacing w:val="-3"/>
        </w:rPr>
        <w:t>is </w:t>
      </w:r>
      <w:r>
        <w:rPr/>
        <w:t>confronting difficulties from various edges however its prospect </w:t>
      </w:r>
      <w:r>
        <w:rPr>
          <w:spacing w:val="-3"/>
        </w:rPr>
        <w:t>is </w:t>
      </w:r>
      <w:r>
        <w:rPr/>
        <w:t>splendid later on.</w:t>
      </w:r>
    </w:p>
    <w:p>
      <w:pPr>
        <w:spacing w:after="0" w:line="360" w:lineRule="auto"/>
        <w:jc w:val="both"/>
        <w:sectPr>
          <w:footerReference w:type="default" r:id="rId10"/>
          <w:pgSz w:w="12240" w:h="15840"/>
          <w:pgMar w:footer="1237" w:header="0" w:top="1380" w:bottom="1420" w:left="1100" w:right="1300"/>
          <w:pgNumType w:start="1"/>
        </w:sectPr>
      </w:pPr>
    </w:p>
    <w:p>
      <w:pPr>
        <w:pStyle w:val="Heading1"/>
        <w:numPr>
          <w:ilvl w:val="1"/>
          <w:numId w:val="1"/>
        </w:numPr>
        <w:tabs>
          <w:tab w:pos="820" w:val="left" w:leader="none"/>
        </w:tabs>
        <w:spacing w:line="240" w:lineRule="auto" w:before="59" w:after="0"/>
        <w:ind w:left="819" w:right="0" w:hanging="480"/>
        <w:jc w:val="left"/>
      </w:pPr>
      <w:r>
        <w:rPr/>
        <w:t>Background of the study</w:t>
      </w:r>
    </w:p>
    <w:p>
      <w:pPr>
        <w:pStyle w:val="BodyText"/>
        <w:spacing w:line="360" w:lineRule="auto" w:before="177"/>
        <w:ind w:left="340" w:right="135"/>
        <w:jc w:val="both"/>
      </w:pPr>
      <w:r>
        <w:rPr/>
        <w:t>This report </w:t>
      </w:r>
      <w:r>
        <w:rPr>
          <w:spacing w:val="-5"/>
        </w:rPr>
        <w:t>is </w:t>
      </w:r>
      <w:r>
        <w:rPr/>
        <w:t>initiated as the requirement of BBA program </w:t>
      </w:r>
      <w:r>
        <w:rPr>
          <w:spacing w:val="4"/>
        </w:rPr>
        <w:t>of </w:t>
      </w:r>
      <w:r>
        <w:rPr/>
        <w:t>Department of Business Administration of Faculty </w:t>
      </w:r>
      <w:r>
        <w:rPr>
          <w:spacing w:val="4"/>
        </w:rPr>
        <w:t>of </w:t>
      </w:r>
      <w:r>
        <w:rPr/>
        <w:t>Business and Entrepreneurship, Daffodil International University as practical alignment </w:t>
      </w:r>
      <w:r>
        <w:rPr>
          <w:spacing w:val="-3"/>
        </w:rPr>
        <w:t>is </w:t>
      </w:r>
      <w:r>
        <w:rPr/>
        <w:t>an integral part of the BBA program. The study </w:t>
      </w:r>
      <w:r>
        <w:rPr>
          <w:spacing w:val="-5"/>
        </w:rPr>
        <w:t>is </w:t>
      </w:r>
      <w:r>
        <w:rPr>
          <w:spacing w:val="5"/>
        </w:rPr>
        <w:t>on </w:t>
      </w:r>
      <w:r>
        <w:rPr/>
        <w:t>the Financial Performance</w:t>
      </w:r>
      <w:r>
        <w:rPr>
          <w:spacing w:val="-14"/>
        </w:rPr>
        <w:t> </w:t>
      </w:r>
      <w:r>
        <w:rPr/>
        <w:t>Analysis</w:t>
      </w:r>
      <w:r>
        <w:rPr>
          <w:spacing w:val="-19"/>
        </w:rPr>
        <w:t> </w:t>
      </w:r>
      <w:r>
        <w:rPr>
          <w:spacing w:val="4"/>
        </w:rPr>
        <w:t>of</w:t>
      </w:r>
      <w:r>
        <w:rPr>
          <w:spacing w:val="-24"/>
        </w:rPr>
        <w:t> </w:t>
      </w:r>
      <w:r>
        <w:rPr/>
        <w:t>Trust</w:t>
      </w:r>
      <w:r>
        <w:rPr>
          <w:spacing w:val="-12"/>
        </w:rPr>
        <w:t> </w:t>
      </w:r>
      <w:r>
        <w:rPr/>
        <w:t>Bank</w:t>
      </w:r>
      <w:r>
        <w:rPr>
          <w:spacing w:val="-17"/>
        </w:rPr>
        <w:t> </w:t>
      </w:r>
      <w:r>
        <w:rPr/>
        <w:t>Limited,</w:t>
      </w:r>
      <w:r>
        <w:rPr>
          <w:spacing w:val="-14"/>
        </w:rPr>
        <w:t> </w:t>
      </w:r>
      <w:r>
        <w:rPr/>
        <w:t>Jamuna</w:t>
      </w:r>
      <w:r>
        <w:rPr>
          <w:spacing w:val="-18"/>
        </w:rPr>
        <w:t> </w:t>
      </w:r>
      <w:r>
        <w:rPr/>
        <w:t>Bank</w:t>
      </w:r>
      <w:r>
        <w:rPr>
          <w:spacing w:val="-16"/>
        </w:rPr>
        <w:t> </w:t>
      </w:r>
      <w:r>
        <w:rPr/>
        <w:t>Limited,</w:t>
      </w:r>
      <w:r>
        <w:rPr>
          <w:spacing w:val="-15"/>
        </w:rPr>
        <w:t> </w:t>
      </w:r>
      <w:r>
        <w:rPr/>
        <w:t>Bangladesh</w:t>
      </w:r>
      <w:r>
        <w:rPr>
          <w:spacing w:val="-16"/>
        </w:rPr>
        <w:t> </w:t>
      </w:r>
      <w:r>
        <w:rPr/>
        <w:t>Commerce</w:t>
      </w:r>
      <w:r>
        <w:rPr>
          <w:spacing w:val="-18"/>
        </w:rPr>
        <w:t> </w:t>
      </w:r>
      <w:r>
        <w:rPr/>
        <w:t>Bank Limited, Premier Bank Limited and City Bank</w:t>
      </w:r>
      <w:r>
        <w:rPr>
          <w:spacing w:val="4"/>
        </w:rPr>
        <w:t> </w:t>
      </w:r>
      <w:r>
        <w:rPr/>
        <w:t>Limited.</w:t>
      </w:r>
    </w:p>
    <w:p>
      <w:pPr>
        <w:pStyle w:val="BodyText"/>
        <w:rPr>
          <w:sz w:val="26"/>
        </w:rPr>
      </w:pPr>
    </w:p>
    <w:p>
      <w:pPr>
        <w:pStyle w:val="BodyText"/>
        <w:spacing w:before="7"/>
        <w:rPr>
          <w:sz w:val="22"/>
        </w:rPr>
      </w:pPr>
    </w:p>
    <w:p>
      <w:pPr>
        <w:pStyle w:val="Heading1"/>
        <w:numPr>
          <w:ilvl w:val="1"/>
          <w:numId w:val="1"/>
        </w:numPr>
        <w:tabs>
          <w:tab w:pos="825" w:val="left" w:leader="none"/>
        </w:tabs>
        <w:spacing w:line="240" w:lineRule="auto" w:before="0" w:after="0"/>
        <w:ind w:left="824" w:right="0" w:hanging="485"/>
        <w:jc w:val="left"/>
      </w:pPr>
      <w:r>
        <w:rPr/>
        <w:t>Origin of the</w:t>
      </w:r>
      <w:r>
        <w:rPr>
          <w:spacing w:val="-5"/>
        </w:rPr>
        <w:t> </w:t>
      </w:r>
      <w:r>
        <w:rPr/>
        <w:t>study</w:t>
      </w:r>
    </w:p>
    <w:p>
      <w:pPr>
        <w:pStyle w:val="BodyText"/>
        <w:spacing w:line="360" w:lineRule="auto" w:before="177"/>
        <w:ind w:left="340" w:right="131"/>
        <w:jc w:val="both"/>
      </w:pPr>
      <w:r>
        <w:rPr/>
        <w:t>After completing the Degree at Daffodil International University, under the Bachelor of Business Administration curriculum, Mr. Maruf Hossain, the author of this report was prepared the thesis report.</w:t>
      </w:r>
      <w:r>
        <w:rPr>
          <w:spacing w:val="-6"/>
        </w:rPr>
        <w:t> </w:t>
      </w:r>
      <w:r>
        <w:rPr/>
        <w:t>The</w:t>
      </w:r>
      <w:r>
        <w:rPr>
          <w:spacing w:val="-3"/>
        </w:rPr>
        <w:t> </w:t>
      </w:r>
      <w:r>
        <w:rPr/>
        <w:t>report</w:t>
      </w:r>
      <w:r>
        <w:rPr>
          <w:spacing w:val="-3"/>
        </w:rPr>
        <w:t> </w:t>
      </w:r>
      <w:r>
        <w:rPr/>
        <w:t>entitled</w:t>
      </w:r>
      <w:r>
        <w:rPr>
          <w:spacing w:val="-1"/>
        </w:rPr>
        <w:t> </w:t>
      </w:r>
      <w:r>
        <w:rPr>
          <w:b/>
        </w:rPr>
        <w:t>“</w:t>
      </w:r>
      <w:r>
        <w:rPr/>
        <w:t>Financial</w:t>
      </w:r>
      <w:r>
        <w:rPr>
          <w:spacing w:val="-11"/>
        </w:rPr>
        <w:t> </w:t>
      </w:r>
      <w:r>
        <w:rPr/>
        <w:t>Performance</w:t>
      </w:r>
      <w:r>
        <w:rPr>
          <w:spacing w:val="-3"/>
        </w:rPr>
        <w:t> </w:t>
      </w:r>
      <w:r>
        <w:rPr/>
        <w:t>Analysis</w:t>
      </w:r>
      <w:r>
        <w:rPr>
          <w:spacing w:val="-5"/>
        </w:rPr>
        <w:t> </w:t>
      </w:r>
      <w:r>
        <w:rPr/>
        <w:t>of</w:t>
      </w:r>
      <w:r>
        <w:rPr>
          <w:spacing w:val="-10"/>
        </w:rPr>
        <w:t> </w:t>
      </w:r>
      <w:r>
        <w:rPr/>
        <w:t>Trust</w:t>
      </w:r>
      <w:r>
        <w:rPr>
          <w:spacing w:val="-2"/>
        </w:rPr>
        <w:t> </w:t>
      </w:r>
      <w:r>
        <w:rPr/>
        <w:t>Bank</w:t>
      </w:r>
      <w:r>
        <w:rPr>
          <w:spacing w:val="-3"/>
        </w:rPr>
        <w:t> </w:t>
      </w:r>
      <w:r>
        <w:rPr/>
        <w:t>Limited, Jamuna</w:t>
      </w:r>
      <w:r>
        <w:rPr>
          <w:spacing w:val="-4"/>
        </w:rPr>
        <w:t> </w:t>
      </w:r>
      <w:r>
        <w:rPr/>
        <w:t>Bank Limited, Bangladesh Commerce Bank Limited, Premier Bank Limited and City Bank Limited</w:t>
      </w:r>
      <w:r>
        <w:rPr>
          <w:b/>
        </w:rPr>
        <w:t>” </w:t>
      </w:r>
      <w:r>
        <w:rPr/>
        <w:t>has</w:t>
      </w:r>
      <w:r>
        <w:rPr>
          <w:spacing w:val="-12"/>
        </w:rPr>
        <w:t> </w:t>
      </w:r>
      <w:r>
        <w:rPr/>
        <w:t>been</w:t>
      </w:r>
      <w:r>
        <w:rPr>
          <w:spacing w:val="-13"/>
        </w:rPr>
        <w:t> </w:t>
      </w:r>
      <w:r>
        <w:rPr/>
        <w:t>prepared</w:t>
      </w:r>
      <w:r>
        <w:rPr>
          <w:spacing w:val="-9"/>
        </w:rPr>
        <w:t> </w:t>
      </w:r>
      <w:r>
        <w:rPr/>
        <w:t>as</w:t>
      </w:r>
      <w:r>
        <w:rPr>
          <w:spacing w:val="-12"/>
        </w:rPr>
        <w:t> </w:t>
      </w:r>
      <w:r>
        <w:rPr/>
        <w:t>a</w:t>
      </w:r>
      <w:r>
        <w:rPr>
          <w:spacing w:val="-10"/>
        </w:rPr>
        <w:t> </w:t>
      </w:r>
      <w:r>
        <w:rPr/>
        <w:t>partial</w:t>
      </w:r>
      <w:r>
        <w:rPr>
          <w:spacing w:val="-13"/>
        </w:rPr>
        <w:t> </w:t>
      </w:r>
      <w:r>
        <w:rPr/>
        <w:t>fulfillment</w:t>
      </w:r>
      <w:r>
        <w:rPr>
          <w:spacing w:val="-5"/>
        </w:rPr>
        <w:t> </w:t>
      </w:r>
      <w:r>
        <w:rPr/>
        <w:t>of</w:t>
      </w:r>
      <w:r>
        <w:rPr>
          <w:spacing w:val="-12"/>
        </w:rPr>
        <w:t> </w:t>
      </w:r>
      <w:r>
        <w:rPr/>
        <w:t>BBA</w:t>
      </w:r>
      <w:r>
        <w:rPr>
          <w:spacing w:val="-14"/>
        </w:rPr>
        <w:t> </w:t>
      </w:r>
      <w:r>
        <w:rPr/>
        <w:t>program</w:t>
      </w:r>
      <w:r>
        <w:rPr>
          <w:spacing w:val="-18"/>
        </w:rPr>
        <w:t> </w:t>
      </w:r>
      <w:r>
        <w:rPr/>
        <w:t>authorized</w:t>
      </w:r>
      <w:r>
        <w:rPr>
          <w:spacing w:val="-5"/>
        </w:rPr>
        <w:t> </w:t>
      </w:r>
      <w:r>
        <w:rPr/>
        <w:t>by</w:t>
      </w:r>
      <w:r>
        <w:rPr>
          <w:spacing w:val="-11"/>
        </w:rPr>
        <w:t> </w:t>
      </w:r>
      <w:r>
        <w:rPr>
          <w:b/>
        </w:rPr>
        <w:t>Mr.</w:t>
      </w:r>
      <w:r>
        <w:rPr>
          <w:b/>
          <w:spacing w:val="-7"/>
        </w:rPr>
        <w:t> </w:t>
      </w:r>
      <w:r>
        <w:rPr>
          <w:b/>
        </w:rPr>
        <w:t>Mohammed</w:t>
      </w:r>
      <w:r>
        <w:rPr>
          <w:b/>
          <w:spacing w:val="-9"/>
        </w:rPr>
        <w:t> </w:t>
      </w:r>
      <w:r>
        <w:rPr>
          <w:b/>
        </w:rPr>
        <w:t>Nafeez Al Amin, </w:t>
      </w:r>
      <w:r>
        <w:rPr/>
        <w:t>Assistant Professor, Department of Business Administration, Daffodil International University.</w:t>
      </w:r>
    </w:p>
    <w:p>
      <w:pPr>
        <w:pStyle w:val="BodyText"/>
        <w:spacing w:before="8"/>
        <w:rPr>
          <w:sz w:val="36"/>
        </w:rPr>
      </w:pPr>
    </w:p>
    <w:p>
      <w:pPr>
        <w:pStyle w:val="Heading1"/>
        <w:numPr>
          <w:ilvl w:val="1"/>
          <w:numId w:val="1"/>
        </w:numPr>
        <w:tabs>
          <w:tab w:pos="825" w:val="left" w:leader="none"/>
        </w:tabs>
        <w:spacing w:line="240" w:lineRule="auto" w:before="0" w:after="0"/>
        <w:ind w:left="824" w:right="0" w:hanging="485"/>
        <w:jc w:val="left"/>
      </w:pPr>
      <w:r>
        <w:rPr/>
        <w:t>Objectives of the study</w:t>
      </w:r>
    </w:p>
    <w:p>
      <w:pPr>
        <w:pStyle w:val="Heading3"/>
        <w:spacing w:before="183"/>
        <w:jc w:val="both"/>
      </w:pPr>
      <w:r>
        <w:rPr/>
        <w:t>Main Objective:</w:t>
      </w:r>
    </w:p>
    <w:p>
      <w:pPr>
        <w:pStyle w:val="BodyText"/>
        <w:spacing w:line="360" w:lineRule="auto" w:before="132"/>
        <w:ind w:left="340" w:right="140"/>
        <w:jc w:val="both"/>
      </w:pPr>
      <w:r>
        <w:rPr/>
        <w:t>The</w:t>
      </w:r>
      <w:r>
        <w:rPr>
          <w:spacing w:val="-2"/>
        </w:rPr>
        <w:t> </w:t>
      </w:r>
      <w:r>
        <w:rPr/>
        <w:t>main</w:t>
      </w:r>
      <w:r>
        <w:rPr>
          <w:spacing w:val="-10"/>
        </w:rPr>
        <w:t> </w:t>
      </w:r>
      <w:r>
        <w:rPr/>
        <w:t>objective</w:t>
      </w:r>
      <w:r>
        <w:rPr>
          <w:spacing w:val="-6"/>
        </w:rPr>
        <w:t> </w:t>
      </w:r>
      <w:r>
        <w:rPr/>
        <w:t>of</w:t>
      </w:r>
      <w:r>
        <w:rPr>
          <w:spacing w:val="-12"/>
        </w:rPr>
        <w:t> </w:t>
      </w:r>
      <w:r>
        <w:rPr/>
        <w:t>this</w:t>
      </w:r>
      <w:r>
        <w:rPr>
          <w:spacing w:val="-7"/>
        </w:rPr>
        <w:t> </w:t>
      </w:r>
      <w:r>
        <w:rPr/>
        <w:t>report</w:t>
      </w:r>
      <w:r>
        <w:rPr>
          <w:spacing w:val="-1"/>
        </w:rPr>
        <w:t> </w:t>
      </w:r>
      <w:r>
        <w:rPr>
          <w:spacing w:val="-5"/>
        </w:rPr>
        <w:t>is</w:t>
      </w:r>
      <w:r>
        <w:rPr>
          <w:spacing w:val="-7"/>
        </w:rPr>
        <w:t> </w:t>
      </w:r>
      <w:r>
        <w:rPr>
          <w:spacing w:val="2"/>
        </w:rPr>
        <w:t>to</w:t>
      </w:r>
      <w:r>
        <w:rPr/>
        <w:t> analysis</w:t>
      </w:r>
      <w:r>
        <w:rPr>
          <w:spacing w:val="-7"/>
        </w:rPr>
        <w:t> </w:t>
      </w:r>
      <w:r>
        <w:rPr/>
        <w:t>the</w:t>
      </w:r>
      <w:r>
        <w:rPr>
          <w:spacing w:val="-6"/>
        </w:rPr>
        <w:t> </w:t>
      </w:r>
      <w:r>
        <w:rPr/>
        <w:t>comparative</w:t>
      </w:r>
      <w:r>
        <w:rPr>
          <w:spacing w:val="-1"/>
        </w:rPr>
        <w:t> </w:t>
      </w:r>
      <w:r>
        <w:rPr/>
        <w:t>financial</w:t>
      </w:r>
      <w:r>
        <w:rPr>
          <w:spacing w:val="-9"/>
        </w:rPr>
        <w:t> </w:t>
      </w:r>
      <w:r>
        <w:rPr/>
        <w:t>performance</w:t>
      </w:r>
      <w:r>
        <w:rPr>
          <w:spacing w:val="-6"/>
        </w:rPr>
        <w:t> </w:t>
      </w:r>
      <w:r>
        <w:rPr>
          <w:spacing w:val="4"/>
        </w:rPr>
        <w:t>of</w:t>
      </w:r>
      <w:r>
        <w:rPr>
          <w:spacing w:val="-13"/>
        </w:rPr>
        <w:t> </w:t>
      </w:r>
      <w:r>
        <w:rPr/>
        <w:t>the</w:t>
      </w:r>
      <w:r>
        <w:rPr>
          <w:spacing w:val="6"/>
        </w:rPr>
        <w:t> </w:t>
      </w:r>
      <w:r>
        <w:rPr/>
        <w:t>Trust Bank Limited, Jamuna Bank Limited, Bangladesh Commerce Bank Limited, Premier Bank Limited and City Bank</w:t>
      </w:r>
      <w:r>
        <w:rPr>
          <w:spacing w:val="-3"/>
        </w:rPr>
        <w:t> </w:t>
      </w:r>
      <w:r>
        <w:rPr/>
        <w:t>Limited.</w:t>
      </w:r>
    </w:p>
    <w:p>
      <w:pPr>
        <w:pStyle w:val="Heading3"/>
        <w:spacing w:before="6"/>
        <w:jc w:val="both"/>
      </w:pPr>
      <w:r>
        <w:rPr/>
        <w:t>Specific Objectives:</w:t>
      </w:r>
    </w:p>
    <w:p>
      <w:pPr>
        <w:pStyle w:val="ListParagraph"/>
        <w:numPr>
          <w:ilvl w:val="2"/>
          <w:numId w:val="1"/>
        </w:numPr>
        <w:tabs>
          <w:tab w:pos="1061" w:val="left" w:leader="none"/>
        </w:tabs>
        <w:spacing w:line="240" w:lineRule="auto" w:before="132" w:after="0"/>
        <w:ind w:left="1061" w:right="0" w:hanging="361"/>
        <w:jc w:val="both"/>
        <w:rPr>
          <w:sz w:val="24"/>
        </w:rPr>
      </w:pPr>
      <w:r>
        <w:rPr>
          <w:sz w:val="24"/>
        </w:rPr>
        <w:t>To know the theoretical Background of Financial Performance</w:t>
      </w:r>
      <w:r>
        <w:rPr>
          <w:spacing w:val="-12"/>
          <w:sz w:val="24"/>
        </w:rPr>
        <w:t> </w:t>
      </w:r>
      <w:r>
        <w:rPr>
          <w:sz w:val="24"/>
        </w:rPr>
        <w:t>Analysis.</w:t>
      </w:r>
    </w:p>
    <w:p>
      <w:pPr>
        <w:pStyle w:val="ListParagraph"/>
        <w:numPr>
          <w:ilvl w:val="2"/>
          <w:numId w:val="1"/>
        </w:numPr>
        <w:tabs>
          <w:tab w:pos="1061" w:val="left" w:leader="none"/>
        </w:tabs>
        <w:spacing w:line="360" w:lineRule="auto" w:before="142" w:after="0"/>
        <w:ind w:left="1061" w:right="142" w:hanging="361"/>
        <w:jc w:val="both"/>
        <w:rPr>
          <w:sz w:val="24"/>
        </w:rPr>
      </w:pPr>
      <w:r>
        <w:rPr>
          <w:sz w:val="24"/>
        </w:rPr>
        <w:t>To evaluate the comparative financial performance of Trust Bank Limited, Jamuna Bank Limited, Bangladesh Commerce Bank Limited, Premier Bank Limited and City Bank Limited.</w:t>
      </w:r>
    </w:p>
    <w:p>
      <w:pPr>
        <w:pStyle w:val="ListParagraph"/>
        <w:numPr>
          <w:ilvl w:val="2"/>
          <w:numId w:val="1"/>
        </w:numPr>
        <w:tabs>
          <w:tab w:pos="1061" w:val="left" w:leader="none"/>
        </w:tabs>
        <w:spacing w:line="360" w:lineRule="auto" w:before="0" w:after="0"/>
        <w:ind w:left="1061" w:right="141" w:hanging="361"/>
        <w:jc w:val="both"/>
        <w:rPr>
          <w:sz w:val="24"/>
        </w:rPr>
      </w:pPr>
      <w:r>
        <w:rPr>
          <w:sz w:val="24"/>
        </w:rPr>
        <w:t>To </w:t>
      </w:r>
      <w:r>
        <w:rPr>
          <w:spacing w:val="-3"/>
          <w:sz w:val="24"/>
        </w:rPr>
        <w:t>find </w:t>
      </w:r>
      <w:r>
        <w:rPr>
          <w:sz w:val="24"/>
        </w:rPr>
        <w:t>the problems related to the financial performance of Trust Bank Limited, Jamuna Bank</w:t>
      </w:r>
      <w:r>
        <w:rPr>
          <w:spacing w:val="-16"/>
          <w:sz w:val="24"/>
        </w:rPr>
        <w:t> </w:t>
      </w:r>
      <w:r>
        <w:rPr>
          <w:sz w:val="24"/>
        </w:rPr>
        <w:t>Limited,</w:t>
      </w:r>
      <w:r>
        <w:rPr>
          <w:spacing w:val="-14"/>
          <w:sz w:val="24"/>
        </w:rPr>
        <w:t> </w:t>
      </w:r>
      <w:r>
        <w:rPr>
          <w:sz w:val="24"/>
        </w:rPr>
        <w:t>Bangladesh</w:t>
      </w:r>
      <w:r>
        <w:rPr>
          <w:spacing w:val="-16"/>
          <w:sz w:val="24"/>
        </w:rPr>
        <w:t> </w:t>
      </w:r>
      <w:r>
        <w:rPr>
          <w:sz w:val="24"/>
        </w:rPr>
        <w:t>Commerce</w:t>
      </w:r>
      <w:r>
        <w:rPr>
          <w:spacing w:val="-17"/>
          <w:sz w:val="24"/>
        </w:rPr>
        <w:t> </w:t>
      </w:r>
      <w:r>
        <w:rPr>
          <w:sz w:val="24"/>
        </w:rPr>
        <w:t>Bank</w:t>
      </w:r>
      <w:r>
        <w:rPr>
          <w:spacing w:val="-16"/>
          <w:sz w:val="24"/>
        </w:rPr>
        <w:t> </w:t>
      </w:r>
      <w:r>
        <w:rPr>
          <w:sz w:val="24"/>
        </w:rPr>
        <w:t>Limited,</w:t>
      </w:r>
      <w:r>
        <w:rPr>
          <w:spacing w:val="-14"/>
          <w:sz w:val="24"/>
        </w:rPr>
        <w:t> </w:t>
      </w:r>
      <w:r>
        <w:rPr>
          <w:sz w:val="24"/>
        </w:rPr>
        <w:t>Premier</w:t>
      </w:r>
      <w:r>
        <w:rPr>
          <w:spacing w:val="-15"/>
          <w:sz w:val="24"/>
        </w:rPr>
        <w:t> </w:t>
      </w:r>
      <w:r>
        <w:rPr>
          <w:sz w:val="24"/>
        </w:rPr>
        <w:t>Bank</w:t>
      </w:r>
      <w:r>
        <w:rPr>
          <w:spacing w:val="-15"/>
          <w:sz w:val="24"/>
        </w:rPr>
        <w:t> </w:t>
      </w:r>
      <w:r>
        <w:rPr>
          <w:sz w:val="24"/>
        </w:rPr>
        <w:t>Limited</w:t>
      </w:r>
      <w:r>
        <w:rPr>
          <w:spacing w:val="-16"/>
          <w:sz w:val="24"/>
        </w:rPr>
        <w:t> </w:t>
      </w:r>
      <w:r>
        <w:rPr>
          <w:sz w:val="24"/>
        </w:rPr>
        <w:t>and</w:t>
      </w:r>
      <w:r>
        <w:rPr>
          <w:spacing w:val="-16"/>
          <w:sz w:val="24"/>
        </w:rPr>
        <w:t> </w:t>
      </w:r>
      <w:r>
        <w:rPr>
          <w:sz w:val="24"/>
        </w:rPr>
        <w:t>City</w:t>
      </w:r>
      <w:r>
        <w:rPr>
          <w:spacing w:val="-21"/>
          <w:sz w:val="24"/>
        </w:rPr>
        <w:t> </w:t>
      </w:r>
      <w:r>
        <w:rPr>
          <w:sz w:val="24"/>
        </w:rPr>
        <w:t>Bank Limited.</w:t>
      </w:r>
    </w:p>
    <w:p>
      <w:pPr>
        <w:pStyle w:val="ListParagraph"/>
        <w:numPr>
          <w:ilvl w:val="2"/>
          <w:numId w:val="1"/>
        </w:numPr>
        <w:tabs>
          <w:tab w:pos="1061" w:val="left" w:leader="none"/>
        </w:tabs>
        <w:spacing w:line="240" w:lineRule="auto" w:before="0" w:after="0"/>
        <w:ind w:left="1061" w:right="0" w:hanging="361"/>
        <w:jc w:val="both"/>
        <w:rPr>
          <w:sz w:val="24"/>
        </w:rPr>
      </w:pPr>
      <w:r>
        <w:rPr>
          <w:sz w:val="24"/>
        </w:rPr>
        <w:t>To make some recommendations </w:t>
      </w:r>
      <w:r>
        <w:rPr>
          <w:spacing w:val="2"/>
          <w:sz w:val="24"/>
        </w:rPr>
        <w:t>to </w:t>
      </w:r>
      <w:r>
        <w:rPr>
          <w:sz w:val="24"/>
        </w:rPr>
        <w:t>improve the financial performance of Trust</w:t>
      </w:r>
      <w:r>
        <w:rPr>
          <w:spacing w:val="-19"/>
          <w:sz w:val="24"/>
        </w:rPr>
        <w:t> </w:t>
      </w:r>
      <w:r>
        <w:rPr>
          <w:sz w:val="24"/>
        </w:rPr>
        <w:t>Bank</w:t>
      </w:r>
    </w:p>
    <w:p>
      <w:pPr>
        <w:spacing w:after="0" w:line="240" w:lineRule="auto"/>
        <w:jc w:val="both"/>
        <w:rPr>
          <w:sz w:val="24"/>
        </w:rPr>
        <w:sectPr>
          <w:pgSz w:w="12240" w:h="15840"/>
          <w:pgMar w:header="0" w:footer="1237" w:top="1380" w:bottom="1440" w:left="1100" w:right="1300"/>
        </w:sectPr>
      </w:pPr>
    </w:p>
    <w:p>
      <w:pPr>
        <w:pStyle w:val="BodyText"/>
        <w:spacing w:line="360" w:lineRule="auto" w:before="72"/>
        <w:ind w:left="1061"/>
      </w:pPr>
      <w:r>
        <w:rPr/>
        <w:t>Limited, Jamuna Bank Limited, Bangladesh Commerce Bank Limited, Premier Bank Limited and City Bank</w:t>
      </w:r>
      <w:r>
        <w:rPr>
          <w:spacing w:val="-3"/>
        </w:rPr>
        <w:t> </w:t>
      </w:r>
      <w:r>
        <w:rPr/>
        <w:t>Limited.</w:t>
      </w:r>
    </w:p>
    <w:p>
      <w:pPr>
        <w:pStyle w:val="BodyText"/>
        <w:spacing w:before="9"/>
        <w:rPr>
          <w:sz w:val="36"/>
        </w:rPr>
      </w:pPr>
    </w:p>
    <w:p>
      <w:pPr>
        <w:pStyle w:val="Heading1"/>
        <w:numPr>
          <w:ilvl w:val="1"/>
          <w:numId w:val="1"/>
        </w:numPr>
        <w:tabs>
          <w:tab w:pos="825" w:val="left" w:leader="none"/>
        </w:tabs>
        <w:spacing w:line="240" w:lineRule="auto" w:before="0" w:after="0"/>
        <w:ind w:left="824" w:right="0" w:hanging="485"/>
        <w:jc w:val="left"/>
      </w:pPr>
      <w:r>
        <w:rPr/>
        <w:t>Scope of the</w:t>
      </w:r>
      <w:r>
        <w:rPr>
          <w:spacing w:val="-12"/>
        </w:rPr>
        <w:t> </w:t>
      </w:r>
      <w:r>
        <w:rPr/>
        <w:t>study</w:t>
      </w:r>
    </w:p>
    <w:p>
      <w:pPr>
        <w:pStyle w:val="BodyText"/>
        <w:spacing w:line="360" w:lineRule="auto" w:before="177"/>
        <w:ind w:left="340" w:right="136"/>
        <w:jc w:val="both"/>
      </w:pPr>
      <w:r>
        <w:rPr/>
        <w:t>In this report, a brief introduction of those four companies significant background, goals, obligations</w:t>
      </w:r>
      <w:r>
        <w:rPr>
          <w:spacing w:val="-10"/>
        </w:rPr>
        <w:t> </w:t>
      </w:r>
      <w:r>
        <w:rPr/>
        <w:t>and</w:t>
      </w:r>
      <w:r>
        <w:rPr>
          <w:spacing w:val="-7"/>
        </w:rPr>
        <w:t> </w:t>
      </w:r>
      <w:r>
        <w:rPr/>
        <w:t>special</w:t>
      </w:r>
      <w:r>
        <w:rPr>
          <w:spacing w:val="-7"/>
        </w:rPr>
        <w:t> </w:t>
      </w:r>
      <w:r>
        <w:rPr/>
        <w:t>features</w:t>
      </w:r>
      <w:r>
        <w:rPr>
          <w:spacing w:val="-10"/>
        </w:rPr>
        <w:t> </w:t>
      </w:r>
      <w:r>
        <w:rPr/>
        <w:t>and</w:t>
      </w:r>
      <w:r>
        <w:rPr>
          <w:spacing w:val="-7"/>
        </w:rPr>
        <w:t> </w:t>
      </w:r>
      <w:r>
        <w:rPr/>
        <w:t>analyze</w:t>
      </w:r>
      <w:r>
        <w:rPr>
          <w:spacing w:val="-8"/>
        </w:rPr>
        <w:t> </w:t>
      </w:r>
      <w:r>
        <w:rPr/>
        <w:t>the</w:t>
      </w:r>
      <w:r>
        <w:rPr>
          <w:spacing w:val="-9"/>
        </w:rPr>
        <w:t> </w:t>
      </w:r>
      <w:r>
        <w:rPr/>
        <w:t>financial</w:t>
      </w:r>
      <w:r>
        <w:rPr>
          <w:spacing w:val="-11"/>
        </w:rPr>
        <w:t> </w:t>
      </w:r>
      <w:r>
        <w:rPr/>
        <w:t>performance</w:t>
      </w:r>
      <w:r>
        <w:rPr>
          <w:spacing w:val="-8"/>
        </w:rPr>
        <w:t> </w:t>
      </w:r>
      <w:r>
        <w:rPr>
          <w:spacing w:val="4"/>
        </w:rPr>
        <w:t>of</w:t>
      </w:r>
      <w:r>
        <w:rPr>
          <w:spacing w:val="-15"/>
        </w:rPr>
        <w:t> </w:t>
      </w:r>
      <w:r>
        <w:rPr/>
        <w:t>5</w:t>
      </w:r>
      <w:r>
        <w:rPr>
          <w:spacing w:val="-7"/>
        </w:rPr>
        <w:t> </w:t>
      </w:r>
      <w:r>
        <w:rPr/>
        <w:t>selected</w:t>
      </w:r>
      <w:r>
        <w:rPr>
          <w:spacing w:val="-7"/>
        </w:rPr>
        <w:t> </w:t>
      </w:r>
      <w:r>
        <w:rPr/>
        <w:t>private</w:t>
      </w:r>
      <w:r>
        <w:rPr>
          <w:spacing w:val="-9"/>
        </w:rPr>
        <w:t> </w:t>
      </w:r>
      <w:r>
        <w:rPr/>
        <w:t>banks. Most of the data used </w:t>
      </w:r>
      <w:r>
        <w:rPr>
          <w:spacing w:val="-3"/>
        </w:rPr>
        <w:t>in </w:t>
      </w:r>
      <w:r>
        <w:rPr/>
        <w:t>the reporting of the report are from secondary</w:t>
      </w:r>
      <w:r>
        <w:rPr>
          <w:spacing w:val="-19"/>
        </w:rPr>
        <w:t> </w:t>
      </w:r>
      <w:r>
        <w:rPr/>
        <w:t>sources.</w:t>
      </w:r>
    </w:p>
    <w:p>
      <w:pPr>
        <w:pStyle w:val="BodyText"/>
        <w:spacing w:before="7"/>
        <w:rPr>
          <w:sz w:val="36"/>
        </w:rPr>
      </w:pPr>
    </w:p>
    <w:p>
      <w:pPr>
        <w:pStyle w:val="Heading1"/>
        <w:numPr>
          <w:ilvl w:val="1"/>
          <w:numId w:val="1"/>
        </w:numPr>
        <w:tabs>
          <w:tab w:pos="825" w:val="left" w:leader="none"/>
        </w:tabs>
        <w:spacing w:line="240" w:lineRule="auto" w:before="0" w:after="0"/>
        <w:ind w:left="824" w:right="0" w:hanging="485"/>
        <w:jc w:val="left"/>
      </w:pPr>
      <w:r>
        <w:rPr/>
        <w:t>Methodology of the</w:t>
      </w:r>
      <w:r>
        <w:rPr>
          <w:spacing w:val="-2"/>
        </w:rPr>
        <w:t> </w:t>
      </w:r>
      <w:r>
        <w:rPr/>
        <w:t>study</w:t>
      </w:r>
    </w:p>
    <w:p>
      <w:pPr>
        <w:pStyle w:val="BodyText"/>
        <w:spacing w:line="360" w:lineRule="auto" w:before="178"/>
        <w:ind w:left="340" w:right="135"/>
      </w:pPr>
      <w:r>
        <w:rPr/>
        <w:t>All the appropriate information from those company’s annual report, website and some Information is taken from friends and observation.</w:t>
      </w:r>
    </w:p>
    <w:p>
      <w:pPr>
        <w:pStyle w:val="Heading3"/>
        <w:spacing w:before="3"/>
      </w:pPr>
      <w:r>
        <w:rPr/>
        <w:t>Sources of data</w:t>
      </w:r>
    </w:p>
    <w:p>
      <w:pPr>
        <w:pStyle w:val="BodyText"/>
        <w:spacing w:before="132"/>
        <w:ind w:left="340"/>
      </w:pPr>
      <w:r>
        <w:rPr/>
        <w:t>All the relevant data regarding this report are collected from Secondary data</w:t>
      </w:r>
    </w:p>
    <w:p>
      <w:pPr>
        <w:pStyle w:val="ListParagraph"/>
        <w:numPr>
          <w:ilvl w:val="0"/>
          <w:numId w:val="2"/>
        </w:numPr>
        <w:tabs>
          <w:tab w:pos="1060" w:val="left" w:leader="none"/>
          <w:tab w:pos="1061" w:val="left" w:leader="none"/>
        </w:tabs>
        <w:spacing w:line="240" w:lineRule="auto" w:before="143" w:after="0"/>
        <w:ind w:left="1061" w:right="0" w:hanging="361"/>
        <w:jc w:val="left"/>
        <w:rPr>
          <w:sz w:val="24"/>
        </w:rPr>
      </w:pPr>
      <w:r>
        <w:rPr>
          <w:sz w:val="24"/>
        </w:rPr>
        <w:t>Annual</w:t>
      </w:r>
      <w:r>
        <w:rPr>
          <w:spacing w:val="-7"/>
          <w:sz w:val="24"/>
        </w:rPr>
        <w:t> </w:t>
      </w:r>
      <w:r>
        <w:rPr>
          <w:sz w:val="24"/>
        </w:rPr>
        <w:t>report.</w:t>
      </w:r>
    </w:p>
    <w:p>
      <w:pPr>
        <w:pStyle w:val="ListParagraph"/>
        <w:numPr>
          <w:ilvl w:val="0"/>
          <w:numId w:val="2"/>
        </w:numPr>
        <w:tabs>
          <w:tab w:pos="1060" w:val="left" w:leader="none"/>
          <w:tab w:pos="1061" w:val="left" w:leader="none"/>
        </w:tabs>
        <w:spacing w:line="240" w:lineRule="auto" w:before="134" w:after="0"/>
        <w:ind w:left="1061" w:right="0" w:hanging="361"/>
        <w:jc w:val="left"/>
        <w:rPr>
          <w:sz w:val="24"/>
        </w:rPr>
      </w:pPr>
      <w:r>
        <w:rPr>
          <w:sz w:val="24"/>
        </w:rPr>
        <w:t>Different</w:t>
      </w:r>
      <w:r>
        <w:rPr>
          <w:spacing w:val="7"/>
          <w:sz w:val="24"/>
        </w:rPr>
        <w:t> </w:t>
      </w:r>
      <w:r>
        <w:rPr>
          <w:sz w:val="24"/>
        </w:rPr>
        <w:t>articles.</w:t>
      </w:r>
    </w:p>
    <w:p>
      <w:pPr>
        <w:pStyle w:val="ListParagraph"/>
        <w:numPr>
          <w:ilvl w:val="0"/>
          <w:numId w:val="2"/>
        </w:numPr>
        <w:tabs>
          <w:tab w:pos="1060" w:val="left" w:leader="none"/>
          <w:tab w:pos="1061" w:val="left" w:leader="none"/>
        </w:tabs>
        <w:spacing w:line="240" w:lineRule="auto" w:before="138" w:after="0"/>
        <w:ind w:left="1061" w:right="0" w:hanging="361"/>
        <w:jc w:val="left"/>
        <w:rPr>
          <w:sz w:val="24"/>
        </w:rPr>
      </w:pPr>
      <w:r>
        <w:rPr>
          <w:sz w:val="24"/>
        </w:rPr>
        <w:t>Website of those</w:t>
      </w:r>
      <w:r>
        <w:rPr>
          <w:spacing w:val="-7"/>
          <w:sz w:val="24"/>
        </w:rPr>
        <w:t> </w:t>
      </w:r>
      <w:r>
        <w:rPr>
          <w:sz w:val="24"/>
        </w:rPr>
        <w:t>companies.</w:t>
      </w:r>
    </w:p>
    <w:p>
      <w:pPr>
        <w:pStyle w:val="ListParagraph"/>
        <w:numPr>
          <w:ilvl w:val="0"/>
          <w:numId w:val="2"/>
        </w:numPr>
        <w:tabs>
          <w:tab w:pos="1060" w:val="left" w:leader="none"/>
          <w:tab w:pos="1061" w:val="left" w:leader="none"/>
        </w:tabs>
        <w:spacing w:line="240" w:lineRule="auto" w:before="138" w:after="0"/>
        <w:ind w:left="1061" w:right="0" w:hanging="361"/>
        <w:jc w:val="left"/>
        <w:rPr>
          <w:sz w:val="24"/>
        </w:rPr>
      </w:pPr>
      <w:r>
        <w:rPr>
          <w:sz w:val="24"/>
        </w:rPr>
        <w:t>Published material and office circulars of those</w:t>
      </w:r>
      <w:r>
        <w:rPr>
          <w:spacing w:val="-6"/>
          <w:sz w:val="24"/>
        </w:rPr>
        <w:t> </w:t>
      </w:r>
      <w:r>
        <w:rPr>
          <w:sz w:val="24"/>
        </w:rPr>
        <w:t>companies</w:t>
      </w:r>
    </w:p>
    <w:p>
      <w:pPr>
        <w:pStyle w:val="Heading3"/>
        <w:spacing w:before="141"/>
      </w:pPr>
      <w:r>
        <w:rPr/>
        <w:t>Data analysis and reporting</w:t>
      </w:r>
    </w:p>
    <w:p>
      <w:pPr>
        <w:pStyle w:val="BodyText"/>
        <w:spacing w:before="132"/>
        <w:ind w:left="340"/>
      </w:pPr>
      <w:r>
        <w:rPr/>
        <w:t>Microsoft word and Microsoft excel used to analyze, process, represents the assembled data.</w:t>
      </w:r>
    </w:p>
    <w:p>
      <w:pPr>
        <w:pStyle w:val="BodyText"/>
        <w:rPr>
          <w:sz w:val="26"/>
        </w:rPr>
      </w:pPr>
    </w:p>
    <w:p>
      <w:pPr>
        <w:pStyle w:val="BodyText"/>
        <w:spacing w:before="6"/>
        <w:rPr>
          <w:sz w:val="34"/>
        </w:rPr>
      </w:pPr>
    </w:p>
    <w:p>
      <w:pPr>
        <w:pStyle w:val="Heading1"/>
        <w:numPr>
          <w:ilvl w:val="1"/>
          <w:numId w:val="1"/>
        </w:numPr>
        <w:tabs>
          <w:tab w:pos="821" w:val="left" w:leader="none"/>
        </w:tabs>
        <w:spacing w:line="365" w:lineRule="exact" w:before="0" w:after="0"/>
        <w:ind w:left="820" w:right="0" w:hanging="481"/>
        <w:jc w:val="left"/>
      </w:pPr>
      <w:r>
        <w:rPr/>
        <w:t>Limitations of the</w:t>
      </w:r>
      <w:r>
        <w:rPr>
          <w:spacing w:val="-4"/>
        </w:rPr>
        <w:t> </w:t>
      </w:r>
      <w:r>
        <w:rPr/>
        <w:t>study</w:t>
      </w:r>
    </w:p>
    <w:p>
      <w:pPr>
        <w:pStyle w:val="BodyText"/>
        <w:spacing w:line="362" w:lineRule="auto"/>
        <w:ind w:left="340" w:right="139"/>
        <w:jc w:val="both"/>
      </w:pPr>
      <w:r>
        <w:rPr/>
        <w:t>In spite of my hard work the study has some limitations. All the necessary data are not available in the company’s annual report or website. That’s why when preparing this report, I was faced those limitations such as:</w:t>
      </w:r>
    </w:p>
    <w:p>
      <w:pPr>
        <w:pStyle w:val="ListParagraph"/>
        <w:numPr>
          <w:ilvl w:val="0"/>
          <w:numId w:val="3"/>
        </w:numPr>
        <w:tabs>
          <w:tab w:pos="1060" w:val="left" w:leader="none"/>
          <w:tab w:pos="1061" w:val="left" w:leader="none"/>
        </w:tabs>
        <w:spacing w:line="290" w:lineRule="exact" w:before="0" w:after="0"/>
        <w:ind w:left="1061" w:right="0" w:hanging="361"/>
        <w:jc w:val="left"/>
        <w:rPr>
          <w:sz w:val="24"/>
        </w:rPr>
      </w:pPr>
      <w:r>
        <w:rPr>
          <w:sz w:val="24"/>
        </w:rPr>
        <w:t>Lack of usable</w:t>
      </w:r>
      <w:r>
        <w:rPr>
          <w:spacing w:val="2"/>
          <w:sz w:val="24"/>
        </w:rPr>
        <w:t> </w:t>
      </w:r>
      <w:r>
        <w:rPr>
          <w:sz w:val="24"/>
        </w:rPr>
        <w:t>information.</w:t>
      </w:r>
    </w:p>
    <w:p>
      <w:pPr>
        <w:pStyle w:val="ListParagraph"/>
        <w:numPr>
          <w:ilvl w:val="0"/>
          <w:numId w:val="3"/>
        </w:numPr>
        <w:tabs>
          <w:tab w:pos="1060" w:val="left" w:leader="none"/>
          <w:tab w:pos="1061" w:val="left" w:leader="none"/>
        </w:tabs>
        <w:spacing w:line="240" w:lineRule="auto" w:before="135" w:after="0"/>
        <w:ind w:left="1061" w:right="0" w:hanging="361"/>
        <w:jc w:val="left"/>
        <w:rPr>
          <w:sz w:val="24"/>
        </w:rPr>
      </w:pPr>
      <w:r>
        <w:rPr>
          <w:sz w:val="24"/>
        </w:rPr>
        <w:t>Lack of</w:t>
      </w:r>
      <w:r>
        <w:rPr>
          <w:spacing w:val="-5"/>
          <w:sz w:val="24"/>
        </w:rPr>
        <w:t> </w:t>
      </w:r>
      <w:r>
        <w:rPr>
          <w:sz w:val="24"/>
        </w:rPr>
        <w:t>time.</w:t>
      </w:r>
    </w:p>
    <w:p>
      <w:pPr>
        <w:pStyle w:val="ListParagraph"/>
        <w:numPr>
          <w:ilvl w:val="0"/>
          <w:numId w:val="3"/>
        </w:numPr>
        <w:tabs>
          <w:tab w:pos="1060" w:val="left" w:leader="none"/>
          <w:tab w:pos="1061" w:val="left" w:leader="none"/>
        </w:tabs>
        <w:spacing w:line="240" w:lineRule="auto" w:before="138" w:after="0"/>
        <w:ind w:left="1061" w:right="0" w:hanging="361"/>
        <w:jc w:val="left"/>
        <w:rPr>
          <w:sz w:val="24"/>
        </w:rPr>
      </w:pPr>
      <w:r>
        <w:rPr>
          <w:sz w:val="24"/>
        </w:rPr>
        <w:t>Lack of</w:t>
      </w:r>
      <w:r>
        <w:rPr>
          <w:spacing w:val="-5"/>
          <w:sz w:val="24"/>
        </w:rPr>
        <w:t> </w:t>
      </w:r>
      <w:r>
        <w:rPr>
          <w:sz w:val="24"/>
        </w:rPr>
        <w:t>experience.</w:t>
      </w:r>
    </w:p>
    <w:p>
      <w:pPr>
        <w:pStyle w:val="ListParagraph"/>
        <w:numPr>
          <w:ilvl w:val="0"/>
          <w:numId w:val="3"/>
        </w:numPr>
        <w:tabs>
          <w:tab w:pos="1060" w:val="left" w:leader="none"/>
          <w:tab w:pos="1061" w:val="left" w:leader="none"/>
        </w:tabs>
        <w:spacing w:line="240" w:lineRule="auto" w:before="134" w:after="0"/>
        <w:ind w:left="1061" w:right="0" w:hanging="361"/>
        <w:jc w:val="left"/>
        <w:rPr>
          <w:sz w:val="24"/>
        </w:rPr>
      </w:pPr>
      <w:r>
        <w:rPr>
          <w:sz w:val="24"/>
        </w:rPr>
        <w:t>Limited access </w:t>
      </w:r>
      <w:r>
        <w:rPr>
          <w:spacing w:val="2"/>
          <w:sz w:val="24"/>
        </w:rPr>
        <w:t>to </w:t>
      </w:r>
      <w:r>
        <w:rPr>
          <w:sz w:val="24"/>
        </w:rPr>
        <w:t>essential information preserved by those</w:t>
      </w:r>
      <w:r>
        <w:rPr>
          <w:spacing w:val="-14"/>
          <w:sz w:val="24"/>
        </w:rPr>
        <w:t> </w:t>
      </w:r>
      <w:r>
        <w:rPr>
          <w:sz w:val="24"/>
        </w:rPr>
        <w:t>companies.</w:t>
      </w:r>
    </w:p>
    <w:p>
      <w:pPr>
        <w:spacing w:after="0" w:line="240" w:lineRule="auto"/>
        <w:jc w:val="left"/>
        <w:rPr>
          <w:sz w:val="24"/>
        </w:rPr>
        <w:sectPr>
          <w:pgSz w:w="12240" w:h="15840"/>
          <w:pgMar w:header="0" w:footer="1237" w:top="1360" w:bottom="1440" w:left="1100" w:right="1300"/>
        </w:sectPr>
      </w:pPr>
    </w:p>
    <w:p>
      <w:pPr>
        <w:pStyle w:val="Heading1"/>
        <w:numPr>
          <w:ilvl w:val="1"/>
          <w:numId w:val="4"/>
        </w:numPr>
        <w:tabs>
          <w:tab w:pos="825" w:val="left" w:leader="none"/>
        </w:tabs>
        <w:spacing w:line="240" w:lineRule="auto" w:before="59" w:after="0"/>
        <w:ind w:left="824" w:right="0" w:hanging="485"/>
        <w:jc w:val="left"/>
      </w:pPr>
      <w:r>
        <w:rPr/>
        <w:t>Overview of Trust Bank</w:t>
      </w:r>
      <w:r>
        <w:rPr>
          <w:spacing w:val="-19"/>
        </w:rPr>
        <w:t> </w:t>
      </w:r>
      <w:r>
        <w:rPr/>
        <w:t>Limited</w:t>
      </w:r>
    </w:p>
    <w:p>
      <w:pPr>
        <w:pStyle w:val="Heading3"/>
        <w:spacing w:before="182"/>
        <w:jc w:val="both"/>
      </w:pPr>
      <w:r>
        <w:rPr/>
        <w:t>History of Trust Bank Limited</w:t>
      </w:r>
    </w:p>
    <w:p>
      <w:pPr>
        <w:pStyle w:val="BodyText"/>
        <w:spacing w:line="360" w:lineRule="auto" w:before="132"/>
        <w:ind w:left="340" w:right="137"/>
        <w:jc w:val="both"/>
      </w:pPr>
      <w:r>
        <w:rPr>
          <w:spacing w:val="7"/>
        </w:rPr>
        <w:t>Trust </w:t>
      </w:r>
      <w:r>
        <w:rPr>
          <w:spacing w:val="6"/>
        </w:rPr>
        <w:t>bank </w:t>
      </w:r>
      <w:r>
        <w:rPr>
          <w:spacing w:val="5"/>
        </w:rPr>
        <w:t>ltd </w:t>
      </w:r>
      <w:r>
        <w:rPr>
          <w:spacing w:val="10"/>
        </w:rPr>
        <w:t>established </w:t>
      </w:r>
      <w:r>
        <w:rPr>
          <w:spacing w:val="6"/>
        </w:rPr>
        <w:t>1999 </w:t>
      </w:r>
      <w:r>
        <w:rPr/>
        <w:t>in </w:t>
      </w:r>
      <w:r>
        <w:rPr>
          <w:spacing w:val="11"/>
        </w:rPr>
        <w:t>Bangladesh. </w:t>
      </w:r>
      <w:r>
        <w:rPr/>
        <w:t>It is </w:t>
      </w:r>
      <w:r>
        <w:rPr>
          <w:spacing w:val="6"/>
        </w:rPr>
        <w:t>the </w:t>
      </w:r>
      <w:r>
        <w:rPr>
          <w:spacing w:val="10"/>
        </w:rPr>
        <w:t>private commercial </w:t>
      </w:r>
      <w:r>
        <w:rPr>
          <w:spacing w:val="7"/>
        </w:rPr>
        <w:t>bank. </w:t>
      </w:r>
      <w:r>
        <w:rPr>
          <w:spacing w:val="10"/>
        </w:rPr>
        <w:t>Bangladesh </w:t>
      </w:r>
      <w:r>
        <w:rPr>
          <w:spacing w:val="6"/>
        </w:rPr>
        <w:t>Army </w:t>
      </w:r>
      <w:r>
        <w:rPr>
          <w:spacing w:val="10"/>
        </w:rPr>
        <w:t>backed </w:t>
      </w:r>
      <w:r>
        <w:rPr>
          <w:spacing w:val="7"/>
        </w:rPr>
        <w:t>this </w:t>
      </w:r>
      <w:r>
        <w:rPr>
          <w:spacing w:val="9"/>
        </w:rPr>
        <w:t>welfare </w:t>
      </w:r>
      <w:r>
        <w:rPr>
          <w:spacing w:val="10"/>
        </w:rPr>
        <w:t>trust. </w:t>
      </w:r>
      <w:r>
        <w:rPr>
          <w:spacing w:val="8"/>
        </w:rPr>
        <w:t>The </w:t>
      </w:r>
      <w:r>
        <w:rPr>
          <w:spacing w:val="9"/>
        </w:rPr>
        <w:t>chairman </w:t>
      </w:r>
      <w:r>
        <w:rPr>
          <w:spacing w:val="7"/>
        </w:rPr>
        <w:t>of this </w:t>
      </w:r>
      <w:r>
        <w:rPr>
          <w:spacing w:val="6"/>
        </w:rPr>
        <w:t>bank </w:t>
      </w:r>
      <w:r>
        <w:rPr/>
        <w:t>is </w:t>
      </w:r>
      <w:r>
        <w:rPr>
          <w:spacing w:val="10"/>
        </w:rPr>
        <w:t>General </w:t>
      </w:r>
      <w:r>
        <w:rPr>
          <w:spacing w:val="4"/>
        </w:rPr>
        <w:t>Abu </w:t>
      </w:r>
      <w:r>
        <w:rPr>
          <w:spacing w:val="8"/>
        </w:rPr>
        <w:t>Belal </w:t>
      </w:r>
      <w:r>
        <w:rPr>
          <w:spacing w:val="10"/>
        </w:rPr>
        <w:t>Muhammad Shafiul Huq. </w:t>
      </w:r>
      <w:r>
        <w:rPr>
          <w:color w:val="202020"/>
        </w:rPr>
        <w:t>It </w:t>
      </w:r>
      <w:r>
        <w:rPr>
          <w:color w:val="202020"/>
          <w:spacing w:val="-3"/>
        </w:rPr>
        <w:t>is </w:t>
      </w:r>
      <w:r>
        <w:rPr>
          <w:color w:val="202020"/>
        </w:rPr>
        <w:t>the </w:t>
      </w:r>
      <w:r>
        <w:rPr>
          <w:color w:val="202020"/>
          <w:spacing w:val="-3"/>
        </w:rPr>
        <w:t>best </w:t>
      </w:r>
      <w:r>
        <w:rPr>
          <w:color w:val="202020"/>
        </w:rPr>
        <w:t>private commercial bank </w:t>
      </w:r>
      <w:r>
        <w:rPr>
          <w:color w:val="202020"/>
          <w:spacing w:val="-3"/>
        </w:rPr>
        <w:t>in </w:t>
      </w:r>
      <w:r>
        <w:rPr>
          <w:color w:val="202020"/>
        </w:rPr>
        <w:t>Bangladesh which have</w:t>
      </w:r>
      <w:r>
        <w:rPr>
          <w:color w:val="202020"/>
          <w:spacing w:val="-16"/>
        </w:rPr>
        <w:t> </w:t>
      </w:r>
      <w:r>
        <w:rPr>
          <w:color w:val="202020"/>
        </w:rPr>
        <w:t>92</w:t>
      </w:r>
      <w:r>
        <w:rPr>
          <w:color w:val="202020"/>
          <w:spacing w:val="-15"/>
        </w:rPr>
        <w:t> </w:t>
      </w:r>
      <w:r>
        <w:rPr>
          <w:color w:val="202020"/>
        </w:rPr>
        <w:t>branches,</w:t>
      </w:r>
      <w:r>
        <w:rPr>
          <w:color w:val="202020"/>
          <w:spacing w:val="-7"/>
        </w:rPr>
        <w:t> </w:t>
      </w:r>
      <w:r>
        <w:rPr>
          <w:color w:val="202020"/>
        </w:rPr>
        <w:t>7</w:t>
      </w:r>
      <w:r>
        <w:rPr>
          <w:color w:val="202020"/>
          <w:spacing w:val="-14"/>
        </w:rPr>
        <w:t> </w:t>
      </w:r>
      <w:r>
        <w:rPr>
          <w:color w:val="202020"/>
        </w:rPr>
        <w:t>SME</w:t>
      </w:r>
      <w:r>
        <w:rPr>
          <w:color w:val="202020"/>
          <w:spacing w:val="-13"/>
        </w:rPr>
        <w:t> </w:t>
      </w:r>
      <w:r>
        <w:rPr>
          <w:color w:val="202020"/>
        </w:rPr>
        <w:t>Service</w:t>
      </w:r>
      <w:r>
        <w:rPr>
          <w:color w:val="202020"/>
          <w:spacing w:val="-15"/>
        </w:rPr>
        <w:t> </w:t>
      </w:r>
      <w:r>
        <w:rPr>
          <w:color w:val="202020"/>
        </w:rPr>
        <w:t>Center,</w:t>
      </w:r>
      <w:r>
        <w:rPr>
          <w:color w:val="202020"/>
          <w:spacing w:val="-12"/>
        </w:rPr>
        <w:t> </w:t>
      </w:r>
      <w:r>
        <w:rPr>
          <w:color w:val="202020"/>
        </w:rPr>
        <w:t>about</w:t>
      </w:r>
      <w:r>
        <w:rPr>
          <w:color w:val="202020"/>
          <w:spacing w:val="-13"/>
        </w:rPr>
        <w:t> </w:t>
      </w:r>
      <w:r>
        <w:rPr>
          <w:color w:val="202020"/>
        </w:rPr>
        <w:t>50</w:t>
      </w:r>
      <w:r>
        <w:rPr>
          <w:color w:val="202020"/>
          <w:spacing w:val="-24"/>
        </w:rPr>
        <w:t> </w:t>
      </w:r>
      <w:r>
        <w:rPr>
          <w:color w:val="202020"/>
        </w:rPr>
        <w:t>Branches</w:t>
      </w:r>
      <w:r>
        <w:rPr>
          <w:color w:val="202020"/>
          <w:spacing w:val="-12"/>
        </w:rPr>
        <w:t> </w:t>
      </w:r>
      <w:r>
        <w:rPr>
          <w:color w:val="202020"/>
          <w:spacing w:val="-3"/>
        </w:rPr>
        <w:t>in</w:t>
      </w:r>
      <w:r>
        <w:rPr>
          <w:color w:val="202020"/>
          <w:spacing w:val="-20"/>
        </w:rPr>
        <w:t> </w:t>
      </w:r>
      <w:r>
        <w:rPr>
          <w:color w:val="202020"/>
        </w:rPr>
        <w:t>all</w:t>
      </w:r>
      <w:r>
        <w:rPr>
          <w:color w:val="202020"/>
          <w:spacing w:val="-23"/>
        </w:rPr>
        <w:t> </w:t>
      </w:r>
      <w:r>
        <w:rPr>
          <w:color w:val="202020"/>
        </w:rPr>
        <w:t>over</w:t>
      </w:r>
      <w:r>
        <w:rPr>
          <w:color w:val="202020"/>
          <w:spacing w:val="-14"/>
        </w:rPr>
        <w:t> </w:t>
      </w:r>
      <w:r>
        <w:rPr>
          <w:color w:val="202020"/>
        </w:rPr>
        <w:t>the</w:t>
      </w:r>
      <w:r>
        <w:rPr>
          <w:color w:val="202020"/>
          <w:spacing w:val="-15"/>
        </w:rPr>
        <w:t> </w:t>
      </w:r>
      <w:r>
        <w:rPr>
          <w:color w:val="202020"/>
        </w:rPr>
        <w:t>country.</w:t>
      </w:r>
      <w:r>
        <w:rPr>
          <w:color w:val="202020"/>
          <w:spacing w:val="-8"/>
        </w:rPr>
        <w:t> </w:t>
      </w:r>
      <w:r>
        <w:rPr>
          <w:color w:val="202020"/>
        </w:rPr>
        <w:t>They</w:t>
      </w:r>
      <w:r>
        <w:rPr>
          <w:color w:val="202020"/>
          <w:spacing w:val="-23"/>
        </w:rPr>
        <w:t> </w:t>
      </w:r>
      <w:r>
        <w:rPr>
          <w:color w:val="202020"/>
        </w:rPr>
        <w:t>are</w:t>
      </w:r>
      <w:r>
        <w:rPr>
          <w:color w:val="202020"/>
          <w:spacing w:val="-16"/>
        </w:rPr>
        <w:t> </w:t>
      </w:r>
      <w:r>
        <w:rPr>
          <w:color w:val="202020"/>
        </w:rPr>
        <w:t>going to open some new branches to cover the areas </w:t>
      </w:r>
      <w:r>
        <w:rPr>
          <w:color w:val="202020"/>
          <w:spacing w:val="-3"/>
        </w:rPr>
        <w:t>in </w:t>
      </w:r>
      <w:r>
        <w:rPr>
          <w:color w:val="202020"/>
        </w:rPr>
        <w:t>Dhaka, Sylhet, Chottogram and other important commercial</w:t>
      </w:r>
      <w:r>
        <w:rPr>
          <w:color w:val="202020"/>
          <w:spacing w:val="-7"/>
        </w:rPr>
        <w:t> </w:t>
      </w:r>
      <w:r>
        <w:rPr>
          <w:color w:val="202020"/>
        </w:rPr>
        <w:t>areas.</w:t>
      </w:r>
    </w:p>
    <w:p>
      <w:pPr>
        <w:pStyle w:val="BodyText"/>
        <w:spacing w:line="360" w:lineRule="auto" w:before="4"/>
        <w:ind w:left="340" w:right="126"/>
        <w:jc w:val="both"/>
      </w:pPr>
      <w:r>
        <w:rPr>
          <w:spacing w:val="5"/>
        </w:rPr>
        <w:t>The bank </w:t>
      </w:r>
      <w:r>
        <w:rPr>
          <w:spacing w:val="10"/>
        </w:rPr>
        <w:t>introduced “automated </w:t>
      </w:r>
      <w:r>
        <w:rPr>
          <w:spacing w:val="9"/>
        </w:rPr>
        <w:t>branch </w:t>
      </w:r>
      <w:r>
        <w:rPr>
          <w:spacing w:val="7"/>
        </w:rPr>
        <w:t>banking </w:t>
      </w:r>
      <w:r>
        <w:rPr>
          <w:spacing w:val="9"/>
        </w:rPr>
        <w:t>system”  </w:t>
      </w:r>
      <w:r>
        <w:rPr/>
        <w:t>in </w:t>
      </w:r>
      <w:r>
        <w:rPr>
          <w:spacing w:val="6"/>
        </w:rPr>
        <w:t>2001 </w:t>
      </w:r>
      <w:r>
        <w:rPr>
          <w:spacing w:val="5"/>
        </w:rPr>
        <w:t>and </w:t>
      </w:r>
      <w:r>
        <w:rPr>
          <w:spacing w:val="7"/>
        </w:rPr>
        <w:t>“ATM” </w:t>
      </w:r>
      <w:r>
        <w:rPr>
          <w:spacing w:val="10"/>
        </w:rPr>
        <w:t>services  </w:t>
      </w:r>
      <w:r>
        <w:rPr>
          <w:spacing w:val="2"/>
        </w:rPr>
        <w:t>in </w:t>
      </w:r>
      <w:r>
        <w:rPr>
          <w:spacing w:val="8"/>
        </w:rPr>
        <w:t>2005 </w:t>
      </w:r>
      <w:r>
        <w:rPr>
          <w:spacing w:val="5"/>
        </w:rPr>
        <w:t>for </w:t>
      </w:r>
      <w:r>
        <w:rPr>
          <w:spacing w:val="7"/>
        </w:rPr>
        <w:t>their </w:t>
      </w:r>
      <w:r>
        <w:rPr>
          <w:spacing w:val="11"/>
        </w:rPr>
        <w:t>customers. </w:t>
      </w:r>
      <w:r>
        <w:rPr/>
        <w:t>A </w:t>
      </w:r>
      <w:r>
        <w:rPr>
          <w:spacing w:val="9"/>
        </w:rPr>
        <w:t>total </w:t>
      </w:r>
      <w:r>
        <w:rPr>
          <w:spacing w:val="7"/>
        </w:rPr>
        <w:t>of </w:t>
      </w:r>
      <w:r>
        <w:rPr>
          <w:spacing w:val="6"/>
        </w:rPr>
        <w:t>162 </w:t>
      </w:r>
      <w:r>
        <w:rPr>
          <w:spacing w:val="5"/>
        </w:rPr>
        <w:t>ATM </w:t>
      </w:r>
      <w:r>
        <w:rPr>
          <w:spacing w:val="10"/>
        </w:rPr>
        <w:t>booths </w:t>
      </w:r>
      <w:r>
        <w:rPr>
          <w:spacing w:val="6"/>
        </w:rPr>
        <w:t>are now </w:t>
      </w:r>
      <w:r>
        <w:rPr/>
        <w:t>in </w:t>
      </w:r>
      <w:r>
        <w:rPr>
          <w:spacing w:val="10"/>
        </w:rPr>
        <w:t>service </w:t>
      </w:r>
      <w:r>
        <w:rPr>
          <w:spacing w:val="9"/>
        </w:rPr>
        <w:t>across </w:t>
      </w:r>
      <w:r>
        <w:rPr>
          <w:spacing w:val="6"/>
        </w:rPr>
        <w:t>the </w:t>
      </w:r>
      <w:r>
        <w:rPr>
          <w:spacing w:val="10"/>
        </w:rPr>
        <w:t>country. </w:t>
      </w:r>
      <w:r>
        <w:rPr>
          <w:spacing w:val="8"/>
        </w:rPr>
        <w:t>The </w:t>
      </w:r>
      <w:r>
        <w:rPr>
          <w:spacing w:val="5"/>
        </w:rPr>
        <w:t>bank </w:t>
      </w:r>
      <w:r>
        <w:rPr>
          <w:spacing w:val="9"/>
        </w:rPr>
        <w:t>launched </w:t>
      </w:r>
      <w:r>
        <w:rPr>
          <w:spacing w:val="7"/>
        </w:rPr>
        <w:t>Online </w:t>
      </w:r>
      <w:r>
        <w:rPr>
          <w:spacing w:val="9"/>
        </w:rPr>
        <w:t>Banking </w:t>
      </w:r>
      <w:r>
        <w:rPr>
          <w:spacing w:val="8"/>
        </w:rPr>
        <w:t>System </w:t>
      </w:r>
      <w:r>
        <w:rPr/>
        <w:t>in </w:t>
      </w:r>
      <w:r>
        <w:rPr>
          <w:spacing w:val="8"/>
        </w:rPr>
        <w:t>2007. </w:t>
      </w:r>
      <w:r>
        <w:rPr>
          <w:spacing w:val="9"/>
        </w:rPr>
        <w:t>Lately, the </w:t>
      </w:r>
      <w:r>
        <w:rPr>
          <w:spacing w:val="10"/>
        </w:rPr>
        <w:t>customers </w:t>
      </w:r>
      <w:r>
        <w:rPr>
          <w:spacing w:val="6"/>
        </w:rPr>
        <w:t>don’t need </w:t>
      </w:r>
      <w:r>
        <w:rPr>
          <w:spacing w:val="4"/>
        </w:rPr>
        <w:t>to </w:t>
      </w:r>
      <w:r>
        <w:rPr>
          <w:spacing w:val="7"/>
        </w:rPr>
        <w:t>open </w:t>
      </w:r>
      <w:r>
        <w:rPr>
          <w:spacing w:val="8"/>
        </w:rPr>
        <w:t>multiple </w:t>
      </w:r>
      <w:r>
        <w:rPr>
          <w:spacing w:val="10"/>
        </w:rPr>
        <w:t>account </w:t>
      </w:r>
      <w:r>
        <w:rPr/>
        <w:t>in </w:t>
      </w:r>
      <w:r>
        <w:rPr>
          <w:spacing w:val="9"/>
        </w:rPr>
        <w:t>multiple </w:t>
      </w:r>
      <w:r>
        <w:rPr>
          <w:spacing w:val="10"/>
        </w:rPr>
        <w:t>branches </w:t>
      </w:r>
      <w:r>
        <w:rPr>
          <w:spacing w:val="5"/>
        </w:rPr>
        <w:t>for </w:t>
      </w:r>
      <w:r>
        <w:rPr>
          <w:spacing w:val="6"/>
        </w:rPr>
        <w:t>the </w:t>
      </w:r>
      <w:r>
        <w:rPr>
          <w:spacing w:val="8"/>
        </w:rPr>
        <w:t>deposit </w:t>
      </w:r>
      <w:r>
        <w:rPr>
          <w:spacing w:val="4"/>
        </w:rPr>
        <w:t>or </w:t>
      </w:r>
      <w:r>
        <w:rPr>
          <w:spacing w:val="10"/>
        </w:rPr>
        <w:t>withdrawal </w:t>
      </w:r>
      <w:r>
        <w:rPr>
          <w:spacing w:val="9"/>
        </w:rPr>
        <w:t>of </w:t>
      </w:r>
      <w:r>
        <w:rPr>
          <w:spacing w:val="7"/>
        </w:rPr>
        <w:t>money.</w:t>
      </w:r>
    </w:p>
    <w:p>
      <w:pPr>
        <w:pStyle w:val="BodyText"/>
        <w:spacing w:line="360" w:lineRule="auto"/>
        <w:ind w:left="340" w:right="144"/>
        <w:jc w:val="both"/>
      </w:pPr>
      <w:r>
        <w:rPr>
          <w:spacing w:val="10"/>
        </w:rPr>
        <w:t>Through </w:t>
      </w:r>
      <w:r>
        <w:rPr>
          <w:spacing w:val="7"/>
        </w:rPr>
        <w:t>ATM’s, </w:t>
      </w:r>
      <w:r>
        <w:rPr>
          <w:spacing w:val="6"/>
        </w:rPr>
        <w:t>Visa </w:t>
      </w:r>
      <w:r>
        <w:rPr>
          <w:spacing w:val="11"/>
        </w:rPr>
        <w:t>Electron </w:t>
      </w:r>
      <w:r>
        <w:rPr>
          <w:spacing w:val="6"/>
        </w:rPr>
        <w:t>(Debit </w:t>
      </w:r>
      <w:r>
        <w:rPr>
          <w:spacing w:val="8"/>
        </w:rPr>
        <w:t>Card) </w:t>
      </w:r>
      <w:r>
        <w:rPr>
          <w:spacing w:val="4"/>
        </w:rPr>
        <w:t>and </w:t>
      </w:r>
      <w:r>
        <w:rPr>
          <w:spacing w:val="8"/>
        </w:rPr>
        <w:t>Online </w:t>
      </w:r>
      <w:r>
        <w:rPr>
          <w:spacing w:val="10"/>
        </w:rPr>
        <w:t>Services, </w:t>
      </w:r>
      <w:r>
        <w:rPr>
          <w:spacing w:val="9"/>
        </w:rPr>
        <w:t>customer </w:t>
      </w:r>
      <w:r>
        <w:rPr>
          <w:spacing w:val="5"/>
        </w:rPr>
        <w:t>can </w:t>
      </w:r>
      <w:r>
        <w:rPr>
          <w:spacing w:val="9"/>
        </w:rPr>
        <w:t>easily </w:t>
      </w:r>
      <w:r>
        <w:rPr>
          <w:spacing w:val="5"/>
        </w:rPr>
        <w:t>get </w:t>
      </w:r>
      <w:r>
        <w:rPr>
          <w:spacing w:val="9"/>
        </w:rPr>
        <w:t>access </w:t>
      </w:r>
      <w:r>
        <w:rPr>
          <w:spacing w:val="4"/>
        </w:rPr>
        <w:t>to </w:t>
      </w:r>
      <w:r>
        <w:rPr>
          <w:spacing w:val="7"/>
        </w:rPr>
        <w:t>their own </w:t>
      </w:r>
      <w:r>
        <w:rPr>
          <w:spacing w:val="9"/>
        </w:rPr>
        <w:t>account </w:t>
      </w:r>
      <w:r>
        <w:rPr>
          <w:spacing w:val="10"/>
        </w:rPr>
        <w:t>information </w:t>
      </w:r>
      <w:r>
        <w:rPr>
          <w:spacing w:val="9"/>
        </w:rPr>
        <w:t>balance </w:t>
      </w:r>
      <w:r>
        <w:rPr>
          <w:spacing w:val="10"/>
        </w:rPr>
        <w:t>checking, money </w:t>
      </w:r>
      <w:r>
        <w:rPr>
          <w:spacing w:val="11"/>
        </w:rPr>
        <w:t>withdrawals, </w:t>
      </w:r>
      <w:r>
        <w:rPr>
          <w:spacing w:val="10"/>
        </w:rPr>
        <w:t>payments </w:t>
      </w:r>
      <w:r>
        <w:rPr/>
        <w:t>in </w:t>
      </w:r>
      <w:r>
        <w:rPr>
          <w:spacing w:val="7"/>
        </w:rPr>
        <w:t>any </w:t>
      </w:r>
      <w:r>
        <w:rPr>
          <w:spacing w:val="11"/>
        </w:rPr>
        <w:t>time(24x7). </w:t>
      </w:r>
      <w:r>
        <w:rPr>
          <w:spacing w:val="8"/>
        </w:rPr>
        <w:t>The </w:t>
      </w:r>
      <w:r>
        <w:rPr>
          <w:spacing w:val="7"/>
        </w:rPr>
        <w:t>Trust bank </w:t>
      </w:r>
      <w:r>
        <w:rPr>
          <w:spacing w:val="2"/>
        </w:rPr>
        <w:t>is </w:t>
      </w:r>
      <w:r>
        <w:rPr>
          <w:spacing w:val="9"/>
        </w:rPr>
        <w:t>launching </w:t>
      </w:r>
      <w:r>
        <w:rPr>
          <w:spacing w:val="5"/>
        </w:rPr>
        <w:t>Visa </w:t>
      </w:r>
      <w:r>
        <w:rPr>
          <w:spacing w:val="7"/>
        </w:rPr>
        <w:t>Credit </w:t>
      </w:r>
      <w:r>
        <w:rPr>
          <w:spacing w:val="8"/>
        </w:rPr>
        <w:t>Cards </w:t>
      </w:r>
      <w:r>
        <w:rPr>
          <w:spacing w:val="4"/>
        </w:rPr>
        <w:t>to </w:t>
      </w:r>
      <w:r>
        <w:rPr>
          <w:spacing w:val="10"/>
        </w:rPr>
        <w:t>provide </w:t>
      </w:r>
      <w:r>
        <w:rPr>
          <w:spacing w:val="8"/>
        </w:rPr>
        <w:t>better service </w:t>
      </w:r>
      <w:r>
        <w:rPr>
          <w:spacing w:val="2"/>
        </w:rPr>
        <w:t>to </w:t>
      </w:r>
      <w:r>
        <w:rPr>
          <w:spacing w:val="7"/>
        </w:rPr>
        <w:t>their </w:t>
      </w:r>
      <w:r>
        <w:rPr>
          <w:spacing w:val="10"/>
        </w:rPr>
        <w:t>potential customers. </w:t>
      </w:r>
      <w:r>
        <w:rPr>
          <w:spacing w:val="9"/>
        </w:rPr>
        <w:t>Credits </w:t>
      </w:r>
      <w:r>
        <w:rPr>
          <w:spacing w:val="7"/>
        </w:rPr>
        <w:t>cards </w:t>
      </w:r>
      <w:r>
        <w:rPr>
          <w:spacing w:val="6"/>
        </w:rPr>
        <w:t>are used </w:t>
      </w:r>
      <w:r>
        <w:rPr>
          <w:spacing w:val="9"/>
        </w:rPr>
        <w:t>shopping </w:t>
      </w:r>
      <w:r>
        <w:rPr/>
        <w:t>&amp; </w:t>
      </w:r>
      <w:r>
        <w:rPr>
          <w:spacing w:val="11"/>
        </w:rPr>
        <w:t>restaurants </w:t>
      </w:r>
      <w:r>
        <w:rPr>
          <w:spacing w:val="6"/>
        </w:rPr>
        <w:t>all </w:t>
      </w:r>
      <w:r>
        <w:rPr>
          <w:spacing w:val="8"/>
        </w:rPr>
        <w:t>around </w:t>
      </w:r>
      <w:r>
        <w:rPr>
          <w:spacing w:val="6"/>
        </w:rPr>
        <w:t>the </w:t>
      </w:r>
      <w:r>
        <w:rPr>
          <w:spacing w:val="10"/>
        </w:rPr>
        <w:t>country </w:t>
      </w:r>
      <w:r>
        <w:rPr>
          <w:spacing w:val="4"/>
        </w:rPr>
        <w:t>and </w:t>
      </w:r>
      <w:r>
        <w:rPr>
          <w:spacing w:val="5"/>
        </w:rPr>
        <w:t>also </w:t>
      </w:r>
      <w:r>
        <w:rPr>
          <w:spacing w:val="6"/>
        </w:rPr>
        <w:t>used </w:t>
      </w:r>
      <w:r>
        <w:rPr>
          <w:spacing w:val="11"/>
        </w:rPr>
        <w:t>internationally. </w:t>
      </w:r>
      <w:r>
        <w:rPr>
          <w:spacing w:val="8"/>
        </w:rPr>
        <w:t>The </w:t>
      </w:r>
      <w:r>
        <w:rPr>
          <w:spacing w:val="4"/>
        </w:rPr>
        <w:t>Bank </w:t>
      </w:r>
      <w:r>
        <w:rPr/>
        <w:t>is a customer </w:t>
      </w:r>
      <w:r>
        <w:rPr>
          <w:spacing w:val="10"/>
        </w:rPr>
        <w:t>friendly financial </w:t>
      </w:r>
      <w:r>
        <w:rPr>
          <w:spacing w:val="11"/>
        </w:rPr>
        <w:t>institution; </w:t>
      </w:r>
      <w:r>
        <w:rPr>
          <w:spacing w:val="7"/>
        </w:rPr>
        <w:t>since </w:t>
      </w:r>
      <w:r>
        <w:rPr>
          <w:spacing w:val="-3"/>
        </w:rPr>
        <w:t>it </w:t>
      </w:r>
      <w:r>
        <w:rPr>
          <w:spacing w:val="8"/>
        </w:rPr>
        <w:t>always </w:t>
      </w:r>
      <w:r>
        <w:rPr>
          <w:spacing w:val="10"/>
        </w:rPr>
        <w:t>focuses </w:t>
      </w:r>
      <w:r>
        <w:rPr>
          <w:spacing w:val="4"/>
        </w:rPr>
        <w:t>on </w:t>
      </w:r>
      <w:r>
        <w:rPr>
          <w:spacing w:val="6"/>
        </w:rPr>
        <w:t>the </w:t>
      </w:r>
      <w:r>
        <w:rPr>
          <w:spacing w:val="10"/>
        </w:rPr>
        <w:t>customers </w:t>
      </w:r>
      <w:r>
        <w:rPr>
          <w:spacing w:val="8"/>
        </w:rPr>
        <w:t>growing </w:t>
      </w:r>
      <w:r>
        <w:rPr>
          <w:spacing w:val="11"/>
        </w:rPr>
        <w:t>expectation </w:t>
      </w:r>
      <w:r>
        <w:rPr>
          <w:spacing w:val="4"/>
        </w:rPr>
        <w:t>and </w:t>
      </w:r>
      <w:r>
        <w:rPr>
          <w:spacing w:val="6"/>
        </w:rPr>
        <w:t>try </w:t>
      </w:r>
      <w:r>
        <w:rPr>
          <w:spacing w:val="4"/>
        </w:rPr>
        <w:t>to </w:t>
      </w:r>
      <w:r>
        <w:rPr>
          <w:spacing w:val="5"/>
        </w:rPr>
        <w:t>meet </w:t>
      </w:r>
      <w:r>
        <w:rPr/>
        <w:t>up </w:t>
      </w:r>
      <w:r>
        <w:rPr>
          <w:spacing w:val="4"/>
        </w:rPr>
        <w:t>their </w:t>
      </w:r>
      <w:r>
        <w:rPr>
          <w:spacing w:val="11"/>
        </w:rPr>
        <w:t>demand. </w:t>
      </w:r>
      <w:r>
        <w:rPr>
          <w:spacing w:val="9"/>
        </w:rPr>
        <w:t>They </w:t>
      </w:r>
      <w:r>
        <w:rPr>
          <w:spacing w:val="6"/>
        </w:rPr>
        <w:t>keep </w:t>
      </w:r>
      <w:r>
        <w:rPr>
          <w:spacing w:val="7"/>
        </w:rPr>
        <w:t>their </w:t>
      </w:r>
      <w:r>
        <w:rPr>
          <w:spacing w:val="10"/>
        </w:rPr>
        <w:t>customers </w:t>
      </w:r>
      <w:r>
        <w:rPr/>
        <w:t>at </w:t>
      </w:r>
      <w:r>
        <w:rPr>
          <w:spacing w:val="6"/>
        </w:rPr>
        <w:t>the</w:t>
      </w:r>
      <w:r>
        <w:rPr>
          <w:spacing w:val="28"/>
        </w:rPr>
        <w:t> </w:t>
      </w:r>
      <w:r>
        <w:rPr>
          <w:spacing w:val="9"/>
        </w:rPr>
        <w:t>center.</w:t>
      </w:r>
    </w:p>
    <w:p>
      <w:pPr>
        <w:pStyle w:val="BodyText"/>
        <w:rPr>
          <w:sz w:val="26"/>
        </w:rPr>
      </w:pPr>
    </w:p>
    <w:p>
      <w:pPr>
        <w:pStyle w:val="BodyText"/>
        <w:spacing w:before="8"/>
        <w:rPr>
          <w:sz w:val="21"/>
        </w:rPr>
      </w:pPr>
    </w:p>
    <w:p>
      <w:pPr>
        <w:pStyle w:val="Heading3"/>
      </w:pPr>
      <w:r>
        <w:rPr/>
        <w:t>Vision and Mission of Trust Bank Limited</w:t>
      </w:r>
    </w:p>
    <w:p>
      <w:pPr>
        <w:pStyle w:val="BodyText"/>
        <w:spacing w:before="17"/>
        <w:ind w:left="340"/>
      </w:pPr>
      <w:r>
        <w:rPr/>
        <w:t>Vision:</w:t>
      </w:r>
    </w:p>
    <w:p>
      <w:pPr>
        <w:pStyle w:val="BodyText"/>
        <w:spacing w:line="360" w:lineRule="auto" w:before="142"/>
        <w:ind w:left="340" w:right="135"/>
      </w:pPr>
      <w:r>
        <w:rPr/>
        <w:t>Build a long-term property establishment through monetary inclusion and deliver optimum price to all or any stakeholders with the best level of compliance.</w:t>
      </w:r>
    </w:p>
    <w:p>
      <w:pPr>
        <w:pStyle w:val="BodyText"/>
        <w:spacing w:before="8"/>
        <w:rPr>
          <w:sz w:val="35"/>
        </w:rPr>
      </w:pPr>
    </w:p>
    <w:p>
      <w:pPr>
        <w:pStyle w:val="BodyText"/>
        <w:spacing w:before="1"/>
        <w:ind w:left="340"/>
      </w:pPr>
      <w:r>
        <w:rPr/>
        <w:t>Mission:</w:t>
      </w:r>
    </w:p>
    <w:p>
      <w:pPr>
        <w:pStyle w:val="ListParagraph"/>
        <w:numPr>
          <w:ilvl w:val="2"/>
          <w:numId w:val="4"/>
        </w:numPr>
        <w:tabs>
          <w:tab w:pos="1060" w:val="left" w:leader="none"/>
          <w:tab w:pos="1061" w:val="left" w:leader="none"/>
          <w:tab w:pos="3941" w:val="left" w:leader="none"/>
          <w:tab w:pos="7404" w:val="left" w:leader="none"/>
          <w:tab w:pos="8253" w:val="left" w:leader="none"/>
          <w:tab w:pos="9324" w:val="left" w:leader="none"/>
        </w:tabs>
        <w:spacing w:line="348" w:lineRule="auto" w:before="143" w:after="0"/>
        <w:ind w:left="1061" w:right="144" w:hanging="361"/>
        <w:jc w:val="left"/>
        <w:rPr>
          <w:sz w:val="24"/>
        </w:rPr>
      </w:pPr>
      <w:r>
        <w:rPr>
          <w:spacing w:val="7"/>
          <w:sz w:val="24"/>
        </w:rPr>
        <w:t>Long </w:t>
      </w:r>
      <w:r>
        <w:rPr>
          <w:spacing w:val="60"/>
          <w:sz w:val="24"/>
        </w:rPr>
        <w:t> </w:t>
      </w:r>
      <w:r>
        <w:rPr>
          <w:spacing w:val="8"/>
          <w:sz w:val="24"/>
        </w:rPr>
        <w:t>Term </w:t>
      </w:r>
      <w:r>
        <w:rPr>
          <w:spacing w:val="40"/>
          <w:sz w:val="24"/>
        </w:rPr>
        <w:t> </w:t>
      </w:r>
      <w:r>
        <w:rPr>
          <w:spacing w:val="10"/>
          <w:sz w:val="24"/>
        </w:rPr>
        <w:t>Sustainable</w:t>
        <w:tab/>
        <w:t>Growth-</w:t>
      </w:r>
      <w:r>
        <w:rPr>
          <w:spacing w:val="34"/>
          <w:sz w:val="24"/>
        </w:rPr>
        <w:t> </w:t>
      </w:r>
      <w:r>
        <w:rPr>
          <w:spacing w:val="9"/>
          <w:sz w:val="24"/>
        </w:rPr>
        <w:t>diversified</w:t>
      </w:r>
      <w:r>
        <w:rPr>
          <w:spacing w:val="-11"/>
          <w:sz w:val="24"/>
        </w:rPr>
        <w:t> </w:t>
      </w:r>
      <w:r>
        <w:rPr>
          <w:spacing w:val="9"/>
          <w:sz w:val="24"/>
        </w:rPr>
        <w:t>business</w:t>
        <w:tab/>
      </w:r>
      <w:r>
        <w:rPr>
          <w:spacing w:val="7"/>
          <w:sz w:val="24"/>
        </w:rPr>
        <w:t>with</w:t>
        <w:tab/>
      </w:r>
      <w:r>
        <w:rPr>
          <w:spacing w:val="9"/>
          <w:sz w:val="24"/>
        </w:rPr>
        <w:t>robust</w:t>
        <w:tab/>
      </w:r>
      <w:r>
        <w:rPr>
          <w:sz w:val="24"/>
        </w:rPr>
        <w:t>risk </w:t>
      </w:r>
      <w:r>
        <w:rPr>
          <w:spacing w:val="9"/>
          <w:sz w:val="24"/>
        </w:rPr>
        <w:t>management</w:t>
      </w:r>
    </w:p>
    <w:p>
      <w:pPr>
        <w:pStyle w:val="ListParagraph"/>
        <w:numPr>
          <w:ilvl w:val="2"/>
          <w:numId w:val="4"/>
        </w:numPr>
        <w:tabs>
          <w:tab w:pos="1060" w:val="left" w:leader="none"/>
          <w:tab w:pos="1061" w:val="left" w:leader="none"/>
        </w:tabs>
        <w:spacing w:line="350" w:lineRule="auto" w:before="18" w:after="0"/>
        <w:ind w:left="1061" w:right="150" w:hanging="361"/>
        <w:jc w:val="left"/>
        <w:rPr>
          <w:sz w:val="24"/>
        </w:rPr>
      </w:pPr>
      <w:r>
        <w:rPr>
          <w:spacing w:val="10"/>
          <w:sz w:val="24"/>
        </w:rPr>
        <w:t>Financial </w:t>
      </w:r>
      <w:r>
        <w:rPr>
          <w:spacing w:val="11"/>
          <w:sz w:val="24"/>
        </w:rPr>
        <w:t>Inclusion- </w:t>
      </w:r>
      <w:r>
        <w:rPr>
          <w:spacing w:val="6"/>
          <w:sz w:val="24"/>
        </w:rPr>
        <w:t>bring </w:t>
      </w:r>
      <w:r>
        <w:rPr>
          <w:spacing w:val="10"/>
          <w:sz w:val="24"/>
        </w:rPr>
        <w:t>unbanked population </w:t>
      </w:r>
      <w:r>
        <w:rPr>
          <w:spacing w:val="5"/>
          <w:sz w:val="24"/>
        </w:rPr>
        <w:t>into </w:t>
      </w:r>
      <w:r>
        <w:rPr>
          <w:spacing w:val="9"/>
          <w:sz w:val="24"/>
        </w:rPr>
        <w:t>banking network </w:t>
      </w:r>
      <w:r>
        <w:rPr>
          <w:spacing w:val="10"/>
          <w:sz w:val="24"/>
        </w:rPr>
        <w:t>through </w:t>
      </w:r>
      <w:r>
        <w:rPr>
          <w:spacing w:val="4"/>
          <w:sz w:val="24"/>
        </w:rPr>
        <w:t>low </w:t>
      </w:r>
      <w:r>
        <w:rPr>
          <w:spacing w:val="7"/>
          <w:sz w:val="24"/>
        </w:rPr>
        <w:t>cost </w:t>
      </w:r>
      <w:r>
        <w:rPr>
          <w:spacing w:val="4"/>
          <w:sz w:val="24"/>
        </w:rPr>
        <w:t>and </w:t>
      </w:r>
      <w:r>
        <w:rPr>
          <w:spacing w:val="10"/>
          <w:sz w:val="24"/>
        </w:rPr>
        <w:t>technology </w:t>
      </w:r>
      <w:r>
        <w:rPr>
          <w:spacing w:val="7"/>
          <w:sz w:val="24"/>
        </w:rPr>
        <w:t>based </w:t>
      </w:r>
      <w:r>
        <w:rPr>
          <w:spacing w:val="9"/>
          <w:sz w:val="24"/>
        </w:rPr>
        <w:t>service</w:t>
      </w:r>
      <w:r>
        <w:rPr>
          <w:spacing w:val="20"/>
          <w:sz w:val="24"/>
        </w:rPr>
        <w:t> </w:t>
      </w:r>
      <w:r>
        <w:rPr>
          <w:spacing w:val="10"/>
          <w:sz w:val="24"/>
        </w:rPr>
        <w:t>delivery</w:t>
      </w:r>
    </w:p>
    <w:p>
      <w:pPr>
        <w:spacing w:after="0" w:line="350" w:lineRule="auto"/>
        <w:jc w:val="left"/>
        <w:rPr>
          <w:sz w:val="24"/>
        </w:rPr>
        <w:sectPr>
          <w:pgSz w:w="12240" w:h="15840"/>
          <w:pgMar w:header="0" w:footer="1237" w:top="1380" w:bottom="1420" w:left="1100" w:right="1300"/>
        </w:sectPr>
      </w:pPr>
    </w:p>
    <w:p>
      <w:pPr>
        <w:pStyle w:val="ListParagraph"/>
        <w:numPr>
          <w:ilvl w:val="2"/>
          <w:numId w:val="4"/>
        </w:numPr>
        <w:tabs>
          <w:tab w:pos="1060" w:val="left" w:leader="none"/>
          <w:tab w:pos="1061" w:val="left" w:leader="none"/>
          <w:tab w:pos="2626" w:val="left" w:leader="none"/>
          <w:tab w:pos="3034" w:val="left" w:leader="none"/>
          <w:tab w:pos="3495" w:val="left" w:leader="none"/>
          <w:tab w:pos="5161" w:val="left" w:leader="none"/>
          <w:tab w:pos="6525" w:val="left" w:leader="none"/>
          <w:tab w:pos="8176" w:val="left" w:leader="none"/>
          <w:tab w:pos="9516" w:val="left" w:leader="none"/>
        </w:tabs>
        <w:spacing w:line="350" w:lineRule="auto" w:before="74" w:after="0"/>
        <w:ind w:left="1061" w:right="134" w:hanging="361"/>
        <w:jc w:val="left"/>
        <w:rPr>
          <w:sz w:val="24"/>
        </w:rPr>
      </w:pPr>
      <w:r>
        <w:rPr>
          <w:spacing w:val="11"/>
          <w:sz w:val="24"/>
        </w:rPr>
        <w:t>Accountable</w:t>
        <w:tab/>
      </w:r>
      <w:r>
        <w:rPr>
          <w:spacing w:val="4"/>
          <w:sz w:val="24"/>
        </w:rPr>
        <w:t>to</w:t>
        <w:tab/>
        <w:t>all</w:t>
        <w:tab/>
      </w:r>
      <w:r>
        <w:rPr>
          <w:spacing w:val="12"/>
          <w:sz w:val="24"/>
        </w:rPr>
        <w:t>stakeholders-</w:t>
        <w:tab/>
      </w:r>
      <w:r>
        <w:rPr>
          <w:spacing w:val="10"/>
          <w:sz w:val="24"/>
        </w:rPr>
        <w:t>customers,</w:t>
        <w:tab/>
      </w:r>
      <w:r>
        <w:rPr>
          <w:spacing w:val="11"/>
          <w:sz w:val="24"/>
        </w:rPr>
        <w:t>shareholders,</w:t>
        <w:tab/>
      </w:r>
      <w:r>
        <w:rPr>
          <w:spacing w:val="9"/>
          <w:sz w:val="24"/>
        </w:rPr>
        <w:t>employees</w:t>
        <w:tab/>
      </w:r>
      <w:r>
        <w:rPr>
          <w:spacing w:val="-17"/>
          <w:sz w:val="24"/>
        </w:rPr>
        <w:t>&amp; </w:t>
      </w:r>
      <w:r>
        <w:rPr>
          <w:spacing w:val="10"/>
          <w:sz w:val="24"/>
        </w:rPr>
        <w:t>regulators</w:t>
      </w:r>
    </w:p>
    <w:p>
      <w:pPr>
        <w:pStyle w:val="ListParagraph"/>
        <w:numPr>
          <w:ilvl w:val="2"/>
          <w:numId w:val="4"/>
        </w:numPr>
        <w:tabs>
          <w:tab w:pos="1061" w:val="left" w:leader="none"/>
        </w:tabs>
        <w:spacing w:line="240" w:lineRule="auto" w:before="13" w:after="0"/>
        <w:ind w:left="1061" w:right="0" w:hanging="361"/>
        <w:jc w:val="both"/>
        <w:rPr>
          <w:sz w:val="24"/>
        </w:rPr>
      </w:pPr>
      <w:r>
        <w:rPr>
          <w:spacing w:val="9"/>
          <w:sz w:val="24"/>
        </w:rPr>
        <w:t>Highest </w:t>
      </w:r>
      <w:r>
        <w:rPr>
          <w:spacing w:val="7"/>
          <w:sz w:val="24"/>
        </w:rPr>
        <w:t>level of </w:t>
      </w:r>
      <w:r>
        <w:rPr>
          <w:spacing w:val="10"/>
          <w:sz w:val="24"/>
        </w:rPr>
        <w:t>compliance </w:t>
      </w:r>
      <w:r>
        <w:rPr>
          <w:spacing w:val="4"/>
          <w:sz w:val="24"/>
        </w:rPr>
        <w:t>and </w:t>
      </w:r>
      <w:r>
        <w:rPr>
          <w:spacing w:val="11"/>
          <w:sz w:val="24"/>
        </w:rPr>
        <w:t>transparency </w:t>
      </w:r>
      <w:r>
        <w:rPr>
          <w:sz w:val="24"/>
        </w:rPr>
        <w:t>at </w:t>
      </w:r>
      <w:r>
        <w:rPr>
          <w:spacing w:val="2"/>
          <w:sz w:val="24"/>
        </w:rPr>
        <w:t>all </w:t>
      </w:r>
      <w:r>
        <w:rPr>
          <w:spacing w:val="8"/>
          <w:sz w:val="24"/>
        </w:rPr>
        <w:t>levels </w:t>
      </w:r>
      <w:r>
        <w:rPr>
          <w:spacing w:val="7"/>
          <w:sz w:val="24"/>
        </w:rPr>
        <w:t>of</w:t>
      </w:r>
      <w:r>
        <w:rPr>
          <w:spacing w:val="27"/>
          <w:sz w:val="24"/>
        </w:rPr>
        <w:t> </w:t>
      </w:r>
      <w:r>
        <w:rPr>
          <w:spacing w:val="10"/>
          <w:sz w:val="24"/>
        </w:rPr>
        <w:t>operation.</w:t>
      </w:r>
    </w:p>
    <w:p>
      <w:pPr>
        <w:pStyle w:val="BodyText"/>
        <w:rPr>
          <w:sz w:val="28"/>
        </w:rPr>
      </w:pPr>
    </w:p>
    <w:p>
      <w:pPr>
        <w:pStyle w:val="BodyText"/>
        <w:rPr>
          <w:sz w:val="36"/>
        </w:rPr>
      </w:pPr>
    </w:p>
    <w:p>
      <w:pPr>
        <w:pStyle w:val="Heading3"/>
        <w:jc w:val="both"/>
      </w:pPr>
      <w:r>
        <w:rPr/>
        <w:t>Positioning Statement</w:t>
      </w:r>
    </w:p>
    <w:p>
      <w:pPr>
        <w:pStyle w:val="BodyText"/>
        <w:spacing w:line="362" w:lineRule="auto" w:before="17"/>
        <w:ind w:left="340" w:right="143"/>
        <w:jc w:val="both"/>
      </w:pPr>
      <w:r>
        <w:rPr/>
        <w:t>Trust Bank could </w:t>
      </w:r>
      <w:r>
        <w:rPr>
          <w:spacing w:val="-3"/>
        </w:rPr>
        <w:t>be </w:t>
      </w:r>
      <w:r>
        <w:rPr/>
        <w:t>up </w:t>
      </w:r>
      <w:r>
        <w:rPr>
          <w:spacing w:val="2"/>
        </w:rPr>
        <w:t>to </w:t>
      </w:r>
      <w:r>
        <w:rPr/>
        <w:t>date, upbeat complete of distinctive quality of service and resolution that gives a gratifying banking expertise as </w:t>
      </w:r>
      <w:r>
        <w:rPr>
          <w:spacing w:val="-3"/>
        </w:rPr>
        <w:t>most </w:t>
      </w:r>
      <w:r>
        <w:rPr/>
        <w:t>popular selection of banking partner anytime, everywhere.</w:t>
      </w:r>
    </w:p>
    <w:p>
      <w:pPr>
        <w:pStyle w:val="BodyText"/>
        <w:spacing w:line="269" w:lineRule="exact"/>
        <w:ind w:left="340"/>
        <w:jc w:val="both"/>
      </w:pPr>
      <w:r>
        <w:rPr/>
        <w:t>Our</w:t>
      </w:r>
      <w:r>
        <w:rPr>
          <w:spacing w:val="-10"/>
        </w:rPr>
        <w:t> </w:t>
      </w:r>
      <w:r>
        <w:rPr/>
        <w:t>Values:</w:t>
      </w:r>
    </w:p>
    <w:p>
      <w:pPr>
        <w:pStyle w:val="ListParagraph"/>
        <w:numPr>
          <w:ilvl w:val="0"/>
          <w:numId w:val="5"/>
        </w:numPr>
        <w:tabs>
          <w:tab w:pos="1061" w:val="left" w:leader="none"/>
        </w:tabs>
        <w:spacing w:line="240" w:lineRule="auto" w:before="137" w:after="0"/>
        <w:ind w:left="1061" w:right="0" w:hanging="361"/>
        <w:jc w:val="both"/>
        <w:rPr>
          <w:sz w:val="24"/>
        </w:rPr>
      </w:pPr>
      <w:r>
        <w:rPr>
          <w:sz w:val="24"/>
        </w:rPr>
        <w:t>Trustworthy</w:t>
      </w:r>
    </w:p>
    <w:p>
      <w:pPr>
        <w:pStyle w:val="ListParagraph"/>
        <w:numPr>
          <w:ilvl w:val="0"/>
          <w:numId w:val="5"/>
        </w:numPr>
        <w:tabs>
          <w:tab w:pos="1061" w:val="left" w:leader="none"/>
        </w:tabs>
        <w:spacing w:line="240" w:lineRule="auto" w:before="137" w:after="0"/>
        <w:ind w:left="1061" w:right="0" w:hanging="361"/>
        <w:jc w:val="both"/>
        <w:rPr>
          <w:sz w:val="24"/>
        </w:rPr>
      </w:pPr>
      <w:r>
        <w:rPr>
          <w:sz w:val="24"/>
        </w:rPr>
        <w:t>Dependable</w:t>
      </w:r>
    </w:p>
    <w:p>
      <w:pPr>
        <w:pStyle w:val="ListParagraph"/>
        <w:numPr>
          <w:ilvl w:val="0"/>
          <w:numId w:val="5"/>
        </w:numPr>
        <w:tabs>
          <w:tab w:pos="1061" w:val="left" w:leader="none"/>
        </w:tabs>
        <w:spacing w:line="240" w:lineRule="auto" w:before="142" w:after="0"/>
        <w:ind w:left="1061" w:right="0" w:hanging="361"/>
        <w:jc w:val="left"/>
        <w:rPr>
          <w:sz w:val="24"/>
        </w:rPr>
      </w:pPr>
      <w:r>
        <w:rPr>
          <w:sz w:val="24"/>
        </w:rPr>
        <w:t>Reliable</w:t>
      </w:r>
    </w:p>
    <w:p>
      <w:pPr>
        <w:pStyle w:val="ListParagraph"/>
        <w:numPr>
          <w:ilvl w:val="0"/>
          <w:numId w:val="5"/>
        </w:numPr>
        <w:tabs>
          <w:tab w:pos="1061" w:val="left" w:leader="none"/>
        </w:tabs>
        <w:spacing w:line="240" w:lineRule="auto" w:before="137" w:after="0"/>
        <w:ind w:left="1061" w:right="0" w:hanging="361"/>
        <w:jc w:val="left"/>
        <w:rPr>
          <w:sz w:val="24"/>
        </w:rPr>
      </w:pPr>
      <w:r>
        <w:rPr>
          <w:sz w:val="24"/>
        </w:rPr>
        <w:t>Professional</w:t>
      </w:r>
    </w:p>
    <w:p>
      <w:pPr>
        <w:pStyle w:val="ListParagraph"/>
        <w:numPr>
          <w:ilvl w:val="0"/>
          <w:numId w:val="5"/>
        </w:numPr>
        <w:tabs>
          <w:tab w:pos="1061" w:val="left" w:leader="none"/>
        </w:tabs>
        <w:spacing w:line="240" w:lineRule="auto" w:before="137" w:after="0"/>
        <w:ind w:left="1061" w:right="0" w:hanging="361"/>
        <w:jc w:val="left"/>
        <w:rPr>
          <w:sz w:val="24"/>
        </w:rPr>
      </w:pPr>
      <w:r>
        <w:rPr>
          <w:sz w:val="24"/>
        </w:rPr>
        <w:t>Dynamic</w:t>
      </w:r>
    </w:p>
    <w:p>
      <w:pPr>
        <w:pStyle w:val="ListParagraph"/>
        <w:numPr>
          <w:ilvl w:val="0"/>
          <w:numId w:val="5"/>
        </w:numPr>
        <w:tabs>
          <w:tab w:pos="1061" w:val="left" w:leader="none"/>
        </w:tabs>
        <w:spacing w:line="240" w:lineRule="auto" w:before="137" w:after="0"/>
        <w:ind w:left="1061" w:right="0" w:hanging="361"/>
        <w:jc w:val="left"/>
        <w:rPr>
          <w:sz w:val="24"/>
        </w:rPr>
      </w:pPr>
      <w:r>
        <w:rPr>
          <w:sz w:val="24"/>
        </w:rPr>
        <w:t>Fair</w:t>
      </w:r>
    </w:p>
    <w:p>
      <w:pPr>
        <w:pStyle w:val="BodyText"/>
        <w:rPr>
          <w:sz w:val="26"/>
        </w:rPr>
      </w:pPr>
    </w:p>
    <w:p>
      <w:pPr>
        <w:pStyle w:val="BodyText"/>
        <w:spacing w:before="7"/>
        <w:rPr>
          <w:sz w:val="38"/>
        </w:rPr>
      </w:pPr>
    </w:p>
    <w:p>
      <w:pPr>
        <w:pStyle w:val="Heading1"/>
        <w:numPr>
          <w:ilvl w:val="1"/>
          <w:numId w:val="4"/>
        </w:numPr>
        <w:tabs>
          <w:tab w:pos="825" w:val="left" w:leader="none"/>
        </w:tabs>
        <w:spacing w:line="240" w:lineRule="auto" w:before="1" w:after="0"/>
        <w:ind w:left="824" w:right="0" w:hanging="485"/>
        <w:jc w:val="left"/>
      </w:pPr>
      <w:r>
        <w:rPr/>
        <w:t>Overview of </w:t>
      </w:r>
      <w:r>
        <w:rPr>
          <w:spacing w:val="-3"/>
        </w:rPr>
        <w:t>Jamuna </w:t>
      </w:r>
      <w:r>
        <w:rPr/>
        <w:t>Bank</w:t>
      </w:r>
      <w:r>
        <w:rPr>
          <w:spacing w:val="-6"/>
        </w:rPr>
        <w:t> </w:t>
      </w:r>
      <w:r>
        <w:rPr/>
        <w:t>Limited</w:t>
      </w:r>
    </w:p>
    <w:p>
      <w:pPr>
        <w:pStyle w:val="Heading3"/>
        <w:spacing w:before="23"/>
      </w:pPr>
      <w:r>
        <w:rPr/>
        <w:t>Introduction</w:t>
      </w:r>
    </w:p>
    <w:p>
      <w:pPr>
        <w:pStyle w:val="BodyText"/>
        <w:spacing w:line="360" w:lineRule="auto" w:before="137"/>
        <w:ind w:left="340" w:right="140"/>
        <w:jc w:val="both"/>
      </w:pPr>
      <w:r>
        <w:rPr/>
        <w:t>Jamuna Bank Restricted (JBL) </w:t>
      </w:r>
      <w:r>
        <w:rPr>
          <w:spacing w:val="-5"/>
        </w:rPr>
        <w:t>is </w:t>
      </w:r>
      <w:r>
        <w:rPr/>
        <w:t>a Financial Organization enlisted under the Organizations Demonstration,</w:t>
      </w:r>
      <w:r>
        <w:rPr>
          <w:spacing w:val="-5"/>
        </w:rPr>
        <w:t> </w:t>
      </w:r>
      <w:r>
        <w:rPr/>
        <w:t>1994</w:t>
      </w:r>
      <w:r>
        <w:rPr>
          <w:spacing w:val="-6"/>
        </w:rPr>
        <w:t> </w:t>
      </w:r>
      <w:r>
        <w:rPr/>
        <w:t>of</w:t>
      </w:r>
      <w:r>
        <w:rPr>
          <w:spacing w:val="-14"/>
        </w:rPr>
        <w:t> </w:t>
      </w:r>
      <w:r>
        <w:rPr/>
        <w:t>Bangladesh</w:t>
      </w:r>
      <w:r>
        <w:rPr>
          <w:spacing w:val="-11"/>
        </w:rPr>
        <w:t> </w:t>
      </w:r>
      <w:r>
        <w:rPr/>
        <w:t>with</w:t>
      </w:r>
      <w:r>
        <w:rPr>
          <w:spacing w:val="-6"/>
        </w:rPr>
        <w:t> </w:t>
      </w:r>
      <w:r>
        <w:rPr/>
        <w:t>its</w:t>
      </w:r>
      <w:r>
        <w:rPr>
          <w:spacing w:val="-4"/>
        </w:rPr>
        <w:t> </w:t>
      </w:r>
      <w:r>
        <w:rPr/>
        <w:t>Administrative</w:t>
      </w:r>
      <w:r>
        <w:rPr>
          <w:spacing w:val="-7"/>
        </w:rPr>
        <w:t> </w:t>
      </w:r>
      <w:r>
        <w:rPr/>
        <w:t>center</w:t>
      </w:r>
      <w:r>
        <w:rPr>
          <w:spacing w:val="-4"/>
        </w:rPr>
        <w:t> </w:t>
      </w:r>
      <w:r>
        <w:rPr/>
        <w:t>presently</w:t>
      </w:r>
      <w:r>
        <w:rPr>
          <w:spacing w:val="-11"/>
        </w:rPr>
        <w:t> </w:t>
      </w:r>
      <w:r>
        <w:rPr/>
        <w:t>at</w:t>
      </w:r>
      <w:r>
        <w:rPr>
          <w:spacing w:val="-2"/>
        </w:rPr>
        <w:t> </w:t>
      </w:r>
      <w:r>
        <w:rPr/>
        <w:t>Motijhil,</w:t>
      </w:r>
      <w:r>
        <w:rPr>
          <w:spacing w:val="-4"/>
        </w:rPr>
        <w:t> </w:t>
      </w:r>
      <w:r>
        <w:rPr/>
        <w:t>Dilkusha C/A, Dhaka-1000, Bangladesh. The Bank began its activity from third June 2001. Jamuna Bank Restricted (JBL) gives business banking administrations </w:t>
      </w:r>
      <w:r>
        <w:rPr>
          <w:spacing w:val="-3"/>
        </w:rPr>
        <w:t>in </w:t>
      </w:r>
      <w:r>
        <w:rPr/>
        <w:t>the</w:t>
      </w:r>
      <w:r>
        <w:rPr>
          <w:spacing w:val="8"/>
        </w:rPr>
        <w:t> </w:t>
      </w:r>
      <w:r>
        <w:rPr/>
        <w:t>Bangladesh.</w:t>
      </w:r>
    </w:p>
    <w:p>
      <w:pPr>
        <w:pStyle w:val="BodyText"/>
        <w:spacing w:line="360" w:lineRule="auto" w:before="1"/>
        <w:ind w:left="340" w:right="138"/>
        <w:jc w:val="both"/>
      </w:pPr>
      <w:r>
        <w:rPr/>
        <w:t>Throughout</w:t>
      </w:r>
      <w:r>
        <w:rPr>
          <w:spacing w:val="-11"/>
        </w:rPr>
        <w:t> </w:t>
      </w:r>
      <w:r>
        <w:rPr/>
        <w:t>the</w:t>
      </w:r>
      <w:r>
        <w:rPr>
          <w:spacing w:val="-7"/>
        </w:rPr>
        <w:t> </w:t>
      </w:r>
      <w:r>
        <w:rPr>
          <w:spacing w:val="-3"/>
        </w:rPr>
        <w:t>most</w:t>
      </w:r>
      <w:r>
        <w:rPr>
          <w:spacing w:val="-6"/>
        </w:rPr>
        <w:t> </w:t>
      </w:r>
      <w:r>
        <w:rPr/>
        <w:t>recent</w:t>
      </w:r>
      <w:r>
        <w:rPr>
          <w:spacing w:val="-2"/>
        </w:rPr>
        <w:t> </w:t>
      </w:r>
      <w:r>
        <w:rPr/>
        <w:t>four</w:t>
      </w:r>
      <w:r>
        <w:rPr>
          <w:spacing w:val="-9"/>
        </w:rPr>
        <w:t> </w:t>
      </w:r>
      <w:r>
        <w:rPr/>
        <w:t>years</w:t>
      </w:r>
      <w:r>
        <w:rPr>
          <w:spacing w:val="-8"/>
        </w:rPr>
        <w:t> </w:t>
      </w:r>
      <w:r>
        <w:rPr/>
        <w:t>the</w:t>
      </w:r>
      <w:r>
        <w:rPr>
          <w:spacing w:val="-7"/>
        </w:rPr>
        <w:t> </w:t>
      </w:r>
      <w:r>
        <w:rPr>
          <w:spacing w:val="-3"/>
        </w:rPr>
        <w:t>bank</w:t>
      </w:r>
      <w:r>
        <w:rPr>
          <w:spacing w:val="-2"/>
        </w:rPr>
        <w:t> </w:t>
      </w:r>
      <w:r>
        <w:rPr>
          <w:spacing w:val="-3"/>
        </w:rPr>
        <w:t>is</w:t>
      </w:r>
      <w:r>
        <w:rPr>
          <w:spacing w:val="-8"/>
        </w:rPr>
        <w:t> </w:t>
      </w:r>
      <w:r>
        <w:rPr/>
        <w:t>effectively</w:t>
      </w:r>
      <w:r>
        <w:rPr>
          <w:spacing w:val="-15"/>
        </w:rPr>
        <w:t> </w:t>
      </w:r>
      <w:r>
        <w:rPr/>
        <w:t>working</w:t>
      </w:r>
      <w:r>
        <w:rPr>
          <w:spacing w:val="-1"/>
        </w:rPr>
        <w:t> </w:t>
      </w:r>
      <w:r>
        <w:rPr/>
        <w:t>its</w:t>
      </w:r>
      <w:r>
        <w:rPr>
          <w:spacing w:val="-8"/>
        </w:rPr>
        <w:t> </w:t>
      </w:r>
      <w:r>
        <w:rPr/>
        <w:t>business</w:t>
      </w:r>
      <w:r>
        <w:rPr>
          <w:spacing w:val="-9"/>
        </w:rPr>
        <w:t> </w:t>
      </w:r>
      <w:r>
        <w:rPr/>
        <w:t>so</w:t>
      </w:r>
      <w:r>
        <w:rPr>
          <w:spacing w:val="-1"/>
        </w:rPr>
        <w:t> </w:t>
      </w:r>
      <w:r>
        <w:rPr/>
        <w:t>as</w:t>
      </w:r>
      <w:r>
        <w:rPr>
          <w:spacing w:val="-13"/>
        </w:rPr>
        <w:t> </w:t>
      </w:r>
      <w:r>
        <w:rPr/>
        <w:t>to</w:t>
      </w:r>
      <w:r>
        <w:rPr>
          <w:spacing w:val="-5"/>
        </w:rPr>
        <w:t> </w:t>
      </w:r>
      <w:r>
        <w:rPr/>
        <w:t>provide food the financial need of quickly developing clients. Janiuna Bank Constrained (JBL) has been expanding its administration inclusion through presenting branches at various deliberately significant regions of the nation. Jamuna Bank Restricted (JBL) </w:t>
      </w:r>
      <w:r>
        <w:rPr>
          <w:spacing w:val="-3"/>
        </w:rPr>
        <w:t>is </w:t>
      </w:r>
      <w:r>
        <w:rPr/>
        <w:t>the activity </w:t>
      </w:r>
      <w:r>
        <w:rPr>
          <w:spacing w:val="4"/>
        </w:rPr>
        <w:t>of </w:t>
      </w:r>
      <w:r>
        <w:rPr/>
        <w:t>some neighborhood business people having presentation </w:t>
      </w:r>
      <w:r>
        <w:rPr>
          <w:spacing w:val="-3"/>
        </w:rPr>
        <w:t>in </w:t>
      </w:r>
      <w:r>
        <w:rPr/>
        <w:t>readymade pieces of clothing (RMG), cowhide</w:t>
      </w:r>
      <w:r>
        <w:rPr>
          <w:spacing w:val="-12"/>
        </w:rPr>
        <w:t> </w:t>
      </w:r>
      <w:r>
        <w:rPr/>
        <w:t>divisions,</w:t>
      </w:r>
      <w:r>
        <w:rPr>
          <w:spacing w:val="-9"/>
        </w:rPr>
        <w:t> </w:t>
      </w:r>
      <w:r>
        <w:rPr/>
        <w:t>Land</w:t>
      </w:r>
      <w:r>
        <w:rPr>
          <w:spacing w:val="-10"/>
        </w:rPr>
        <w:t> </w:t>
      </w:r>
      <w:r>
        <w:rPr/>
        <w:t>and</w:t>
      </w:r>
      <w:r>
        <w:rPr>
          <w:spacing w:val="-11"/>
        </w:rPr>
        <w:t> </w:t>
      </w:r>
      <w:r>
        <w:rPr/>
        <w:t>so</w:t>
      </w:r>
      <w:r>
        <w:rPr>
          <w:spacing w:val="-1"/>
        </w:rPr>
        <w:t> </w:t>
      </w:r>
      <w:r>
        <w:rPr/>
        <w:t>forth.</w:t>
      </w:r>
      <w:r>
        <w:rPr>
          <w:spacing w:val="-9"/>
        </w:rPr>
        <w:t> </w:t>
      </w:r>
      <w:r>
        <w:rPr/>
        <w:t>In</w:t>
      </w:r>
      <w:r>
        <w:rPr>
          <w:spacing w:val="-14"/>
        </w:rPr>
        <w:t> </w:t>
      </w:r>
      <w:r>
        <w:rPr/>
        <w:t>the</w:t>
      </w:r>
      <w:r>
        <w:rPr>
          <w:spacing w:val="-11"/>
        </w:rPr>
        <w:t> </w:t>
      </w:r>
      <w:r>
        <w:rPr/>
        <w:t>course</w:t>
      </w:r>
      <w:r>
        <w:rPr>
          <w:spacing w:val="-16"/>
        </w:rPr>
        <w:t> </w:t>
      </w:r>
      <w:r>
        <w:rPr/>
        <w:t>of</w:t>
      </w:r>
      <w:r>
        <w:rPr>
          <w:spacing w:val="-18"/>
        </w:rPr>
        <w:t> </w:t>
      </w:r>
      <w:r>
        <w:rPr/>
        <w:t>the</w:t>
      </w:r>
      <w:r>
        <w:rPr>
          <w:spacing w:val="-7"/>
        </w:rPr>
        <w:t> </w:t>
      </w:r>
      <w:r>
        <w:rPr>
          <w:spacing w:val="-3"/>
        </w:rPr>
        <w:t>most</w:t>
      </w:r>
      <w:r>
        <w:rPr>
          <w:spacing w:val="-5"/>
        </w:rPr>
        <w:t> </w:t>
      </w:r>
      <w:r>
        <w:rPr/>
        <w:t>recent</w:t>
      </w:r>
      <w:r>
        <w:rPr>
          <w:spacing w:val="-6"/>
        </w:rPr>
        <w:t> </w:t>
      </w:r>
      <w:r>
        <w:rPr/>
        <w:t>four</w:t>
      </w:r>
      <w:r>
        <w:rPr>
          <w:spacing w:val="-9"/>
        </w:rPr>
        <w:t> </w:t>
      </w:r>
      <w:r>
        <w:rPr/>
        <w:t>years</w:t>
      </w:r>
      <w:r>
        <w:rPr>
          <w:spacing w:val="-12"/>
        </w:rPr>
        <w:t> </w:t>
      </w:r>
      <w:r>
        <w:rPr/>
        <w:t>the</w:t>
      </w:r>
      <w:r>
        <w:rPr>
          <w:spacing w:val="-7"/>
        </w:rPr>
        <w:t> </w:t>
      </w:r>
      <w:r>
        <w:rPr/>
        <w:t>bank</w:t>
      </w:r>
      <w:r>
        <w:rPr>
          <w:spacing w:val="-6"/>
        </w:rPr>
        <w:t> </w:t>
      </w:r>
      <w:r>
        <w:rPr/>
        <w:t>has</w:t>
      </w:r>
      <w:r>
        <w:rPr>
          <w:spacing w:val="-8"/>
        </w:rPr>
        <w:t> </w:t>
      </w:r>
      <w:r>
        <w:rPr/>
        <w:t>been effectively working and giving administrations to a gradual number of customer base. The bank essentially participates </w:t>
      </w:r>
      <w:r>
        <w:rPr>
          <w:spacing w:val="-3"/>
        </w:rPr>
        <w:t>in </w:t>
      </w:r>
      <w:r>
        <w:rPr/>
        <w:t>corporate banking, exchange </w:t>
      </w:r>
      <w:r>
        <w:rPr>
          <w:spacing w:val="-3"/>
        </w:rPr>
        <w:t>money, </w:t>
      </w:r>
      <w:r>
        <w:rPr/>
        <w:t>venture fund, retail banking,</w:t>
      </w:r>
      <w:r>
        <w:rPr>
          <w:spacing w:val="38"/>
        </w:rPr>
        <w:t> </w:t>
      </w:r>
      <w:r>
        <w:rPr/>
        <w:t>little</w:t>
      </w:r>
    </w:p>
    <w:p>
      <w:pPr>
        <w:spacing w:after="0" w:line="360" w:lineRule="auto"/>
        <w:jc w:val="both"/>
        <w:sectPr>
          <w:pgSz w:w="12240" w:h="15840"/>
          <w:pgMar w:header="0" w:footer="1237" w:top="1360" w:bottom="1440" w:left="1100" w:right="1300"/>
        </w:sectPr>
      </w:pPr>
    </w:p>
    <w:p>
      <w:pPr>
        <w:pStyle w:val="BodyText"/>
        <w:spacing w:line="360" w:lineRule="auto" w:before="72"/>
        <w:ind w:left="340" w:right="135"/>
        <w:jc w:val="both"/>
      </w:pPr>
      <w:r>
        <w:rPr/>
        <w:t>financial</w:t>
      </w:r>
      <w:r>
        <w:rPr>
          <w:spacing w:val="-11"/>
        </w:rPr>
        <w:t> </w:t>
      </w:r>
      <w:r>
        <w:rPr/>
        <w:t>undertaking</w:t>
      </w:r>
      <w:r>
        <w:rPr>
          <w:spacing w:val="-2"/>
        </w:rPr>
        <w:t> </w:t>
      </w:r>
      <w:r>
        <w:rPr/>
        <w:t>account,</w:t>
      </w:r>
      <w:r>
        <w:rPr>
          <w:spacing w:val="-5"/>
        </w:rPr>
        <w:t> </w:t>
      </w:r>
      <w:r>
        <w:rPr/>
        <w:t>shopper</w:t>
      </w:r>
      <w:r>
        <w:rPr>
          <w:spacing w:val="-1"/>
        </w:rPr>
        <w:t> </w:t>
      </w:r>
      <w:r>
        <w:rPr/>
        <w:t>fund, and</w:t>
      </w:r>
      <w:r>
        <w:rPr>
          <w:spacing w:val="-2"/>
        </w:rPr>
        <w:t> </w:t>
      </w:r>
      <w:r>
        <w:rPr/>
        <w:t>syndication.</w:t>
      </w:r>
      <w:r>
        <w:rPr>
          <w:spacing w:val="-1"/>
        </w:rPr>
        <w:t> </w:t>
      </w:r>
      <w:r>
        <w:rPr/>
        <w:t>Its</w:t>
      </w:r>
      <w:r>
        <w:rPr>
          <w:spacing w:val="-4"/>
        </w:rPr>
        <w:t> </w:t>
      </w:r>
      <w:r>
        <w:rPr/>
        <w:t>scope</w:t>
      </w:r>
      <w:r>
        <w:rPr>
          <w:spacing w:val="-12"/>
        </w:rPr>
        <w:t> </w:t>
      </w:r>
      <w:r>
        <w:rPr/>
        <w:t>of</w:t>
      </w:r>
      <w:r>
        <w:rPr>
          <w:spacing w:val="-10"/>
        </w:rPr>
        <w:t> </w:t>
      </w:r>
      <w:r>
        <w:rPr/>
        <w:t>administration</w:t>
      </w:r>
      <w:r>
        <w:rPr>
          <w:spacing w:val="-6"/>
        </w:rPr>
        <w:t> </w:t>
      </w:r>
      <w:r>
        <w:rPr/>
        <w:t>offering incorporate money the board administrations, treasury administrations, resource the board administrations Society for overall between bank budgetary </w:t>
      </w:r>
      <w:r>
        <w:rPr>
          <w:spacing w:val="-3"/>
        </w:rPr>
        <w:t>media </w:t>
      </w:r>
      <w:r>
        <w:rPr/>
        <w:t>transmission (Quick) for outside</w:t>
      </w:r>
      <w:r>
        <w:rPr>
          <w:spacing w:val="-4"/>
        </w:rPr>
        <w:t> </w:t>
      </w:r>
      <w:r>
        <w:rPr/>
        <w:t>exchange.</w:t>
      </w:r>
    </w:p>
    <w:p>
      <w:pPr>
        <w:pStyle w:val="BodyText"/>
        <w:rPr>
          <w:sz w:val="26"/>
        </w:rPr>
      </w:pPr>
    </w:p>
    <w:p>
      <w:pPr>
        <w:pStyle w:val="BodyText"/>
        <w:spacing w:before="3"/>
        <w:rPr>
          <w:sz w:val="26"/>
        </w:rPr>
      </w:pPr>
    </w:p>
    <w:p>
      <w:pPr>
        <w:pStyle w:val="Heading3"/>
      </w:pPr>
      <w:r>
        <w:rPr/>
        <w:t>Vision, Mission and Motto of Jamuna Bank Limited</w:t>
      </w:r>
    </w:p>
    <w:p>
      <w:pPr>
        <w:pStyle w:val="BodyText"/>
        <w:spacing w:before="6"/>
        <w:rPr>
          <w:b/>
          <w:sz w:val="27"/>
        </w:rPr>
      </w:pPr>
    </w:p>
    <w:p>
      <w:pPr>
        <w:pStyle w:val="ListParagraph"/>
        <w:numPr>
          <w:ilvl w:val="2"/>
          <w:numId w:val="4"/>
        </w:numPr>
        <w:tabs>
          <w:tab w:pos="1061" w:val="left" w:leader="none"/>
        </w:tabs>
        <w:spacing w:line="350" w:lineRule="auto" w:before="0" w:after="0"/>
        <w:ind w:left="1061" w:right="150" w:hanging="361"/>
        <w:jc w:val="both"/>
        <w:rPr>
          <w:sz w:val="24"/>
        </w:rPr>
      </w:pPr>
      <w:r>
        <w:rPr>
          <w:sz w:val="24"/>
        </w:rPr>
        <w:t>"To turn into a </w:t>
      </w:r>
      <w:r>
        <w:rPr>
          <w:spacing w:val="-3"/>
          <w:sz w:val="24"/>
        </w:rPr>
        <w:t>main </w:t>
      </w:r>
      <w:r>
        <w:rPr>
          <w:sz w:val="24"/>
        </w:rPr>
        <w:t>financial establishment and to </w:t>
      </w:r>
      <w:r>
        <w:rPr>
          <w:spacing w:val="-3"/>
          <w:sz w:val="24"/>
        </w:rPr>
        <w:t>assume </w:t>
      </w:r>
      <w:r>
        <w:rPr>
          <w:sz w:val="24"/>
        </w:rPr>
        <w:t>a noteworthy job </w:t>
      </w:r>
      <w:r>
        <w:rPr>
          <w:spacing w:val="-3"/>
          <w:sz w:val="24"/>
        </w:rPr>
        <w:t>in </w:t>
      </w:r>
      <w:r>
        <w:rPr>
          <w:sz w:val="24"/>
        </w:rPr>
        <w:t>the improvement of the</w:t>
      </w:r>
      <w:r>
        <w:rPr>
          <w:spacing w:val="-4"/>
          <w:sz w:val="24"/>
        </w:rPr>
        <w:t> </w:t>
      </w:r>
      <w:r>
        <w:rPr>
          <w:sz w:val="24"/>
        </w:rPr>
        <w:t>nation"</w:t>
      </w:r>
    </w:p>
    <w:p>
      <w:pPr>
        <w:pStyle w:val="ListParagraph"/>
        <w:numPr>
          <w:ilvl w:val="2"/>
          <w:numId w:val="4"/>
        </w:numPr>
        <w:tabs>
          <w:tab w:pos="1061" w:val="left" w:leader="none"/>
        </w:tabs>
        <w:spacing w:line="357" w:lineRule="auto" w:before="13" w:after="0"/>
        <w:ind w:left="1061" w:right="138" w:hanging="361"/>
        <w:jc w:val="both"/>
        <w:rPr>
          <w:sz w:val="24"/>
        </w:rPr>
      </w:pPr>
      <w:r>
        <w:rPr>
          <w:sz w:val="24"/>
        </w:rPr>
        <w:t>The bank </w:t>
      </w:r>
      <w:r>
        <w:rPr>
          <w:spacing w:val="-5"/>
          <w:sz w:val="24"/>
        </w:rPr>
        <w:t>is </w:t>
      </w:r>
      <w:r>
        <w:rPr>
          <w:sz w:val="24"/>
        </w:rPr>
        <w:t>submitted for fulfilling various needs of its clients through a variety of items at an aggressive cost by utilizing fitting innovation and giving opportune assistance so a supportable development, sensible return, and commitment to the advancement of the nation can be guaranteed with a propelled and expert</w:t>
      </w:r>
      <w:r>
        <w:rPr>
          <w:spacing w:val="-3"/>
          <w:sz w:val="24"/>
        </w:rPr>
        <w:t> </w:t>
      </w:r>
      <w:r>
        <w:rPr>
          <w:sz w:val="24"/>
        </w:rPr>
        <w:t>work-power.</w:t>
      </w:r>
    </w:p>
    <w:p>
      <w:pPr>
        <w:pStyle w:val="ListParagraph"/>
        <w:numPr>
          <w:ilvl w:val="2"/>
          <w:numId w:val="4"/>
        </w:numPr>
        <w:tabs>
          <w:tab w:pos="1061" w:val="left" w:leader="none"/>
        </w:tabs>
        <w:spacing w:line="240" w:lineRule="auto" w:before="4" w:after="0"/>
        <w:ind w:left="1061" w:right="0" w:hanging="361"/>
        <w:jc w:val="both"/>
        <w:rPr>
          <w:sz w:val="24"/>
        </w:rPr>
      </w:pPr>
      <w:r>
        <w:rPr>
          <w:sz w:val="24"/>
        </w:rPr>
        <w:t>"Your accomplice for</w:t>
      </w:r>
      <w:r>
        <w:rPr>
          <w:spacing w:val="11"/>
          <w:sz w:val="24"/>
        </w:rPr>
        <w:t> </w:t>
      </w:r>
      <w:r>
        <w:rPr>
          <w:sz w:val="24"/>
        </w:rPr>
        <w:t>development"</w:t>
      </w:r>
    </w:p>
    <w:p>
      <w:pPr>
        <w:pStyle w:val="BodyText"/>
        <w:spacing w:line="360" w:lineRule="auto" w:before="136"/>
        <w:ind w:left="700" w:right="144"/>
        <w:jc w:val="both"/>
      </w:pPr>
      <w:r>
        <w:rPr/>
        <w:t>The adage of Jamuna Bank Restricted mirrors the unyielding responsibility and conviction of the bank to guarantee reasonable development and progression of our clients.</w:t>
      </w:r>
    </w:p>
    <w:p>
      <w:pPr>
        <w:pStyle w:val="BodyText"/>
        <w:rPr>
          <w:sz w:val="26"/>
        </w:rPr>
      </w:pPr>
    </w:p>
    <w:p>
      <w:pPr>
        <w:pStyle w:val="BodyText"/>
        <w:rPr>
          <w:sz w:val="26"/>
        </w:rPr>
      </w:pPr>
    </w:p>
    <w:p>
      <w:pPr>
        <w:pStyle w:val="Heading3"/>
      </w:pPr>
      <w:r>
        <w:rPr/>
        <w:t>Corporate Strategies of Jamuna Bank Limited</w:t>
      </w:r>
    </w:p>
    <w:p>
      <w:pPr>
        <w:pStyle w:val="ListParagraph"/>
        <w:numPr>
          <w:ilvl w:val="0"/>
          <w:numId w:val="6"/>
        </w:numPr>
        <w:tabs>
          <w:tab w:pos="700" w:val="left" w:leader="none"/>
          <w:tab w:pos="701" w:val="left" w:leader="none"/>
        </w:tabs>
        <w:spacing w:line="350" w:lineRule="auto" w:before="19" w:after="0"/>
        <w:ind w:left="700" w:right="146" w:hanging="360"/>
        <w:jc w:val="left"/>
        <w:rPr>
          <w:sz w:val="24"/>
        </w:rPr>
      </w:pPr>
      <w:r>
        <w:rPr>
          <w:sz w:val="24"/>
        </w:rPr>
        <w:t>To oversee and work the Bank </w:t>
      </w:r>
      <w:r>
        <w:rPr>
          <w:spacing w:val="-3"/>
          <w:sz w:val="24"/>
        </w:rPr>
        <w:t>in </w:t>
      </w:r>
      <w:r>
        <w:rPr>
          <w:sz w:val="24"/>
        </w:rPr>
        <w:t>the </w:t>
      </w:r>
      <w:r>
        <w:rPr>
          <w:spacing w:val="-3"/>
          <w:sz w:val="24"/>
        </w:rPr>
        <w:t>most </w:t>
      </w:r>
      <w:r>
        <w:rPr>
          <w:sz w:val="24"/>
        </w:rPr>
        <w:t>proficient way </w:t>
      </w:r>
      <w:r>
        <w:rPr>
          <w:spacing w:val="2"/>
          <w:sz w:val="24"/>
        </w:rPr>
        <w:t>to </w:t>
      </w:r>
      <w:r>
        <w:rPr>
          <w:sz w:val="24"/>
        </w:rPr>
        <w:t>upgrade money related</w:t>
      </w:r>
      <w:r>
        <w:rPr>
          <w:spacing w:val="-34"/>
          <w:sz w:val="24"/>
        </w:rPr>
        <w:t> </w:t>
      </w:r>
      <w:r>
        <w:rPr>
          <w:sz w:val="24"/>
        </w:rPr>
        <w:t>execution and </w:t>
      </w:r>
      <w:r>
        <w:rPr>
          <w:spacing w:val="2"/>
          <w:sz w:val="24"/>
        </w:rPr>
        <w:t>to </w:t>
      </w:r>
      <w:r>
        <w:rPr>
          <w:sz w:val="24"/>
        </w:rPr>
        <w:t>control cost of</w:t>
      </w:r>
      <w:r>
        <w:rPr>
          <w:spacing w:val="-11"/>
          <w:sz w:val="24"/>
        </w:rPr>
        <w:t> </w:t>
      </w:r>
      <w:r>
        <w:rPr>
          <w:sz w:val="24"/>
        </w:rPr>
        <w:t>reserve</w:t>
      </w:r>
    </w:p>
    <w:p>
      <w:pPr>
        <w:pStyle w:val="ListParagraph"/>
        <w:numPr>
          <w:ilvl w:val="0"/>
          <w:numId w:val="6"/>
        </w:numPr>
        <w:tabs>
          <w:tab w:pos="700" w:val="left" w:leader="none"/>
          <w:tab w:pos="701" w:val="left" w:leader="none"/>
        </w:tabs>
        <w:spacing w:line="350" w:lineRule="auto" w:before="13" w:after="0"/>
        <w:ind w:left="700" w:right="145" w:hanging="360"/>
        <w:jc w:val="left"/>
        <w:rPr>
          <w:sz w:val="24"/>
        </w:rPr>
      </w:pPr>
      <w:r>
        <w:rPr>
          <w:sz w:val="24"/>
        </w:rPr>
        <w:t>To take a stab at consumer loyalty through quality control and conveyance </w:t>
      </w:r>
      <w:r>
        <w:rPr>
          <w:spacing w:val="4"/>
          <w:sz w:val="24"/>
        </w:rPr>
        <w:t>of </w:t>
      </w:r>
      <w:r>
        <w:rPr>
          <w:sz w:val="24"/>
        </w:rPr>
        <w:t>convenient administrations.</w:t>
      </w:r>
    </w:p>
    <w:p>
      <w:pPr>
        <w:pStyle w:val="ListParagraph"/>
        <w:numPr>
          <w:ilvl w:val="0"/>
          <w:numId w:val="6"/>
        </w:numPr>
        <w:tabs>
          <w:tab w:pos="700" w:val="left" w:leader="none"/>
          <w:tab w:pos="701" w:val="left" w:leader="none"/>
        </w:tabs>
        <w:spacing w:line="350" w:lineRule="auto" w:before="13" w:after="0"/>
        <w:ind w:left="700" w:right="142" w:hanging="360"/>
        <w:jc w:val="left"/>
        <w:rPr>
          <w:sz w:val="24"/>
        </w:rPr>
      </w:pPr>
      <w:r>
        <w:rPr>
          <w:sz w:val="24"/>
        </w:rPr>
        <w:t>To</w:t>
      </w:r>
      <w:r>
        <w:rPr>
          <w:spacing w:val="-11"/>
          <w:sz w:val="24"/>
        </w:rPr>
        <w:t> </w:t>
      </w:r>
      <w:r>
        <w:rPr>
          <w:sz w:val="24"/>
        </w:rPr>
        <w:t>distinguish</w:t>
      </w:r>
      <w:r>
        <w:rPr>
          <w:spacing w:val="-11"/>
          <w:sz w:val="24"/>
        </w:rPr>
        <w:t> </w:t>
      </w:r>
      <w:r>
        <w:rPr>
          <w:sz w:val="24"/>
        </w:rPr>
        <w:t>clients'</w:t>
      </w:r>
      <w:r>
        <w:rPr>
          <w:spacing w:val="-15"/>
          <w:sz w:val="24"/>
        </w:rPr>
        <w:t> </w:t>
      </w:r>
      <w:r>
        <w:rPr>
          <w:sz w:val="24"/>
        </w:rPr>
        <w:t>credit</w:t>
      </w:r>
      <w:r>
        <w:rPr>
          <w:spacing w:val="-6"/>
          <w:sz w:val="24"/>
        </w:rPr>
        <w:t> </w:t>
      </w:r>
      <w:r>
        <w:rPr>
          <w:sz w:val="24"/>
        </w:rPr>
        <w:t>and</w:t>
      </w:r>
      <w:r>
        <w:rPr>
          <w:spacing w:val="-10"/>
          <w:sz w:val="24"/>
        </w:rPr>
        <w:t> </w:t>
      </w:r>
      <w:r>
        <w:rPr>
          <w:sz w:val="24"/>
        </w:rPr>
        <w:t>other</w:t>
      </w:r>
      <w:r>
        <w:rPr>
          <w:spacing w:val="-9"/>
          <w:sz w:val="24"/>
        </w:rPr>
        <w:t> </w:t>
      </w:r>
      <w:r>
        <w:rPr>
          <w:sz w:val="24"/>
        </w:rPr>
        <w:t>financial</w:t>
      </w:r>
      <w:r>
        <w:rPr>
          <w:spacing w:val="-10"/>
          <w:sz w:val="24"/>
        </w:rPr>
        <w:t> </w:t>
      </w:r>
      <w:r>
        <w:rPr>
          <w:sz w:val="24"/>
        </w:rPr>
        <w:t>needs</w:t>
      </w:r>
      <w:r>
        <w:rPr>
          <w:spacing w:val="-13"/>
          <w:sz w:val="24"/>
        </w:rPr>
        <w:t> </w:t>
      </w:r>
      <w:r>
        <w:rPr>
          <w:sz w:val="24"/>
        </w:rPr>
        <w:t>and</w:t>
      </w:r>
      <w:r>
        <w:rPr>
          <w:spacing w:val="-10"/>
          <w:sz w:val="24"/>
        </w:rPr>
        <w:t> </w:t>
      </w:r>
      <w:r>
        <w:rPr>
          <w:sz w:val="24"/>
        </w:rPr>
        <w:t>screen</w:t>
      </w:r>
      <w:r>
        <w:rPr>
          <w:spacing w:val="-15"/>
          <w:sz w:val="24"/>
        </w:rPr>
        <w:t> </w:t>
      </w:r>
      <w:r>
        <w:rPr>
          <w:sz w:val="24"/>
        </w:rPr>
        <w:t>their</w:t>
      </w:r>
      <w:r>
        <w:rPr>
          <w:spacing w:val="-9"/>
          <w:sz w:val="24"/>
        </w:rPr>
        <w:t> </w:t>
      </w:r>
      <w:r>
        <w:rPr>
          <w:sz w:val="24"/>
        </w:rPr>
        <w:t>recognition</w:t>
      </w:r>
      <w:r>
        <w:rPr>
          <w:spacing w:val="-14"/>
          <w:sz w:val="24"/>
        </w:rPr>
        <w:t> </w:t>
      </w:r>
      <w:r>
        <w:rPr>
          <w:sz w:val="24"/>
        </w:rPr>
        <w:t>towards</w:t>
      </w:r>
      <w:r>
        <w:rPr>
          <w:spacing w:val="-18"/>
          <w:sz w:val="24"/>
        </w:rPr>
        <w:t> </w:t>
      </w:r>
      <w:r>
        <w:rPr>
          <w:sz w:val="24"/>
        </w:rPr>
        <w:t>our exhibition </w:t>
      </w:r>
      <w:r>
        <w:rPr>
          <w:spacing w:val="-3"/>
          <w:sz w:val="24"/>
        </w:rPr>
        <w:t>in </w:t>
      </w:r>
      <w:r>
        <w:rPr>
          <w:sz w:val="24"/>
        </w:rPr>
        <w:t>meeting those</w:t>
      </w:r>
      <w:r>
        <w:rPr>
          <w:spacing w:val="11"/>
          <w:sz w:val="24"/>
        </w:rPr>
        <w:t> </w:t>
      </w:r>
      <w:r>
        <w:rPr>
          <w:sz w:val="24"/>
        </w:rPr>
        <w:t>prerequisites.</w:t>
      </w:r>
    </w:p>
    <w:p>
      <w:pPr>
        <w:pStyle w:val="ListParagraph"/>
        <w:numPr>
          <w:ilvl w:val="0"/>
          <w:numId w:val="6"/>
        </w:numPr>
        <w:tabs>
          <w:tab w:pos="700" w:val="left" w:leader="none"/>
          <w:tab w:pos="701" w:val="left" w:leader="none"/>
        </w:tabs>
        <w:spacing w:line="350" w:lineRule="auto" w:before="13" w:after="0"/>
        <w:ind w:left="700" w:right="139" w:hanging="360"/>
        <w:jc w:val="left"/>
        <w:rPr>
          <w:sz w:val="24"/>
        </w:rPr>
      </w:pPr>
      <w:r>
        <w:rPr>
          <w:sz w:val="24"/>
        </w:rPr>
        <w:t>To survey and update arrangements, methodology and practices to upgrade the capacity to stretch out better help to</w:t>
      </w:r>
      <w:r>
        <w:rPr>
          <w:spacing w:val="5"/>
          <w:sz w:val="24"/>
        </w:rPr>
        <w:t> </w:t>
      </w:r>
      <w:r>
        <w:rPr>
          <w:sz w:val="24"/>
        </w:rPr>
        <w:t>clients.</w:t>
      </w:r>
    </w:p>
    <w:p>
      <w:pPr>
        <w:pStyle w:val="ListParagraph"/>
        <w:numPr>
          <w:ilvl w:val="0"/>
          <w:numId w:val="6"/>
        </w:numPr>
        <w:tabs>
          <w:tab w:pos="700" w:val="left" w:leader="none"/>
          <w:tab w:pos="701" w:val="left" w:leader="none"/>
        </w:tabs>
        <w:spacing w:line="348" w:lineRule="auto" w:before="17" w:after="0"/>
        <w:ind w:left="700" w:right="148" w:hanging="360"/>
        <w:jc w:val="left"/>
        <w:rPr>
          <w:sz w:val="24"/>
        </w:rPr>
      </w:pPr>
      <w:r>
        <w:rPr>
          <w:sz w:val="24"/>
        </w:rPr>
        <w:t>To prepare and build up all representatives and give them sufficient assets so </w:t>
      </w:r>
      <w:r>
        <w:rPr>
          <w:spacing w:val="-3"/>
          <w:sz w:val="24"/>
        </w:rPr>
        <w:t>client </w:t>
      </w:r>
      <w:r>
        <w:rPr>
          <w:sz w:val="24"/>
        </w:rPr>
        <w:t>needs can </w:t>
      </w:r>
      <w:r>
        <w:rPr>
          <w:spacing w:val="-3"/>
          <w:sz w:val="24"/>
        </w:rPr>
        <w:t>be </w:t>
      </w:r>
      <w:r>
        <w:rPr>
          <w:sz w:val="24"/>
        </w:rPr>
        <w:t>sensibly tended</w:t>
      </w:r>
      <w:r>
        <w:rPr>
          <w:spacing w:val="1"/>
          <w:sz w:val="24"/>
        </w:rPr>
        <w:t> </w:t>
      </w:r>
      <w:r>
        <w:rPr>
          <w:sz w:val="24"/>
        </w:rPr>
        <w:t>to.</w:t>
      </w:r>
    </w:p>
    <w:p>
      <w:pPr>
        <w:pStyle w:val="ListParagraph"/>
        <w:numPr>
          <w:ilvl w:val="0"/>
          <w:numId w:val="6"/>
        </w:numPr>
        <w:tabs>
          <w:tab w:pos="700" w:val="left" w:leader="none"/>
          <w:tab w:pos="701" w:val="left" w:leader="none"/>
        </w:tabs>
        <w:spacing w:line="348" w:lineRule="auto" w:before="19" w:after="0"/>
        <w:ind w:left="700" w:right="141" w:hanging="360"/>
        <w:jc w:val="left"/>
        <w:rPr>
          <w:sz w:val="24"/>
        </w:rPr>
      </w:pPr>
      <w:r>
        <w:rPr>
          <w:sz w:val="24"/>
        </w:rPr>
        <w:t>To advance authoritative viability by transparently conveying organization plans, strategies, practices and systems </w:t>
      </w:r>
      <w:r>
        <w:rPr>
          <w:spacing w:val="2"/>
          <w:sz w:val="24"/>
        </w:rPr>
        <w:t>to </w:t>
      </w:r>
      <w:r>
        <w:rPr>
          <w:sz w:val="24"/>
        </w:rPr>
        <w:t>workers </w:t>
      </w:r>
      <w:r>
        <w:rPr>
          <w:spacing w:val="-5"/>
          <w:sz w:val="24"/>
        </w:rPr>
        <w:t>in </w:t>
      </w:r>
      <w:r>
        <w:rPr>
          <w:sz w:val="24"/>
        </w:rPr>
        <w:t>a convenient</w:t>
      </w:r>
      <w:r>
        <w:rPr>
          <w:spacing w:val="3"/>
          <w:sz w:val="24"/>
        </w:rPr>
        <w:t> </w:t>
      </w:r>
      <w:r>
        <w:rPr>
          <w:sz w:val="24"/>
        </w:rPr>
        <w:t>manner.</w:t>
      </w:r>
    </w:p>
    <w:p>
      <w:pPr>
        <w:pStyle w:val="ListParagraph"/>
        <w:numPr>
          <w:ilvl w:val="0"/>
          <w:numId w:val="6"/>
        </w:numPr>
        <w:tabs>
          <w:tab w:pos="700" w:val="left" w:leader="none"/>
          <w:tab w:pos="701" w:val="left" w:leader="none"/>
        </w:tabs>
        <w:spacing w:line="240" w:lineRule="auto" w:before="18" w:after="0"/>
        <w:ind w:left="700" w:right="0" w:hanging="361"/>
        <w:jc w:val="left"/>
        <w:rPr>
          <w:sz w:val="24"/>
        </w:rPr>
      </w:pPr>
      <w:r>
        <w:rPr>
          <w:sz w:val="24"/>
        </w:rPr>
        <w:t>To develop a workplace that encourages positive inspiration for improved</w:t>
      </w:r>
      <w:r>
        <w:rPr>
          <w:spacing w:val="7"/>
          <w:sz w:val="24"/>
        </w:rPr>
        <w:t> </w:t>
      </w:r>
      <w:r>
        <w:rPr>
          <w:sz w:val="24"/>
        </w:rPr>
        <w:t>execution.</w:t>
      </w:r>
    </w:p>
    <w:p>
      <w:pPr>
        <w:spacing w:after="0" w:line="240" w:lineRule="auto"/>
        <w:jc w:val="left"/>
        <w:rPr>
          <w:sz w:val="24"/>
        </w:rPr>
        <w:sectPr>
          <w:pgSz w:w="12240" w:h="15840"/>
          <w:pgMar w:header="0" w:footer="1237" w:top="1360" w:bottom="1420" w:left="1100" w:right="1300"/>
        </w:sectPr>
      </w:pPr>
    </w:p>
    <w:p>
      <w:pPr>
        <w:pStyle w:val="ListParagraph"/>
        <w:numPr>
          <w:ilvl w:val="0"/>
          <w:numId w:val="6"/>
        </w:numPr>
        <w:tabs>
          <w:tab w:pos="700" w:val="left" w:leader="none"/>
          <w:tab w:pos="701" w:val="left" w:leader="none"/>
        </w:tabs>
        <w:spacing w:line="240" w:lineRule="auto" w:before="74" w:after="0"/>
        <w:ind w:left="700" w:right="0" w:hanging="361"/>
        <w:jc w:val="left"/>
        <w:rPr>
          <w:sz w:val="24"/>
        </w:rPr>
      </w:pPr>
      <w:r>
        <w:rPr>
          <w:sz w:val="24"/>
        </w:rPr>
        <w:t>To expand portfolio both </w:t>
      </w:r>
      <w:r>
        <w:rPr>
          <w:spacing w:val="-3"/>
          <w:sz w:val="24"/>
        </w:rPr>
        <w:t>in </w:t>
      </w:r>
      <w:r>
        <w:rPr>
          <w:sz w:val="24"/>
        </w:rPr>
        <w:t>the retail and discount</w:t>
      </w:r>
      <w:r>
        <w:rPr>
          <w:spacing w:val="16"/>
          <w:sz w:val="24"/>
        </w:rPr>
        <w:t> </w:t>
      </w:r>
      <w:r>
        <w:rPr>
          <w:sz w:val="24"/>
        </w:rPr>
        <w:t>advertise.</w:t>
      </w:r>
    </w:p>
    <w:p>
      <w:pPr>
        <w:pStyle w:val="ListParagraph"/>
        <w:numPr>
          <w:ilvl w:val="0"/>
          <w:numId w:val="6"/>
        </w:numPr>
        <w:tabs>
          <w:tab w:pos="700" w:val="left" w:leader="none"/>
          <w:tab w:pos="701" w:val="left" w:leader="none"/>
        </w:tabs>
        <w:spacing w:line="350" w:lineRule="auto" w:before="138" w:after="0"/>
        <w:ind w:left="700" w:right="147" w:hanging="360"/>
        <w:jc w:val="left"/>
        <w:rPr>
          <w:sz w:val="24"/>
        </w:rPr>
      </w:pPr>
      <w:r>
        <w:rPr>
          <w:sz w:val="24"/>
        </w:rPr>
        <w:t>To</w:t>
      </w:r>
      <w:r>
        <w:rPr>
          <w:spacing w:val="-8"/>
          <w:sz w:val="24"/>
        </w:rPr>
        <w:t> </w:t>
      </w:r>
      <w:r>
        <w:rPr>
          <w:sz w:val="24"/>
        </w:rPr>
        <w:t>increment</w:t>
      </w:r>
      <w:r>
        <w:rPr>
          <w:spacing w:val="-3"/>
          <w:sz w:val="24"/>
        </w:rPr>
        <w:t> </w:t>
      </w:r>
      <w:r>
        <w:rPr>
          <w:sz w:val="24"/>
        </w:rPr>
        <w:t>direct contact</w:t>
      </w:r>
      <w:r>
        <w:rPr>
          <w:spacing w:val="-3"/>
          <w:sz w:val="24"/>
        </w:rPr>
        <w:t> </w:t>
      </w:r>
      <w:r>
        <w:rPr>
          <w:sz w:val="24"/>
        </w:rPr>
        <w:t>with</w:t>
      </w:r>
      <w:r>
        <w:rPr>
          <w:spacing w:val="-12"/>
          <w:sz w:val="24"/>
        </w:rPr>
        <w:t> </w:t>
      </w:r>
      <w:r>
        <w:rPr>
          <w:sz w:val="24"/>
        </w:rPr>
        <w:t>clients</w:t>
      </w:r>
      <w:r>
        <w:rPr>
          <w:spacing w:val="-9"/>
          <w:sz w:val="24"/>
        </w:rPr>
        <w:t> </w:t>
      </w:r>
      <w:r>
        <w:rPr>
          <w:sz w:val="24"/>
        </w:rPr>
        <w:t>so</w:t>
      </w:r>
      <w:r>
        <w:rPr>
          <w:spacing w:val="-3"/>
          <w:sz w:val="24"/>
        </w:rPr>
        <w:t> </w:t>
      </w:r>
      <w:r>
        <w:rPr>
          <w:sz w:val="24"/>
        </w:rPr>
        <w:t>as</w:t>
      </w:r>
      <w:r>
        <w:rPr>
          <w:spacing w:val="-14"/>
          <w:sz w:val="24"/>
        </w:rPr>
        <w:t> </w:t>
      </w:r>
      <w:r>
        <w:rPr>
          <w:sz w:val="24"/>
        </w:rPr>
        <w:t>to</w:t>
      </w:r>
      <w:r>
        <w:rPr>
          <w:spacing w:val="-3"/>
          <w:sz w:val="24"/>
        </w:rPr>
        <w:t> </w:t>
      </w:r>
      <w:r>
        <w:rPr>
          <w:sz w:val="24"/>
        </w:rPr>
        <w:t>develop</w:t>
      </w:r>
      <w:r>
        <w:rPr>
          <w:spacing w:val="-7"/>
          <w:sz w:val="24"/>
        </w:rPr>
        <w:t> </w:t>
      </w:r>
      <w:r>
        <w:rPr>
          <w:sz w:val="24"/>
        </w:rPr>
        <w:t>a</w:t>
      </w:r>
      <w:r>
        <w:rPr>
          <w:spacing w:val="-9"/>
          <w:sz w:val="24"/>
        </w:rPr>
        <w:t> </w:t>
      </w:r>
      <w:r>
        <w:rPr>
          <w:sz w:val="24"/>
        </w:rPr>
        <w:t>closer</w:t>
      </w:r>
      <w:r>
        <w:rPr>
          <w:spacing w:val="-5"/>
          <w:sz w:val="24"/>
        </w:rPr>
        <w:t> </w:t>
      </w:r>
      <w:r>
        <w:rPr>
          <w:sz w:val="24"/>
        </w:rPr>
        <w:t>connection</w:t>
      </w:r>
      <w:r>
        <w:rPr>
          <w:spacing w:val="-13"/>
          <w:sz w:val="24"/>
        </w:rPr>
        <w:t> </w:t>
      </w:r>
      <w:r>
        <w:rPr>
          <w:sz w:val="24"/>
        </w:rPr>
        <w:t>between</w:t>
      </w:r>
      <w:r>
        <w:rPr>
          <w:spacing w:val="-12"/>
          <w:sz w:val="24"/>
        </w:rPr>
        <w:t> </w:t>
      </w:r>
      <w:r>
        <w:rPr>
          <w:sz w:val="24"/>
        </w:rPr>
        <w:t>the</w:t>
      </w:r>
      <w:r>
        <w:rPr>
          <w:spacing w:val="-8"/>
          <w:sz w:val="24"/>
        </w:rPr>
        <w:t> </w:t>
      </w:r>
      <w:r>
        <w:rPr>
          <w:sz w:val="24"/>
        </w:rPr>
        <w:t>bank and its</w:t>
      </w:r>
      <w:r>
        <w:rPr>
          <w:spacing w:val="6"/>
          <w:sz w:val="24"/>
        </w:rPr>
        <w:t> </w:t>
      </w:r>
      <w:r>
        <w:rPr>
          <w:sz w:val="24"/>
        </w:rPr>
        <w:t>clients.</w:t>
      </w:r>
    </w:p>
    <w:p>
      <w:pPr>
        <w:pStyle w:val="BodyText"/>
        <w:spacing w:before="5"/>
        <w:rPr>
          <w:sz w:val="27"/>
        </w:rPr>
      </w:pPr>
    </w:p>
    <w:p>
      <w:pPr>
        <w:pStyle w:val="Heading1"/>
        <w:numPr>
          <w:ilvl w:val="1"/>
          <w:numId w:val="4"/>
        </w:numPr>
        <w:tabs>
          <w:tab w:pos="825" w:val="left" w:leader="none"/>
        </w:tabs>
        <w:spacing w:line="240" w:lineRule="auto" w:before="0" w:after="0"/>
        <w:ind w:left="824" w:right="0" w:hanging="485"/>
        <w:jc w:val="left"/>
      </w:pPr>
      <w:r>
        <w:rPr/>
        <w:t>Overview of Bangladesh Commerce Bank</w:t>
      </w:r>
      <w:r>
        <w:rPr>
          <w:spacing w:val="-19"/>
        </w:rPr>
        <w:t> </w:t>
      </w:r>
      <w:r>
        <w:rPr/>
        <w:t>Limited</w:t>
      </w:r>
    </w:p>
    <w:p>
      <w:pPr>
        <w:pStyle w:val="BodyText"/>
        <w:spacing w:before="4"/>
        <w:rPr>
          <w:b/>
          <w:sz w:val="28"/>
        </w:rPr>
      </w:pPr>
    </w:p>
    <w:p>
      <w:pPr>
        <w:pStyle w:val="Heading3"/>
        <w:jc w:val="both"/>
      </w:pPr>
      <w:r>
        <w:rPr/>
        <w:t>Profile of Bangladesh Commerce Bank Limited</w:t>
      </w:r>
    </w:p>
    <w:p>
      <w:pPr>
        <w:pStyle w:val="BodyText"/>
        <w:spacing w:line="360" w:lineRule="auto" w:before="133"/>
        <w:ind w:left="340" w:right="135"/>
        <w:jc w:val="both"/>
      </w:pPr>
      <w:r>
        <w:rPr/>
        <w:t>The Bank can trace its origins </w:t>
      </w:r>
      <w:r>
        <w:rPr>
          <w:spacing w:val="2"/>
        </w:rPr>
        <w:t>to </w:t>
      </w:r>
      <w:r>
        <w:rPr/>
        <w:t>the former </w:t>
      </w:r>
      <w:hyperlink r:id="rId11">
        <w:r>
          <w:rPr/>
          <w:t>Bangladesh Commerce and Investment Limited </w:t>
        </w:r>
      </w:hyperlink>
      <w:r>
        <w:rPr/>
        <w:t>was set</w:t>
      </w:r>
      <w:r>
        <w:rPr>
          <w:spacing w:val="-2"/>
        </w:rPr>
        <w:t> </w:t>
      </w:r>
      <w:r>
        <w:rPr/>
        <w:t>up</w:t>
      </w:r>
      <w:r>
        <w:rPr>
          <w:spacing w:val="-10"/>
        </w:rPr>
        <w:t> </w:t>
      </w:r>
      <w:r>
        <w:rPr/>
        <w:t>on</w:t>
      </w:r>
      <w:r>
        <w:rPr>
          <w:spacing w:val="-11"/>
        </w:rPr>
        <w:t> </w:t>
      </w:r>
      <w:r>
        <w:rPr/>
        <w:t>27</w:t>
      </w:r>
      <w:r>
        <w:rPr>
          <w:spacing w:val="-6"/>
        </w:rPr>
        <w:t> </w:t>
      </w:r>
      <w:r>
        <w:rPr/>
        <w:t>January</w:t>
      </w:r>
      <w:r>
        <w:rPr>
          <w:spacing w:val="-20"/>
        </w:rPr>
        <w:t> </w:t>
      </w:r>
      <w:r>
        <w:rPr/>
        <w:t>1986.</w:t>
      </w:r>
      <w:r>
        <w:rPr>
          <w:spacing w:val="-3"/>
        </w:rPr>
        <w:t> </w:t>
      </w:r>
      <w:r>
        <w:rPr/>
        <w:t>It</w:t>
      </w:r>
      <w:r>
        <w:rPr>
          <w:spacing w:val="-6"/>
        </w:rPr>
        <w:t> </w:t>
      </w:r>
      <w:r>
        <w:rPr/>
        <w:t>was</w:t>
      </w:r>
      <w:r>
        <w:rPr>
          <w:spacing w:val="-7"/>
        </w:rPr>
        <w:t> </w:t>
      </w:r>
      <w:r>
        <w:rPr/>
        <w:t>a</w:t>
      </w:r>
      <w:r>
        <w:rPr>
          <w:spacing w:val="-7"/>
        </w:rPr>
        <w:t> </w:t>
      </w:r>
      <w:r>
        <w:rPr/>
        <w:t>non-bank</w:t>
      </w:r>
      <w:r>
        <w:rPr>
          <w:spacing w:val="-1"/>
        </w:rPr>
        <w:t> </w:t>
      </w:r>
      <w:r>
        <w:rPr/>
        <w:t>financial</w:t>
      </w:r>
      <w:r>
        <w:rPr>
          <w:spacing w:val="-4"/>
        </w:rPr>
        <w:t> </w:t>
      </w:r>
      <w:r>
        <w:rPr/>
        <w:t>institution.</w:t>
      </w:r>
      <w:r>
        <w:rPr>
          <w:spacing w:val="-3"/>
        </w:rPr>
        <w:t> </w:t>
      </w:r>
      <w:r>
        <w:rPr/>
        <w:t>In</w:t>
      </w:r>
      <w:r>
        <w:rPr>
          <w:spacing w:val="-11"/>
        </w:rPr>
        <w:t> </w:t>
      </w:r>
      <w:r>
        <w:rPr/>
        <w:t>April</w:t>
      </w:r>
      <w:r>
        <w:rPr>
          <w:spacing w:val="-9"/>
        </w:rPr>
        <w:t> </w:t>
      </w:r>
      <w:r>
        <w:rPr/>
        <w:t>1992</w:t>
      </w:r>
      <w:r>
        <w:rPr>
          <w:spacing w:val="-1"/>
        </w:rPr>
        <w:t> </w:t>
      </w:r>
      <w:r>
        <w:rPr/>
        <w:t>its</w:t>
      </w:r>
      <w:r>
        <w:rPr>
          <w:spacing w:val="-8"/>
        </w:rPr>
        <w:t> </w:t>
      </w:r>
      <w:r>
        <w:rPr/>
        <w:t>activities</w:t>
      </w:r>
      <w:r>
        <w:rPr>
          <w:spacing w:val="-8"/>
        </w:rPr>
        <w:t> </w:t>
      </w:r>
      <w:r>
        <w:rPr/>
        <w:t>were suspended by Bangladesh Bank due to a liquidity crisis. To protect the banking sector, the employees and customers </w:t>
      </w:r>
      <w:r>
        <w:rPr>
          <w:spacing w:val="4"/>
        </w:rPr>
        <w:t>of </w:t>
      </w:r>
      <w:r>
        <w:rPr/>
        <w:t>the firm </w:t>
      </w:r>
      <w:r>
        <w:rPr>
          <w:spacing w:val="-5"/>
        </w:rPr>
        <w:t>it </w:t>
      </w:r>
      <w:r>
        <w:rPr/>
        <w:t>was changed into a </w:t>
      </w:r>
      <w:r>
        <w:rPr>
          <w:spacing w:val="-3"/>
        </w:rPr>
        <w:t>bank </w:t>
      </w:r>
      <w:r>
        <w:rPr/>
        <w:t>by </w:t>
      </w:r>
      <w:hyperlink r:id="rId12">
        <w:r>
          <w:rPr/>
          <w:t>Bangladesh</w:t>
        </w:r>
        <w:r>
          <w:rPr>
            <w:spacing w:val="-41"/>
          </w:rPr>
          <w:t> </w:t>
        </w:r>
        <w:r>
          <w:rPr/>
          <w:t>Bank </w:t>
        </w:r>
      </w:hyperlink>
      <w:r>
        <w:rPr/>
        <w:t>Bangladesh Commerce Bank Limited was incorporated on 1 </w:t>
      </w:r>
      <w:r>
        <w:rPr>
          <w:spacing w:val="-4"/>
        </w:rPr>
        <w:t>June</w:t>
      </w:r>
      <w:r>
        <w:rPr>
          <w:spacing w:val="9"/>
        </w:rPr>
        <w:t> </w:t>
      </w:r>
      <w:r>
        <w:rPr/>
        <w:t>1998</w:t>
      </w:r>
    </w:p>
    <w:p>
      <w:pPr>
        <w:pStyle w:val="BodyText"/>
        <w:spacing w:line="276" w:lineRule="exact"/>
        <w:ind w:left="340"/>
        <w:jc w:val="both"/>
        <w:rPr>
          <w:sz w:val="22"/>
        </w:rPr>
      </w:pPr>
      <w:r>
        <w:rPr/>
        <w:t>Its authorized capital is Taka 10,000 million and the paid-up capital is BDT 1,989 million</w:t>
      </w:r>
      <w:r>
        <w:rPr>
          <w:sz w:val="22"/>
        </w:rPr>
        <w:t>.</w:t>
      </w:r>
    </w:p>
    <w:p>
      <w:pPr>
        <w:pStyle w:val="BodyText"/>
        <w:rPr>
          <w:sz w:val="26"/>
        </w:rPr>
      </w:pPr>
    </w:p>
    <w:p>
      <w:pPr>
        <w:pStyle w:val="BodyText"/>
        <w:spacing w:before="5"/>
        <w:rPr>
          <w:sz w:val="38"/>
        </w:rPr>
      </w:pPr>
    </w:p>
    <w:p>
      <w:pPr>
        <w:pStyle w:val="Heading3"/>
      </w:pPr>
      <w:r>
        <w:rPr/>
        <w:t>Strategic Priorities of Bangladesh Commerce Bank Limited</w:t>
      </w:r>
    </w:p>
    <w:p>
      <w:pPr>
        <w:pStyle w:val="ListParagraph"/>
        <w:numPr>
          <w:ilvl w:val="2"/>
          <w:numId w:val="4"/>
        </w:numPr>
        <w:tabs>
          <w:tab w:pos="1060" w:val="left" w:leader="none"/>
          <w:tab w:pos="1061" w:val="left" w:leader="none"/>
        </w:tabs>
        <w:spacing w:line="240" w:lineRule="auto" w:before="135" w:after="0"/>
        <w:ind w:left="1061" w:right="0" w:hanging="361"/>
        <w:jc w:val="left"/>
        <w:rPr>
          <w:sz w:val="24"/>
        </w:rPr>
      </w:pPr>
      <w:r>
        <w:rPr>
          <w:sz w:val="24"/>
        </w:rPr>
        <w:t>To maintain a healthy growth of business </w:t>
      </w:r>
      <w:r>
        <w:rPr>
          <w:spacing w:val="-3"/>
          <w:sz w:val="24"/>
        </w:rPr>
        <w:t>in </w:t>
      </w:r>
      <w:r>
        <w:rPr>
          <w:sz w:val="24"/>
        </w:rPr>
        <w:t>all core activities with desired</w:t>
      </w:r>
      <w:r>
        <w:rPr>
          <w:spacing w:val="-10"/>
          <w:sz w:val="24"/>
        </w:rPr>
        <w:t> </w:t>
      </w:r>
      <w:r>
        <w:rPr>
          <w:sz w:val="24"/>
        </w:rPr>
        <w:t>image</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To</w:t>
      </w:r>
      <w:r>
        <w:rPr>
          <w:spacing w:val="-6"/>
          <w:sz w:val="24"/>
        </w:rPr>
        <w:t> </w:t>
      </w:r>
      <w:r>
        <w:rPr>
          <w:sz w:val="24"/>
        </w:rPr>
        <w:t>acquire</w:t>
      </w:r>
      <w:r>
        <w:rPr>
          <w:spacing w:val="-6"/>
          <w:sz w:val="24"/>
        </w:rPr>
        <w:t> </w:t>
      </w:r>
      <w:r>
        <w:rPr>
          <w:sz w:val="24"/>
        </w:rPr>
        <w:t>state-of</w:t>
      </w:r>
      <w:r>
        <w:rPr>
          <w:spacing w:val="-13"/>
          <w:sz w:val="24"/>
        </w:rPr>
        <w:t> </w:t>
      </w:r>
      <w:r>
        <w:rPr>
          <w:sz w:val="24"/>
        </w:rPr>
        <w:t>–the</w:t>
      </w:r>
      <w:r>
        <w:rPr>
          <w:spacing w:val="-6"/>
          <w:sz w:val="24"/>
        </w:rPr>
        <w:t> </w:t>
      </w:r>
      <w:r>
        <w:rPr>
          <w:sz w:val="24"/>
        </w:rPr>
        <w:t>art</w:t>
      </w:r>
      <w:r>
        <w:rPr>
          <w:spacing w:val="-5"/>
          <w:sz w:val="24"/>
        </w:rPr>
        <w:t> </w:t>
      </w:r>
      <w:r>
        <w:rPr>
          <w:sz w:val="24"/>
        </w:rPr>
        <w:t>technologies</w:t>
      </w:r>
      <w:r>
        <w:rPr>
          <w:spacing w:val="-7"/>
          <w:sz w:val="24"/>
        </w:rPr>
        <w:t> </w:t>
      </w:r>
      <w:r>
        <w:rPr>
          <w:sz w:val="24"/>
        </w:rPr>
        <w:t>and</w:t>
      </w:r>
      <w:r>
        <w:rPr>
          <w:spacing w:val="-5"/>
          <w:sz w:val="24"/>
        </w:rPr>
        <w:t> </w:t>
      </w:r>
      <w:r>
        <w:rPr>
          <w:sz w:val="24"/>
        </w:rPr>
        <w:t>adopt</w:t>
      </w:r>
      <w:r>
        <w:rPr>
          <w:spacing w:val="-5"/>
          <w:sz w:val="24"/>
        </w:rPr>
        <w:t> </w:t>
      </w:r>
      <w:r>
        <w:rPr>
          <w:sz w:val="24"/>
        </w:rPr>
        <w:t>innovative</w:t>
      </w:r>
      <w:r>
        <w:rPr>
          <w:spacing w:val="-2"/>
          <w:sz w:val="24"/>
        </w:rPr>
        <w:t> </w:t>
      </w:r>
      <w:r>
        <w:rPr>
          <w:sz w:val="24"/>
        </w:rPr>
        <w:t>ideas</w:t>
      </w:r>
      <w:r>
        <w:rPr>
          <w:spacing w:val="-2"/>
          <w:sz w:val="24"/>
        </w:rPr>
        <w:t> </w:t>
      </w:r>
      <w:r>
        <w:rPr>
          <w:sz w:val="24"/>
        </w:rPr>
        <w:t>for</w:t>
      </w:r>
      <w:r>
        <w:rPr>
          <w:spacing w:val="-3"/>
          <w:sz w:val="24"/>
        </w:rPr>
        <w:t> </w:t>
      </w:r>
      <w:r>
        <w:rPr>
          <w:sz w:val="24"/>
        </w:rPr>
        <w:t>financial</w:t>
      </w:r>
      <w:r>
        <w:rPr>
          <w:spacing w:val="-1"/>
          <w:sz w:val="24"/>
        </w:rPr>
        <w:t> </w:t>
      </w:r>
      <w:r>
        <w:rPr>
          <w:sz w:val="24"/>
        </w:rPr>
        <w:t>inclusion</w:t>
      </w:r>
    </w:p>
    <w:p>
      <w:pPr>
        <w:pStyle w:val="ListParagraph"/>
        <w:numPr>
          <w:ilvl w:val="2"/>
          <w:numId w:val="4"/>
        </w:numPr>
        <w:tabs>
          <w:tab w:pos="1060" w:val="left" w:leader="none"/>
          <w:tab w:pos="1061" w:val="left" w:leader="none"/>
        </w:tabs>
        <w:spacing w:line="240" w:lineRule="auto" w:before="133" w:after="0"/>
        <w:ind w:left="1061" w:right="0" w:hanging="361"/>
        <w:jc w:val="left"/>
        <w:rPr>
          <w:sz w:val="24"/>
        </w:rPr>
      </w:pPr>
      <w:r>
        <w:rPr>
          <w:sz w:val="24"/>
        </w:rPr>
        <w:t>To strengthen the risk management technique and compliance</w:t>
      </w:r>
      <w:r>
        <w:rPr>
          <w:spacing w:val="16"/>
          <w:sz w:val="24"/>
        </w:rPr>
        <w:t> </w:t>
      </w:r>
      <w:r>
        <w:rPr>
          <w:sz w:val="24"/>
        </w:rPr>
        <w:t>culture</w:t>
      </w:r>
    </w:p>
    <w:p>
      <w:pPr>
        <w:pStyle w:val="ListParagraph"/>
        <w:numPr>
          <w:ilvl w:val="2"/>
          <w:numId w:val="4"/>
        </w:numPr>
        <w:tabs>
          <w:tab w:pos="1060" w:val="left" w:leader="none"/>
          <w:tab w:pos="1061" w:val="left" w:leader="none"/>
        </w:tabs>
        <w:spacing w:line="350" w:lineRule="auto" w:before="138" w:after="0"/>
        <w:ind w:left="1061" w:right="135" w:hanging="361"/>
        <w:jc w:val="left"/>
        <w:rPr>
          <w:sz w:val="24"/>
        </w:rPr>
      </w:pPr>
      <w:r>
        <w:rPr>
          <w:sz w:val="24"/>
        </w:rPr>
        <w:t>To expand the customer base and maintain an incremental deposit &amp; reduce the non- performing</w:t>
      </w:r>
      <w:r>
        <w:rPr>
          <w:spacing w:val="-3"/>
          <w:sz w:val="24"/>
        </w:rPr>
        <w:t> </w:t>
      </w:r>
      <w:r>
        <w:rPr>
          <w:sz w:val="24"/>
        </w:rPr>
        <w:t>assets</w:t>
      </w:r>
    </w:p>
    <w:p>
      <w:pPr>
        <w:pStyle w:val="ListParagraph"/>
        <w:numPr>
          <w:ilvl w:val="2"/>
          <w:numId w:val="4"/>
        </w:numPr>
        <w:tabs>
          <w:tab w:pos="1060" w:val="left" w:leader="none"/>
          <w:tab w:pos="1061" w:val="left" w:leader="none"/>
        </w:tabs>
        <w:spacing w:line="240" w:lineRule="auto" w:before="13" w:after="0"/>
        <w:ind w:left="1061" w:right="0" w:hanging="361"/>
        <w:jc w:val="left"/>
        <w:rPr>
          <w:sz w:val="24"/>
        </w:rPr>
      </w:pPr>
      <w:r>
        <w:rPr>
          <w:sz w:val="24"/>
        </w:rPr>
        <w:t>To develop appropriate corporate governance system and culture with </w:t>
      </w:r>
      <w:r>
        <w:rPr>
          <w:spacing w:val="-3"/>
          <w:sz w:val="24"/>
        </w:rPr>
        <w:t>best</w:t>
      </w:r>
      <w:r>
        <w:rPr>
          <w:spacing w:val="5"/>
          <w:sz w:val="24"/>
        </w:rPr>
        <w:t> </w:t>
      </w:r>
      <w:r>
        <w:rPr>
          <w:sz w:val="24"/>
        </w:rPr>
        <w:t>practice</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To establish relationship banking &amp; continuously improve service</w:t>
      </w:r>
      <w:r>
        <w:rPr>
          <w:spacing w:val="-8"/>
          <w:sz w:val="24"/>
        </w:rPr>
        <w:t> </w:t>
      </w:r>
      <w:r>
        <w:rPr>
          <w:sz w:val="24"/>
        </w:rPr>
        <w:t>quality</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To extend banking services </w:t>
      </w:r>
      <w:r>
        <w:rPr>
          <w:spacing w:val="2"/>
          <w:sz w:val="24"/>
        </w:rPr>
        <w:t>to </w:t>
      </w:r>
      <w:r>
        <w:rPr>
          <w:sz w:val="24"/>
        </w:rPr>
        <w:t>all classes of</w:t>
      </w:r>
      <w:r>
        <w:rPr>
          <w:spacing w:val="-5"/>
          <w:sz w:val="24"/>
        </w:rPr>
        <w:t> </w:t>
      </w:r>
      <w:r>
        <w:rPr>
          <w:sz w:val="24"/>
        </w:rPr>
        <w:t>people</w:t>
      </w:r>
    </w:p>
    <w:p>
      <w:pPr>
        <w:pStyle w:val="ListParagraph"/>
        <w:numPr>
          <w:ilvl w:val="2"/>
          <w:numId w:val="4"/>
        </w:numPr>
        <w:tabs>
          <w:tab w:pos="1060" w:val="left" w:leader="none"/>
          <w:tab w:pos="1061" w:val="left" w:leader="none"/>
        </w:tabs>
        <w:spacing w:line="350" w:lineRule="auto" w:before="138" w:after="0"/>
        <w:ind w:left="1061" w:right="147" w:hanging="361"/>
        <w:jc w:val="left"/>
        <w:rPr>
          <w:sz w:val="24"/>
        </w:rPr>
      </w:pPr>
      <w:r>
        <w:rPr>
          <w:sz w:val="24"/>
        </w:rPr>
        <w:t>To ensure environment friendly investment </w:t>
      </w:r>
      <w:r>
        <w:rPr>
          <w:spacing w:val="-3"/>
          <w:sz w:val="24"/>
        </w:rPr>
        <w:t>in </w:t>
      </w:r>
      <w:r>
        <w:rPr>
          <w:sz w:val="24"/>
        </w:rPr>
        <w:t>line with the “Green Banking Guideline” issued by Bangladesh</w:t>
      </w:r>
      <w:r>
        <w:rPr>
          <w:spacing w:val="-7"/>
          <w:sz w:val="24"/>
        </w:rPr>
        <w:t> </w:t>
      </w:r>
      <w:r>
        <w:rPr>
          <w:sz w:val="24"/>
        </w:rPr>
        <w:t>Bank</w:t>
      </w:r>
    </w:p>
    <w:p>
      <w:pPr>
        <w:pStyle w:val="ListParagraph"/>
        <w:numPr>
          <w:ilvl w:val="2"/>
          <w:numId w:val="4"/>
        </w:numPr>
        <w:tabs>
          <w:tab w:pos="1060" w:val="left" w:leader="none"/>
          <w:tab w:pos="1061" w:val="left" w:leader="none"/>
        </w:tabs>
        <w:spacing w:line="240" w:lineRule="auto" w:before="13" w:after="0"/>
        <w:ind w:left="1061" w:right="0" w:hanging="361"/>
        <w:jc w:val="left"/>
        <w:rPr>
          <w:sz w:val="24"/>
        </w:rPr>
      </w:pPr>
      <w:r>
        <w:rPr>
          <w:sz w:val="24"/>
        </w:rPr>
        <w:t>To take effective measures </w:t>
      </w:r>
      <w:r>
        <w:rPr>
          <w:spacing w:val="2"/>
          <w:sz w:val="24"/>
        </w:rPr>
        <w:t>to </w:t>
      </w:r>
      <w:r>
        <w:rPr>
          <w:sz w:val="24"/>
        </w:rPr>
        <w:t>increase capital base and provision</w:t>
      </w:r>
      <w:r>
        <w:rPr>
          <w:spacing w:val="-4"/>
          <w:sz w:val="24"/>
        </w:rPr>
        <w:t> </w:t>
      </w:r>
      <w:r>
        <w:rPr>
          <w:sz w:val="24"/>
        </w:rPr>
        <w:t>shortfall.</w:t>
      </w:r>
    </w:p>
    <w:p>
      <w:pPr>
        <w:pStyle w:val="ListParagraph"/>
        <w:numPr>
          <w:ilvl w:val="2"/>
          <w:numId w:val="4"/>
        </w:numPr>
        <w:tabs>
          <w:tab w:pos="1060" w:val="left" w:leader="none"/>
          <w:tab w:pos="1061" w:val="left" w:leader="none"/>
        </w:tabs>
        <w:spacing w:line="350" w:lineRule="auto" w:before="138" w:after="0"/>
        <w:ind w:left="1061" w:right="129" w:hanging="361"/>
        <w:jc w:val="left"/>
        <w:rPr>
          <w:sz w:val="24"/>
        </w:rPr>
      </w:pPr>
      <w:r>
        <w:rPr>
          <w:sz w:val="24"/>
        </w:rPr>
        <w:t>To</w:t>
      </w:r>
      <w:r>
        <w:rPr>
          <w:spacing w:val="-5"/>
          <w:sz w:val="24"/>
        </w:rPr>
        <w:t> </w:t>
      </w:r>
      <w:r>
        <w:rPr>
          <w:sz w:val="24"/>
        </w:rPr>
        <w:t>enrich</w:t>
      </w:r>
      <w:r>
        <w:rPr>
          <w:spacing w:val="-5"/>
          <w:sz w:val="24"/>
        </w:rPr>
        <w:t> </w:t>
      </w:r>
      <w:r>
        <w:rPr>
          <w:sz w:val="24"/>
        </w:rPr>
        <w:t>management</w:t>
      </w:r>
      <w:r>
        <w:rPr>
          <w:spacing w:val="-1"/>
          <w:sz w:val="24"/>
        </w:rPr>
        <w:t> </w:t>
      </w:r>
      <w:r>
        <w:rPr>
          <w:sz w:val="24"/>
        </w:rPr>
        <w:t>capacity</w:t>
      </w:r>
      <w:r>
        <w:rPr>
          <w:spacing w:val="-13"/>
          <w:sz w:val="24"/>
        </w:rPr>
        <w:t> </w:t>
      </w:r>
      <w:r>
        <w:rPr>
          <w:sz w:val="24"/>
        </w:rPr>
        <w:t>&amp;</w:t>
      </w:r>
      <w:r>
        <w:rPr>
          <w:spacing w:val="-9"/>
          <w:sz w:val="24"/>
        </w:rPr>
        <w:t> </w:t>
      </w:r>
      <w:r>
        <w:rPr>
          <w:sz w:val="24"/>
        </w:rPr>
        <w:t>human</w:t>
      </w:r>
      <w:r>
        <w:rPr>
          <w:spacing w:val="-10"/>
          <w:sz w:val="24"/>
        </w:rPr>
        <w:t> </w:t>
      </w:r>
      <w:r>
        <w:rPr>
          <w:sz w:val="24"/>
        </w:rPr>
        <w:t>resources</w:t>
      </w:r>
      <w:r>
        <w:rPr>
          <w:spacing w:val="-7"/>
          <w:sz w:val="24"/>
        </w:rPr>
        <w:t> </w:t>
      </w:r>
      <w:r>
        <w:rPr>
          <w:sz w:val="24"/>
        </w:rPr>
        <w:t>quality</w:t>
      </w:r>
      <w:r>
        <w:rPr>
          <w:spacing w:val="-14"/>
          <w:sz w:val="24"/>
        </w:rPr>
        <w:t> </w:t>
      </w:r>
      <w:r>
        <w:rPr>
          <w:sz w:val="24"/>
        </w:rPr>
        <w:t>and</w:t>
      </w:r>
      <w:r>
        <w:rPr>
          <w:spacing w:val="-5"/>
          <w:sz w:val="24"/>
        </w:rPr>
        <w:t> </w:t>
      </w:r>
      <w:r>
        <w:rPr>
          <w:sz w:val="24"/>
        </w:rPr>
        <w:t>develop</w:t>
      </w:r>
      <w:r>
        <w:rPr>
          <w:spacing w:val="-5"/>
          <w:sz w:val="24"/>
        </w:rPr>
        <w:t> </w:t>
      </w:r>
      <w:r>
        <w:rPr>
          <w:sz w:val="24"/>
        </w:rPr>
        <w:t>a</w:t>
      </w:r>
      <w:r>
        <w:rPr>
          <w:spacing w:val="-6"/>
          <w:sz w:val="24"/>
        </w:rPr>
        <w:t> </w:t>
      </w:r>
      <w:r>
        <w:rPr>
          <w:sz w:val="24"/>
        </w:rPr>
        <w:t>pro-active</w:t>
      </w:r>
      <w:r>
        <w:rPr>
          <w:spacing w:val="-4"/>
          <w:sz w:val="24"/>
        </w:rPr>
        <w:t> </w:t>
      </w:r>
      <w:r>
        <w:rPr>
          <w:sz w:val="24"/>
        </w:rPr>
        <w:t>work force with a suitable compensation</w:t>
      </w:r>
      <w:r>
        <w:rPr>
          <w:spacing w:val="-5"/>
          <w:sz w:val="24"/>
        </w:rPr>
        <w:t> </w:t>
      </w:r>
      <w:r>
        <w:rPr>
          <w:sz w:val="24"/>
        </w:rPr>
        <w:t>package</w:t>
      </w:r>
    </w:p>
    <w:p>
      <w:pPr>
        <w:pStyle w:val="ListParagraph"/>
        <w:numPr>
          <w:ilvl w:val="2"/>
          <w:numId w:val="4"/>
        </w:numPr>
        <w:tabs>
          <w:tab w:pos="1060" w:val="left" w:leader="none"/>
          <w:tab w:pos="1061" w:val="left" w:leader="none"/>
        </w:tabs>
        <w:spacing w:line="240" w:lineRule="auto" w:before="13" w:after="0"/>
        <w:ind w:left="1061" w:right="0" w:hanging="361"/>
        <w:jc w:val="left"/>
        <w:rPr>
          <w:sz w:val="24"/>
        </w:rPr>
      </w:pPr>
      <w:r>
        <w:rPr>
          <w:sz w:val="24"/>
        </w:rPr>
        <w:t>To </w:t>
      </w:r>
      <w:r>
        <w:rPr>
          <w:spacing w:val="-3"/>
          <w:sz w:val="24"/>
        </w:rPr>
        <w:t>be </w:t>
      </w:r>
      <w:r>
        <w:rPr>
          <w:sz w:val="24"/>
        </w:rPr>
        <w:t>a trend-setter </w:t>
      </w:r>
      <w:r>
        <w:rPr>
          <w:spacing w:val="-5"/>
          <w:sz w:val="24"/>
        </w:rPr>
        <w:t>in </w:t>
      </w:r>
      <w:r>
        <w:rPr>
          <w:sz w:val="24"/>
        </w:rPr>
        <w:t>the socio-economic development of the</w:t>
      </w:r>
      <w:r>
        <w:rPr>
          <w:spacing w:val="3"/>
          <w:sz w:val="24"/>
        </w:rPr>
        <w:t> </w:t>
      </w:r>
      <w:r>
        <w:rPr>
          <w:sz w:val="24"/>
        </w:rPr>
        <w:t>country</w:t>
      </w:r>
    </w:p>
    <w:p>
      <w:pPr>
        <w:spacing w:after="0" w:line="240" w:lineRule="auto"/>
        <w:jc w:val="left"/>
        <w:rPr>
          <w:sz w:val="24"/>
        </w:rPr>
        <w:sectPr>
          <w:pgSz w:w="12240" w:h="15840"/>
          <w:pgMar w:header="0" w:footer="1237" w:top="1360" w:bottom="1440" w:left="1100" w:right="1300"/>
        </w:sectPr>
      </w:pPr>
    </w:p>
    <w:p>
      <w:pPr>
        <w:pStyle w:val="Heading3"/>
        <w:spacing w:before="77"/>
        <w:jc w:val="both"/>
      </w:pPr>
      <w:r>
        <w:rPr/>
        <w:t>Activities of BCBL</w:t>
      </w:r>
    </w:p>
    <w:p>
      <w:pPr>
        <w:pStyle w:val="BodyText"/>
        <w:spacing w:before="132"/>
        <w:ind w:left="340"/>
        <w:jc w:val="both"/>
      </w:pPr>
      <w:r>
        <w:rPr/>
        <w:t>General banking activities of Bangladesh Commerce Bank Limited is divided into five sectors.</w:t>
      </w:r>
    </w:p>
    <w:p>
      <w:pPr>
        <w:pStyle w:val="ListParagraph"/>
        <w:numPr>
          <w:ilvl w:val="0"/>
          <w:numId w:val="7"/>
        </w:numPr>
        <w:tabs>
          <w:tab w:pos="1061" w:val="left" w:leader="none"/>
        </w:tabs>
        <w:spacing w:line="240" w:lineRule="auto" w:before="137" w:after="0"/>
        <w:ind w:left="1061" w:right="0" w:hanging="361"/>
        <w:jc w:val="left"/>
        <w:rPr>
          <w:sz w:val="24"/>
        </w:rPr>
      </w:pPr>
      <w:r>
        <w:rPr>
          <w:sz w:val="24"/>
        </w:rPr>
        <w:t>Account opening</w:t>
      </w:r>
      <w:r>
        <w:rPr>
          <w:spacing w:val="5"/>
          <w:sz w:val="24"/>
        </w:rPr>
        <w:t> </w:t>
      </w:r>
      <w:r>
        <w:rPr>
          <w:sz w:val="24"/>
        </w:rPr>
        <w:t>section</w:t>
      </w:r>
    </w:p>
    <w:p>
      <w:pPr>
        <w:pStyle w:val="ListParagraph"/>
        <w:numPr>
          <w:ilvl w:val="0"/>
          <w:numId w:val="7"/>
        </w:numPr>
        <w:tabs>
          <w:tab w:pos="1061" w:val="left" w:leader="none"/>
        </w:tabs>
        <w:spacing w:line="240" w:lineRule="auto" w:before="142" w:after="0"/>
        <w:ind w:left="1061" w:right="0" w:hanging="361"/>
        <w:jc w:val="left"/>
        <w:rPr>
          <w:sz w:val="24"/>
        </w:rPr>
      </w:pPr>
      <w:r>
        <w:rPr>
          <w:sz w:val="24"/>
        </w:rPr>
        <w:t>Clearing</w:t>
      </w:r>
      <w:r>
        <w:rPr>
          <w:spacing w:val="-3"/>
          <w:sz w:val="24"/>
        </w:rPr>
        <w:t> </w:t>
      </w:r>
      <w:r>
        <w:rPr>
          <w:sz w:val="24"/>
        </w:rPr>
        <w:t>Section</w:t>
      </w:r>
    </w:p>
    <w:p>
      <w:pPr>
        <w:pStyle w:val="ListParagraph"/>
        <w:numPr>
          <w:ilvl w:val="0"/>
          <w:numId w:val="7"/>
        </w:numPr>
        <w:tabs>
          <w:tab w:pos="1061" w:val="left" w:leader="none"/>
        </w:tabs>
        <w:spacing w:line="240" w:lineRule="auto" w:before="137" w:after="0"/>
        <w:ind w:left="1061" w:right="0" w:hanging="361"/>
        <w:jc w:val="left"/>
        <w:rPr>
          <w:sz w:val="24"/>
        </w:rPr>
      </w:pPr>
      <w:r>
        <w:rPr>
          <w:sz w:val="24"/>
        </w:rPr>
        <w:t>Remittance</w:t>
      </w:r>
      <w:r>
        <w:rPr>
          <w:spacing w:val="1"/>
          <w:sz w:val="24"/>
        </w:rPr>
        <w:t> </w:t>
      </w:r>
      <w:r>
        <w:rPr>
          <w:sz w:val="24"/>
        </w:rPr>
        <w:t>Section</w:t>
      </w:r>
    </w:p>
    <w:p>
      <w:pPr>
        <w:pStyle w:val="ListParagraph"/>
        <w:numPr>
          <w:ilvl w:val="0"/>
          <w:numId w:val="7"/>
        </w:numPr>
        <w:tabs>
          <w:tab w:pos="1061" w:val="left" w:leader="none"/>
        </w:tabs>
        <w:spacing w:line="240" w:lineRule="auto" w:before="137" w:after="0"/>
        <w:ind w:left="1061" w:right="0" w:hanging="361"/>
        <w:jc w:val="left"/>
        <w:rPr>
          <w:sz w:val="24"/>
        </w:rPr>
      </w:pPr>
      <w:r>
        <w:rPr>
          <w:sz w:val="24"/>
        </w:rPr>
        <w:t>Deposit</w:t>
      </w:r>
      <w:r>
        <w:rPr>
          <w:spacing w:val="7"/>
          <w:sz w:val="24"/>
        </w:rPr>
        <w:t> </w:t>
      </w:r>
      <w:r>
        <w:rPr>
          <w:sz w:val="24"/>
        </w:rPr>
        <w:t>Section</w:t>
      </w:r>
    </w:p>
    <w:p>
      <w:pPr>
        <w:pStyle w:val="ListParagraph"/>
        <w:numPr>
          <w:ilvl w:val="0"/>
          <w:numId w:val="7"/>
        </w:numPr>
        <w:tabs>
          <w:tab w:pos="1061" w:val="left" w:leader="none"/>
        </w:tabs>
        <w:spacing w:line="240" w:lineRule="auto" w:before="137" w:after="0"/>
        <w:ind w:left="1061" w:right="0" w:hanging="361"/>
        <w:jc w:val="left"/>
        <w:rPr>
          <w:sz w:val="24"/>
        </w:rPr>
      </w:pPr>
      <w:r>
        <w:rPr>
          <w:sz w:val="24"/>
        </w:rPr>
        <w:t>Cash</w:t>
      </w:r>
      <w:r>
        <w:rPr>
          <w:spacing w:val="-4"/>
          <w:sz w:val="24"/>
        </w:rPr>
        <w:t> </w:t>
      </w:r>
      <w:r>
        <w:rPr>
          <w:sz w:val="24"/>
        </w:rPr>
        <w:t>Section</w:t>
      </w:r>
    </w:p>
    <w:p>
      <w:pPr>
        <w:pStyle w:val="BodyText"/>
        <w:rPr>
          <w:sz w:val="26"/>
        </w:rPr>
      </w:pPr>
    </w:p>
    <w:p>
      <w:pPr>
        <w:pStyle w:val="BodyText"/>
        <w:spacing w:before="10"/>
        <w:rPr>
          <w:sz w:val="34"/>
        </w:rPr>
      </w:pPr>
    </w:p>
    <w:p>
      <w:pPr>
        <w:pStyle w:val="Heading1"/>
        <w:numPr>
          <w:ilvl w:val="1"/>
          <w:numId w:val="4"/>
        </w:numPr>
        <w:tabs>
          <w:tab w:pos="825" w:val="left" w:leader="none"/>
        </w:tabs>
        <w:spacing w:line="240" w:lineRule="auto" w:before="0" w:after="0"/>
        <w:ind w:left="824" w:right="0" w:hanging="485"/>
        <w:jc w:val="left"/>
      </w:pPr>
      <w:r>
        <w:rPr/>
        <w:t>Overview of Premier Bank</w:t>
      </w:r>
      <w:r>
        <w:rPr>
          <w:spacing w:val="-16"/>
        </w:rPr>
        <w:t> </w:t>
      </w:r>
      <w:r>
        <w:rPr/>
        <w:t>Limited</w:t>
      </w:r>
    </w:p>
    <w:p>
      <w:pPr>
        <w:pStyle w:val="Heading3"/>
        <w:spacing w:before="182"/>
        <w:jc w:val="both"/>
      </w:pPr>
      <w:r>
        <w:rPr/>
        <w:t>Historical Profile of Premier Bank Limited</w:t>
      </w:r>
    </w:p>
    <w:p>
      <w:pPr>
        <w:pStyle w:val="BodyText"/>
        <w:spacing w:line="360" w:lineRule="auto" w:before="133"/>
        <w:ind w:left="340" w:right="126"/>
        <w:jc w:val="both"/>
      </w:pPr>
      <w:r>
        <w:rPr/>
        <w:t>The</w:t>
      </w:r>
      <w:r>
        <w:rPr>
          <w:spacing w:val="-13"/>
        </w:rPr>
        <w:t> </w:t>
      </w:r>
      <w:r>
        <w:rPr/>
        <w:t>Premier</w:t>
      </w:r>
      <w:r>
        <w:rPr>
          <w:spacing w:val="-11"/>
        </w:rPr>
        <w:t> </w:t>
      </w:r>
      <w:r>
        <w:rPr/>
        <w:t>Bank</w:t>
      </w:r>
      <w:r>
        <w:rPr>
          <w:spacing w:val="-12"/>
        </w:rPr>
        <w:t> </w:t>
      </w:r>
      <w:r>
        <w:rPr/>
        <w:t>Limited</w:t>
      </w:r>
      <w:r>
        <w:rPr>
          <w:spacing w:val="-12"/>
        </w:rPr>
        <w:t> </w:t>
      </w:r>
      <w:r>
        <w:rPr/>
        <w:t>(PBL)</w:t>
      </w:r>
      <w:r>
        <w:rPr>
          <w:spacing w:val="-5"/>
        </w:rPr>
        <w:t> </w:t>
      </w:r>
      <w:r>
        <w:rPr>
          <w:spacing w:val="-3"/>
        </w:rPr>
        <w:t>is</w:t>
      </w:r>
      <w:r>
        <w:rPr>
          <w:spacing w:val="-14"/>
        </w:rPr>
        <w:t> </w:t>
      </w:r>
      <w:r>
        <w:rPr/>
        <w:t>the</w:t>
      </w:r>
      <w:r>
        <w:rPr>
          <w:spacing w:val="-9"/>
        </w:rPr>
        <w:t> </w:t>
      </w:r>
      <w:r>
        <w:rPr/>
        <w:t>leading</w:t>
      </w:r>
      <w:r>
        <w:rPr>
          <w:spacing w:val="-12"/>
        </w:rPr>
        <w:t> </w:t>
      </w:r>
      <w:r>
        <w:rPr/>
        <w:t>private</w:t>
      </w:r>
      <w:r>
        <w:rPr>
          <w:spacing w:val="-13"/>
        </w:rPr>
        <w:t> </w:t>
      </w:r>
      <w:r>
        <w:rPr/>
        <w:t>bank</w:t>
      </w:r>
      <w:r>
        <w:rPr>
          <w:spacing w:val="-7"/>
        </w:rPr>
        <w:t> </w:t>
      </w:r>
      <w:r>
        <w:rPr>
          <w:spacing w:val="-3"/>
        </w:rPr>
        <w:t>in</w:t>
      </w:r>
      <w:r>
        <w:rPr>
          <w:spacing w:val="-16"/>
        </w:rPr>
        <w:t> </w:t>
      </w:r>
      <w:r>
        <w:rPr/>
        <w:t>Bangladesh.</w:t>
      </w:r>
      <w:r>
        <w:rPr>
          <w:spacing w:val="-2"/>
        </w:rPr>
        <w:t> </w:t>
      </w:r>
      <w:r>
        <w:rPr/>
        <w:t>It</w:t>
      </w:r>
      <w:r>
        <w:rPr>
          <w:spacing w:val="-15"/>
        </w:rPr>
        <w:t> </w:t>
      </w:r>
      <w:r>
        <w:rPr>
          <w:spacing w:val="-3"/>
        </w:rPr>
        <w:t>is</w:t>
      </w:r>
      <w:r>
        <w:rPr>
          <w:spacing w:val="-14"/>
        </w:rPr>
        <w:t> </w:t>
      </w:r>
      <w:r>
        <w:rPr/>
        <w:t>a</w:t>
      </w:r>
      <w:r>
        <w:rPr>
          <w:spacing w:val="-13"/>
        </w:rPr>
        <w:t> </w:t>
      </w:r>
      <w:r>
        <w:rPr/>
        <w:t>scheduled</w:t>
      </w:r>
      <w:r>
        <w:rPr>
          <w:spacing w:val="-8"/>
        </w:rPr>
        <w:t> </w:t>
      </w:r>
      <w:r>
        <w:rPr/>
        <w:t>bank, which </w:t>
      </w:r>
      <w:r>
        <w:rPr>
          <w:spacing w:val="-3"/>
        </w:rPr>
        <w:t>is </w:t>
      </w:r>
      <w:r>
        <w:rPr/>
        <w:t>incorporated </w:t>
      </w:r>
      <w:r>
        <w:rPr>
          <w:spacing w:val="-3"/>
        </w:rPr>
        <w:t>in </w:t>
      </w:r>
      <w:r>
        <w:rPr/>
        <w:t>Bangladesh as banking company on June 10, 1999 under Companies Act.1994. It has created a new way of its own banking area of Bangladesh </w:t>
      </w:r>
      <w:r>
        <w:rPr>
          <w:spacing w:val="-3"/>
        </w:rPr>
        <w:t>in </w:t>
      </w:r>
      <w:r>
        <w:rPr/>
        <w:t>terms of providing service to customer and value addition </w:t>
      </w:r>
      <w:r>
        <w:rPr>
          <w:spacing w:val="2"/>
        </w:rPr>
        <w:t>to </w:t>
      </w:r>
      <w:r>
        <w:rPr/>
        <w:t>its stakeholders. Bangladesh Bank, the central bank </w:t>
      </w:r>
      <w:r>
        <w:rPr>
          <w:spacing w:val="4"/>
        </w:rPr>
        <w:t>of </w:t>
      </w:r>
      <w:r>
        <w:rPr/>
        <w:t>Bangladesh, </w:t>
      </w:r>
      <w:r>
        <w:rPr>
          <w:spacing w:val="-2"/>
        </w:rPr>
        <w:t>issued </w:t>
      </w:r>
      <w:r>
        <w:rPr/>
        <w:t>banking license on June 17, 1999 under Banking Companies Act.1991. The Head Office of the Premier Bank Limited </w:t>
      </w:r>
      <w:r>
        <w:rPr>
          <w:spacing w:val="-3"/>
        </w:rPr>
        <w:t>is </w:t>
      </w:r>
      <w:r>
        <w:rPr/>
        <w:t>located </w:t>
      </w:r>
      <w:r>
        <w:rPr>
          <w:spacing w:val="-3"/>
        </w:rPr>
        <w:t>at </w:t>
      </w:r>
      <w:r>
        <w:rPr/>
        <w:t>Banani. Within short time, the </w:t>
      </w:r>
      <w:r>
        <w:rPr>
          <w:spacing w:val="-3"/>
        </w:rPr>
        <w:t>bank </w:t>
      </w:r>
      <w:r>
        <w:rPr/>
        <w:t>has been effective </w:t>
      </w:r>
      <w:r>
        <w:rPr>
          <w:spacing w:val="-3"/>
        </w:rPr>
        <w:t>in </w:t>
      </w:r>
      <w:r>
        <w:rPr/>
        <w:t>situating itself as dynamic and dynamic budgetary establishment </w:t>
      </w:r>
      <w:r>
        <w:rPr>
          <w:spacing w:val="-3"/>
        </w:rPr>
        <w:t>in </w:t>
      </w:r>
      <w:r>
        <w:rPr/>
        <w:t>our nation. The</w:t>
      </w:r>
      <w:r>
        <w:rPr>
          <w:spacing w:val="-12"/>
        </w:rPr>
        <w:t> </w:t>
      </w:r>
      <w:r>
        <w:rPr/>
        <w:t>bank</w:t>
      </w:r>
      <w:r>
        <w:rPr>
          <w:spacing w:val="-6"/>
        </w:rPr>
        <w:t> </w:t>
      </w:r>
      <w:r>
        <w:rPr>
          <w:spacing w:val="-5"/>
        </w:rPr>
        <w:t>is</w:t>
      </w:r>
      <w:r>
        <w:rPr>
          <w:spacing w:val="-13"/>
        </w:rPr>
        <w:t> </w:t>
      </w:r>
      <w:r>
        <w:rPr/>
        <w:t>presently</w:t>
      </w:r>
      <w:r>
        <w:rPr>
          <w:spacing w:val="-19"/>
        </w:rPr>
        <w:t> </w:t>
      </w:r>
      <w:r>
        <w:rPr/>
        <w:t>generally</w:t>
      </w:r>
      <w:r>
        <w:rPr>
          <w:spacing w:val="-19"/>
        </w:rPr>
        <w:t> </w:t>
      </w:r>
      <w:r>
        <w:rPr/>
        <w:t>worked</w:t>
      </w:r>
      <w:r>
        <w:rPr>
          <w:spacing w:val="-11"/>
        </w:rPr>
        <w:t> </w:t>
      </w:r>
      <w:r>
        <w:rPr/>
        <w:t>by</w:t>
      </w:r>
      <w:r>
        <w:rPr>
          <w:spacing w:val="-20"/>
        </w:rPr>
        <w:t> </w:t>
      </w:r>
      <w:r>
        <w:rPr/>
        <w:t>the</w:t>
      </w:r>
      <w:r>
        <w:rPr>
          <w:spacing w:val="-11"/>
        </w:rPr>
        <w:t> </w:t>
      </w:r>
      <w:r>
        <w:rPr/>
        <w:t>business</w:t>
      </w:r>
      <w:r>
        <w:rPr>
          <w:spacing w:val="-13"/>
        </w:rPr>
        <w:t> </w:t>
      </w:r>
      <w:r>
        <w:rPr/>
        <w:t>network</w:t>
      </w:r>
      <w:r>
        <w:rPr>
          <w:spacing w:val="-15"/>
        </w:rPr>
        <w:t> </w:t>
      </w:r>
      <w:r>
        <w:rPr/>
        <w:t>from</w:t>
      </w:r>
      <w:r>
        <w:rPr>
          <w:spacing w:val="-14"/>
        </w:rPr>
        <w:t> </w:t>
      </w:r>
      <w:r>
        <w:rPr/>
        <w:t>little</w:t>
      </w:r>
      <w:r>
        <w:rPr>
          <w:spacing w:val="-12"/>
        </w:rPr>
        <w:t> </w:t>
      </w:r>
      <w:r>
        <w:rPr/>
        <w:t>business</w:t>
      </w:r>
      <w:r>
        <w:rPr>
          <w:spacing w:val="-12"/>
        </w:rPr>
        <w:t> </w:t>
      </w:r>
      <w:r>
        <w:rPr/>
        <w:t>people</w:t>
      </w:r>
      <w:r>
        <w:rPr>
          <w:spacing w:val="-16"/>
        </w:rPr>
        <w:t> </w:t>
      </w:r>
      <w:r>
        <w:rPr/>
        <w:t>to</w:t>
      </w:r>
      <w:r>
        <w:rPr>
          <w:spacing w:val="-9"/>
        </w:rPr>
        <w:t> </w:t>
      </w:r>
      <w:r>
        <w:rPr/>
        <w:t>huge trader and worldwide due </w:t>
      </w:r>
      <w:r>
        <w:rPr>
          <w:spacing w:val="2"/>
        </w:rPr>
        <w:t>to </w:t>
      </w:r>
      <w:r>
        <w:rPr/>
        <w:t>current and creative thoughts and money related arrangement. Presently </w:t>
      </w:r>
      <w:r>
        <w:rPr>
          <w:spacing w:val="-5"/>
        </w:rPr>
        <w:t>it </w:t>
      </w:r>
      <w:r>
        <w:rPr/>
        <w:t>has opened 65 branches </w:t>
      </w:r>
      <w:r>
        <w:rPr>
          <w:spacing w:val="-3"/>
        </w:rPr>
        <w:t>in </w:t>
      </w:r>
      <w:r>
        <w:rPr/>
        <w:t>various regions of the</w:t>
      </w:r>
      <w:r>
        <w:rPr>
          <w:spacing w:val="16"/>
        </w:rPr>
        <w:t> </w:t>
      </w:r>
      <w:r>
        <w:rPr/>
        <w:t>nation.</w:t>
      </w:r>
    </w:p>
    <w:p>
      <w:pPr>
        <w:pStyle w:val="BodyText"/>
        <w:spacing w:line="360" w:lineRule="auto"/>
        <w:ind w:left="340" w:right="126"/>
        <w:jc w:val="both"/>
      </w:pPr>
      <w:r>
        <w:rPr/>
        <w:t>The Premier Bank began its voyage from October 26, 1999 with an unmistakable vision of 'CORPORATE EXCELLENCE' together with a famous witticism of 'Administration FIRST' under the protection of 11 fruitful entrepreneurs, understood </w:t>
      </w:r>
      <w:r>
        <w:rPr>
          <w:spacing w:val="-3"/>
        </w:rPr>
        <w:t>at </w:t>
      </w:r>
      <w:r>
        <w:rPr/>
        <w:t>their particular fields of business and industry. From the earliest starting point the bank put forward a fantasy </w:t>
      </w:r>
      <w:r>
        <w:rPr>
          <w:spacing w:val="2"/>
        </w:rPr>
        <w:t>to </w:t>
      </w:r>
      <w:r>
        <w:rPr/>
        <w:t>create a money related foundation that </w:t>
      </w:r>
      <w:r>
        <w:rPr>
          <w:spacing w:val="-3"/>
        </w:rPr>
        <w:t>would </w:t>
      </w:r>
      <w:r>
        <w:rPr/>
        <w:t>emerge </w:t>
      </w:r>
      <w:r>
        <w:rPr>
          <w:spacing w:val="-3"/>
        </w:rPr>
        <w:t>in </w:t>
      </w:r>
      <w:r>
        <w:rPr/>
        <w:t>group </w:t>
      </w:r>
      <w:r>
        <w:rPr>
          <w:spacing w:val="-4"/>
        </w:rPr>
        <w:t>and </w:t>
      </w:r>
      <w:r>
        <w:rPr/>
        <w:t>take care of the demand of 21st century. Presently following 10 fruitful long periods of activity, the bank </w:t>
      </w:r>
      <w:r>
        <w:rPr>
          <w:spacing w:val="-5"/>
        </w:rPr>
        <w:t>is </w:t>
      </w:r>
      <w:r>
        <w:rPr/>
        <w:t>legitimized </w:t>
      </w:r>
      <w:r>
        <w:rPr>
          <w:spacing w:val="-3"/>
        </w:rPr>
        <w:t>in </w:t>
      </w:r>
      <w:r>
        <w:rPr/>
        <w:t>its vision and mission</w:t>
      </w:r>
      <w:r>
        <w:rPr>
          <w:spacing w:val="-10"/>
        </w:rPr>
        <w:t> </w:t>
      </w:r>
      <w:r>
        <w:rPr/>
        <w:t>and</w:t>
      </w:r>
      <w:r>
        <w:rPr>
          <w:spacing w:val="-6"/>
        </w:rPr>
        <w:t> </w:t>
      </w:r>
      <w:r>
        <w:rPr/>
        <w:t>well-set</w:t>
      </w:r>
      <w:r>
        <w:rPr>
          <w:spacing w:val="-5"/>
        </w:rPr>
        <w:t> </w:t>
      </w:r>
      <w:r>
        <w:rPr/>
        <w:t>to</w:t>
      </w:r>
      <w:r>
        <w:rPr>
          <w:spacing w:val="-6"/>
        </w:rPr>
        <w:t> </w:t>
      </w:r>
      <w:r>
        <w:rPr/>
        <w:t>finish</w:t>
      </w:r>
      <w:r>
        <w:rPr>
          <w:spacing w:val="-5"/>
        </w:rPr>
        <w:t> </w:t>
      </w:r>
      <w:r>
        <w:rPr/>
        <w:t>its</w:t>
      </w:r>
      <w:r>
        <w:rPr>
          <w:spacing w:val="-7"/>
        </w:rPr>
        <w:t> </w:t>
      </w:r>
      <w:r>
        <w:rPr/>
        <w:t>10th</w:t>
      </w:r>
      <w:r>
        <w:rPr>
          <w:spacing w:val="-7"/>
        </w:rPr>
        <w:t> </w:t>
      </w:r>
      <w:r>
        <w:rPr/>
        <w:t>year</w:t>
      </w:r>
      <w:r>
        <w:rPr>
          <w:spacing w:val="-9"/>
        </w:rPr>
        <w:t> </w:t>
      </w:r>
      <w:r>
        <w:rPr/>
        <w:t>on</w:t>
      </w:r>
      <w:r>
        <w:rPr>
          <w:spacing w:val="-10"/>
        </w:rPr>
        <w:t> </w:t>
      </w:r>
      <w:r>
        <w:rPr/>
        <w:t>advancement.</w:t>
      </w:r>
      <w:r>
        <w:rPr>
          <w:spacing w:val="-2"/>
        </w:rPr>
        <w:t> </w:t>
      </w:r>
      <w:r>
        <w:rPr/>
        <w:t>The</w:t>
      </w:r>
      <w:r>
        <w:rPr>
          <w:spacing w:val="-7"/>
        </w:rPr>
        <w:t> </w:t>
      </w:r>
      <w:r>
        <w:rPr/>
        <w:t>Head</w:t>
      </w:r>
      <w:r>
        <w:rPr>
          <w:spacing w:val="-6"/>
        </w:rPr>
        <w:t> </w:t>
      </w:r>
      <w:r>
        <w:rPr/>
        <w:t>Office</w:t>
      </w:r>
      <w:r>
        <w:rPr>
          <w:spacing w:val="-7"/>
        </w:rPr>
        <w:t> </w:t>
      </w:r>
      <w:r>
        <w:rPr/>
        <w:t>of</w:t>
      </w:r>
      <w:r>
        <w:rPr>
          <w:spacing w:val="-13"/>
        </w:rPr>
        <w:t> </w:t>
      </w:r>
      <w:r>
        <w:rPr/>
        <w:t>the</w:t>
      </w:r>
      <w:r>
        <w:rPr>
          <w:spacing w:val="-3"/>
        </w:rPr>
        <w:t> </w:t>
      </w:r>
      <w:r>
        <w:rPr/>
        <w:t>Premier Bank Limited </w:t>
      </w:r>
      <w:r>
        <w:rPr>
          <w:spacing w:val="-3"/>
        </w:rPr>
        <w:t>is </w:t>
      </w:r>
      <w:r>
        <w:rPr/>
        <w:t>situated </w:t>
      </w:r>
      <w:r>
        <w:rPr>
          <w:spacing w:val="-3"/>
        </w:rPr>
        <w:t>at Banani, </w:t>
      </w:r>
      <w:r>
        <w:rPr/>
        <w:t>one of the quickly developing business and business regions </w:t>
      </w:r>
      <w:r>
        <w:rPr>
          <w:spacing w:val="4"/>
        </w:rPr>
        <w:t>of </w:t>
      </w:r>
      <w:r>
        <w:rPr/>
        <w:t>Dhaka city. Still now </w:t>
      </w:r>
      <w:r>
        <w:rPr>
          <w:spacing w:val="-5"/>
        </w:rPr>
        <w:t>it </w:t>
      </w:r>
      <w:r>
        <w:rPr/>
        <w:t>has opened 30 branches </w:t>
      </w:r>
      <w:r>
        <w:rPr>
          <w:spacing w:val="-3"/>
        </w:rPr>
        <w:t>in </w:t>
      </w:r>
      <w:r>
        <w:rPr/>
        <w:t>various territories of the nation. Dhaka Stock Exchange and Chittagong Stock Exchange </w:t>
      </w:r>
      <w:r>
        <w:rPr>
          <w:spacing w:val="-3"/>
        </w:rPr>
        <w:t>in </w:t>
      </w:r>
      <w:r>
        <w:rPr/>
        <w:t>May, 2007 whereby the exchanging of offers </w:t>
      </w:r>
      <w:r>
        <w:rPr>
          <w:spacing w:val="4"/>
        </w:rPr>
        <w:t>of</w:t>
      </w:r>
      <w:r>
        <w:rPr>
          <w:spacing w:val="-1"/>
        </w:rPr>
        <w:t> </w:t>
      </w:r>
      <w:r>
        <w:rPr/>
        <w:t>the</w:t>
      </w:r>
    </w:p>
    <w:p>
      <w:pPr>
        <w:spacing w:after="0" w:line="360" w:lineRule="auto"/>
        <w:jc w:val="both"/>
        <w:sectPr>
          <w:footerReference w:type="default" r:id="rId13"/>
          <w:pgSz w:w="12240" w:h="15840"/>
          <w:pgMar w:footer="1039" w:header="0" w:top="1360" w:bottom="1220" w:left="1100" w:right="1300"/>
          <w:pgNumType w:start="8"/>
        </w:sectPr>
      </w:pPr>
    </w:p>
    <w:p>
      <w:pPr>
        <w:pStyle w:val="BodyText"/>
        <w:spacing w:line="360" w:lineRule="auto" w:before="72"/>
        <w:ind w:left="340" w:right="138"/>
        <w:jc w:val="both"/>
      </w:pPr>
      <w:r>
        <w:rPr/>
        <w:t>bank</w:t>
      </w:r>
      <w:r>
        <w:rPr>
          <w:spacing w:val="-14"/>
        </w:rPr>
        <w:t> </w:t>
      </w:r>
      <w:r>
        <w:rPr/>
        <w:t>started.</w:t>
      </w:r>
      <w:r>
        <w:rPr>
          <w:spacing w:val="-11"/>
        </w:rPr>
        <w:t> </w:t>
      </w:r>
      <w:r>
        <w:rPr/>
        <w:t>It</w:t>
      </w:r>
      <w:r>
        <w:rPr>
          <w:spacing w:val="-12"/>
        </w:rPr>
        <w:t> </w:t>
      </w:r>
      <w:r>
        <w:rPr/>
        <w:t>was</w:t>
      </w:r>
      <w:r>
        <w:rPr>
          <w:spacing w:val="-10"/>
        </w:rPr>
        <w:t> </w:t>
      </w:r>
      <w:r>
        <w:rPr>
          <w:spacing w:val="-3"/>
        </w:rPr>
        <w:t>first</w:t>
      </w:r>
      <w:r>
        <w:rPr>
          <w:spacing w:val="-8"/>
        </w:rPr>
        <w:t> </w:t>
      </w:r>
      <w:r>
        <w:rPr>
          <w:spacing w:val="-3"/>
        </w:rPr>
        <w:t>bank</w:t>
      </w:r>
      <w:r>
        <w:rPr>
          <w:spacing w:val="-9"/>
        </w:rPr>
        <w:t> </w:t>
      </w:r>
      <w:r>
        <w:rPr>
          <w:spacing w:val="-3"/>
        </w:rPr>
        <w:t>in</w:t>
      </w:r>
      <w:r>
        <w:rPr>
          <w:spacing w:val="-18"/>
        </w:rPr>
        <w:t> </w:t>
      </w:r>
      <w:r>
        <w:rPr/>
        <w:t>the</w:t>
      </w:r>
      <w:r>
        <w:rPr>
          <w:spacing w:val="-9"/>
        </w:rPr>
        <w:t> </w:t>
      </w:r>
      <w:r>
        <w:rPr/>
        <w:t>nation</w:t>
      </w:r>
      <w:r>
        <w:rPr>
          <w:spacing w:val="-18"/>
        </w:rPr>
        <w:t> </w:t>
      </w:r>
      <w:r>
        <w:rPr/>
        <w:t>to</w:t>
      </w:r>
      <w:r>
        <w:rPr>
          <w:spacing w:val="-9"/>
        </w:rPr>
        <w:t> </w:t>
      </w:r>
      <w:r>
        <w:rPr/>
        <w:t>presented</w:t>
      </w:r>
      <w:r>
        <w:rPr>
          <w:spacing w:val="-17"/>
        </w:rPr>
        <w:t> </w:t>
      </w:r>
      <w:r>
        <w:rPr/>
        <w:t>day</w:t>
      </w:r>
      <w:r>
        <w:rPr>
          <w:spacing w:val="-28"/>
        </w:rPr>
        <w:t> </w:t>
      </w:r>
      <w:r>
        <w:rPr/>
        <w:t>by</w:t>
      </w:r>
      <w:r>
        <w:rPr>
          <w:spacing w:val="-23"/>
        </w:rPr>
        <w:t> </w:t>
      </w:r>
      <w:r>
        <w:rPr/>
        <w:t>day</w:t>
      </w:r>
      <w:r>
        <w:rPr>
          <w:spacing w:val="-9"/>
        </w:rPr>
        <w:t> </w:t>
      </w:r>
      <w:r>
        <w:rPr/>
        <w:t>balance</w:t>
      </w:r>
      <w:r>
        <w:rPr>
          <w:spacing w:val="-10"/>
        </w:rPr>
        <w:t> </w:t>
      </w:r>
      <w:r>
        <w:rPr/>
        <w:t>put</w:t>
      </w:r>
      <w:r>
        <w:rPr>
          <w:spacing w:val="-8"/>
        </w:rPr>
        <w:t> </w:t>
      </w:r>
      <w:r>
        <w:rPr/>
        <w:t>together</w:t>
      </w:r>
      <w:r>
        <w:rPr>
          <w:spacing w:val="-7"/>
        </w:rPr>
        <w:t> </w:t>
      </w:r>
      <w:r>
        <w:rPr/>
        <w:t>enthusiasm with respect to store</w:t>
      </w:r>
      <w:r>
        <w:rPr>
          <w:spacing w:val="4"/>
        </w:rPr>
        <w:t> </w:t>
      </w:r>
      <w:r>
        <w:rPr/>
        <w:t>account.</w:t>
      </w:r>
    </w:p>
    <w:p>
      <w:pPr>
        <w:pStyle w:val="BodyText"/>
        <w:spacing w:line="360" w:lineRule="auto"/>
        <w:ind w:left="340" w:right="140"/>
        <w:jc w:val="both"/>
      </w:pPr>
      <w:r>
        <w:rPr/>
        <w:t>The Premier Bank Limited </w:t>
      </w:r>
      <w:r>
        <w:rPr>
          <w:spacing w:val="-3"/>
        </w:rPr>
        <w:t>is </w:t>
      </w:r>
      <w:r>
        <w:rPr/>
        <w:t>managed by a group of dynamic Board of Directors drawn from different disciplines. They hold very respectable positions </w:t>
      </w:r>
      <w:r>
        <w:rPr>
          <w:spacing w:val="-3"/>
        </w:rPr>
        <w:t>in </w:t>
      </w:r>
      <w:r>
        <w:rPr/>
        <w:t>the society and are from highly successful group of Businesses and Industries </w:t>
      </w:r>
      <w:r>
        <w:rPr>
          <w:spacing w:val="-3"/>
        </w:rPr>
        <w:t>in </w:t>
      </w:r>
      <w:r>
        <w:rPr/>
        <w:t>Bangladesh. The Bank has a very competent Management Team who have long experience </w:t>
      </w:r>
      <w:r>
        <w:rPr>
          <w:spacing w:val="-3"/>
        </w:rPr>
        <w:t>in </w:t>
      </w:r>
      <w:r>
        <w:rPr/>
        <w:t>domestic and international Banking. The Bank upholds</w:t>
      </w:r>
      <w:r>
        <w:rPr>
          <w:spacing w:val="-12"/>
        </w:rPr>
        <w:t> </w:t>
      </w:r>
      <w:r>
        <w:rPr/>
        <w:t>and</w:t>
      </w:r>
      <w:r>
        <w:rPr>
          <w:spacing w:val="-5"/>
        </w:rPr>
        <w:t> </w:t>
      </w:r>
      <w:r>
        <w:rPr/>
        <w:t>strictly</w:t>
      </w:r>
      <w:r>
        <w:rPr>
          <w:spacing w:val="-14"/>
        </w:rPr>
        <w:t> </w:t>
      </w:r>
      <w:r>
        <w:rPr/>
        <w:t>abides</w:t>
      </w:r>
      <w:r>
        <w:rPr>
          <w:spacing w:val="-7"/>
        </w:rPr>
        <w:t> </w:t>
      </w:r>
      <w:r>
        <w:rPr/>
        <w:t>by</w:t>
      </w:r>
      <w:r>
        <w:rPr>
          <w:spacing w:val="-13"/>
        </w:rPr>
        <w:t> </w:t>
      </w:r>
      <w:r>
        <w:rPr/>
        <w:t>good</w:t>
      </w:r>
      <w:r>
        <w:rPr>
          <w:spacing w:val="-10"/>
        </w:rPr>
        <w:t> </w:t>
      </w:r>
      <w:r>
        <w:rPr/>
        <w:t>corporate</w:t>
      </w:r>
      <w:r>
        <w:rPr>
          <w:spacing w:val="-11"/>
        </w:rPr>
        <w:t> </w:t>
      </w:r>
      <w:r>
        <w:rPr/>
        <w:t>governance</w:t>
      </w:r>
      <w:r>
        <w:rPr>
          <w:spacing w:val="-11"/>
        </w:rPr>
        <w:t> </w:t>
      </w:r>
      <w:r>
        <w:rPr/>
        <w:t>practices</w:t>
      </w:r>
      <w:r>
        <w:rPr>
          <w:spacing w:val="-11"/>
        </w:rPr>
        <w:t> </w:t>
      </w:r>
      <w:r>
        <w:rPr/>
        <w:t>and</w:t>
      </w:r>
      <w:r>
        <w:rPr>
          <w:spacing w:val="-5"/>
        </w:rPr>
        <w:t> </w:t>
      </w:r>
      <w:r>
        <w:rPr>
          <w:spacing w:val="-3"/>
        </w:rPr>
        <w:t>is</w:t>
      </w:r>
      <w:r>
        <w:rPr>
          <w:spacing w:val="-7"/>
        </w:rPr>
        <w:t> </w:t>
      </w:r>
      <w:r>
        <w:rPr/>
        <w:t>subject</w:t>
      </w:r>
      <w:r>
        <w:rPr>
          <w:spacing w:val="-5"/>
        </w:rPr>
        <w:t> </w:t>
      </w:r>
      <w:r>
        <w:rPr/>
        <w:t>to</w:t>
      </w:r>
      <w:r>
        <w:rPr>
          <w:spacing w:val="-9"/>
        </w:rPr>
        <w:t> </w:t>
      </w:r>
      <w:r>
        <w:rPr/>
        <w:t>the</w:t>
      </w:r>
      <w:r>
        <w:rPr>
          <w:spacing w:val="-11"/>
        </w:rPr>
        <w:t> </w:t>
      </w:r>
      <w:r>
        <w:rPr/>
        <w:t>regulatory supervision of Bangladesh</w:t>
      </w:r>
      <w:r>
        <w:rPr>
          <w:spacing w:val="-13"/>
        </w:rPr>
        <w:t> </w:t>
      </w:r>
      <w:r>
        <w:rPr/>
        <w:t>Bank</w:t>
      </w:r>
    </w:p>
    <w:p>
      <w:pPr>
        <w:pStyle w:val="BodyText"/>
        <w:spacing w:before="1"/>
        <w:ind w:left="340"/>
        <w:jc w:val="both"/>
      </w:pPr>
      <w:r>
        <w:rPr/>
        <w:t>Authorized Capital: BDT 6000.00 Million.</w:t>
      </w:r>
    </w:p>
    <w:p>
      <w:pPr>
        <w:pStyle w:val="BodyText"/>
        <w:rPr>
          <w:sz w:val="26"/>
        </w:rPr>
      </w:pPr>
    </w:p>
    <w:p>
      <w:pPr>
        <w:pStyle w:val="BodyText"/>
        <w:spacing w:before="7"/>
        <w:rPr>
          <w:sz w:val="30"/>
        </w:rPr>
      </w:pPr>
    </w:p>
    <w:p>
      <w:pPr>
        <w:pStyle w:val="Heading3"/>
      </w:pPr>
      <w:r>
        <w:rPr/>
        <w:t>Values of Premier Bank Limited</w:t>
      </w:r>
    </w:p>
    <w:p>
      <w:pPr>
        <w:pStyle w:val="ListParagraph"/>
        <w:numPr>
          <w:ilvl w:val="2"/>
          <w:numId w:val="4"/>
        </w:numPr>
        <w:tabs>
          <w:tab w:pos="1060" w:val="left" w:leader="none"/>
          <w:tab w:pos="1061" w:val="left" w:leader="none"/>
        </w:tabs>
        <w:spacing w:line="240" w:lineRule="auto" w:before="134" w:after="0"/>
        <w:ind w:left="1061" w:right="0" w:hanging="361"/>
        <w:jc w:val="left"/>
        <w:rPr>
          <w:sz w:val="24"/>
        </w:rPr>
      </w:pPr>
      <w:r>
        <w:rPr>
          <w:sz w:val="24"/>
        </w:rPr>
        <w:t>Service</w:t>
      </w:r>
      <w:r>
        <w:rPr>
          <w:spacing w:val="5"/>
          <w:sz w:val="24"/>
        </w:rPr>
        <w:t> </w:t>
      </w:r>
      <w:r>
        <w:rPr>
          <w:spacing w:val="-3"/>
          <w:sz w:val="24"/>
        </w:rPr>
        <w:t>first</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Easier</w:t>
      </w:r>
      <w:r>
        <w:rPr>
          <w:spacing w:val="3"/>
          <w:sz w:val="24"/>
        </w:rPr>
        <w:t> </w:t>
      </w:r>
      <w:r>
        <w:rPr>
          <w:sz w:val="24"/>
        </w:rPr>
        <w:t>banking</w:t>
      </w:r>
    </w:p>
    <w:p>
      <w:pPr>
        <w:pStyle w:val="ListParagraph"/>
        <w:numPr>
          <w:ilvl w:val="2"/>
          <w:numId w:val="4"/>
        </w:numPr>
        <w:tabs>
          <w:tab w:pos="1060" w:val="left" w:leader="none"/>
          <w:tab w:pos="1061" w:val="left" w:leader="none"/>
        </w:tabs>
        <w:spacing w:line="240" w:lineRule="auto" w:before="134" w:after="0"/>
        <w:ind w:left="1061" w:right="0" w:hanging="361"/>
        <w:jc w:val="left"/>
        <w:rPr>
          <w:sz w:val="24"/>
        </w:rPr>
      </w:pPr>
      <w:r>
        <w:rPr>
          <w:sz w:val="24"/>
        </w:rPr>
        <w:t>Better</w:t>
      </w:r>
      <w:r>
        <w:rPr>
          <w:spacing w:val="-2"/>
          <w:sz w:val="24"/>
        </w:rPr>
        <w:t> </w:t>
      </w:r>
      <w:r>
        <w:rPr>
          <w:sz w:val="24"/>
        </w:rPr>
        <w:t>relationship</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Assured</w:t>
      </w:r>
      <w:r>
        <w:rPr>
          <w:spacing w:val="1"/>
          <w:sz w:val="24"/>
        </w:rPr>
        <w:t> </w:t>
      </w:r>
      <w:r>
        <w:rPr>
          <w:sz w:val="24"/>
        </w:rPr>
        <w:t>confidentiality</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Good corporate</w:t>
      </w:r>
      <w:r>
        <w:rPr>
          <w:spacing w:val="2"/>
          <w:sz w:val="24"/>
        </w:rPr>
        <w:t> </w:t>
      </w:r>
      <w:r>
        <w:rPr>
          <w:sz w:val="24"/>
        </w:rPr>
        <w:t>governance</w:t>
      </w:r>
    </w:p>
    <w:p>
      <w:pPr>
        <w:pStyle w:val="ListParagraph"/>
        <w:numPr>
          <w:ilvl w:val="2"/>
          <w:numId w:val="4"/>
        </w:numPr>
        <w:tabs>
          <w:tab w:pos="1060" w:val="left" w:leader="none"/>
          <w:tab w:pos="1061" w:val="left" w:leader="none"/>
        </w:tabs>
        <w:spacing w:line="240" w:lineRule="auto" w:before="138" w:after="0"/>
        <w:ind w:left="1061" w:right="0" w:hanging="361"/>
        <w:jc w:val="left"/>
        <w:rPr>
          <w:sz w:val="24"/>
        </w:rPr>
      </w:pPr>
      <w:r>
        <w:rPr>
          <w:sz w:val="24"/>
        </w:rPr>
        <w:t>Corporate</w:t>
      </w:r>
      <w:r>
        <w:rPr>
          <w:spacing w:val="-4"/>
          <w:sz w:val="24"/>
        </w:rPr>
        <w:t> </w:t>
      </w:r>
      <w:r>
        <w:rPr>
          <w:sz w:val="24"/>
        </w:rPr>
        <w:t>citizenships</w:t>
      </w:r>
    </w:p>
    <w:p>
      <w:pPr>
        <w:pStyle w:val="BodyText"/>
        <w:rPr>
          <w:sz w:val="28"/>
        </w:rPr>
      </w:pPr>
    </w:p>
    <w:p>
      <w:pPr>
        <w:pStyle w:val="Heading1"/>
        <w:numPr>
          <w:ilvl w:val="1"/>
          <w:numId w:val="4"/>
        </w:numPr>
        <w:tabs>
          <w:tab w:pos="825" w:val="left" w:leader="none"/>
        </w:tabs>
        <w:spacing w:line="240" w:lineRule="auto" w:before="234" w:after="0"/>
        <w:ind w:left="824" w:right="0" w:hanging="485"/>
        <w:jc w:val="left"/>
      </w:pPr>
      <w:r>
        <w:rPr/>
        <w:t>Overview of City Bank</w:t>
      </w:r>
      <w:r>
        <w:rPr>
          <w:spacing w:val="-10"/>
        </w:rPr>
        <w:t> </w:t>
      </w:r>
      <w:r>
        <w:rPr/>
        <w:t>Limited</w:t>
      </w:r>
    </w:p>
    <w:p>
      <w:pPr>
        <w:pStyle w:val="Heading3"/>
        <w:spacing w:before="182"/>
        <w:jc w:val="both"/>
      </w:pPr>
      <w:r>
        <w:rPr/>
        <w:t>Overview of the City Bank Limited</w:t>
      </w:r>
    </w:p>
    <w:p>
      <w:pPr>
        <w:pStyle w:val="BodyText"/>
        <w:spacing w:line="360" w:lineRule="auto" w:before="132"/>
        <w:ind w:left="340" w:right="140"/>
        <w:jc w:val="both"/>
      </w:pPr>
      <w:r>
        <w:rPr/>
        <w:t>The CBL </w:t>
      </w:r>
      <w:r>
        <w:rPr>
          <w:spacing w:val="-3"/>
        </w:rPr>
        <w:t>is </w:t>
      </w:r>
      <w:r>
        <w:rPr/>
        <w:t>the </w:t>
      </w:r>
      <w:r>
        <w:rPr>
          <w:spacing w:val="-3"/>
        </w:rPr>
        <w:t>first </w:t>
      </w:r>
      <w:r>
        <w:rPr/>
        <w:t>private sector </w:t>
      </w:r>
      <w:r>
        <w:rPr>
          <w:spacing w:val="-3"/>
        </w:rPr>
        <w:t>bank in </w:t>
      </w:r>
      <w:r>
        <w:rPr/>
        <w:t>Bangladesh. The </w:t>
      </w:r>
      <w:r>
        <w:rPr>
          <w:spacing w:val="-3"/>
        </w:rPr>
        <w:t>bank </w:t>
      </w:r>
      <w:r>
        <w:rPr/>
        <w:t>has been operating since 1983with</w:t>
      </w:r>
      <w:r>
        <w:rPr>
          <w:spacing w:val="-14"/>
        </w:rPr>
        <w:t> </w:t>
      </w:r>
      <w:r>
        <w:rPr/>
        <w:t>an</w:t>
      </w:r>
      <w:r>
        <w:rPr>
          <w:spacing w:val="-13"/>
        </w:rPr>
        <w:t> </w:t>
      </w:r>
      <w:r>
        <w:rPr/>
        <w:t>authorized</w:t>
      </w:r>
      <w:r>
        <w:rPr>
          <w:spacing w:val="-9"/>
        </w:rPr>
        <w:t> </w:t>
      </w:r>
      <w:r>
        <w:rPr/>
        <w:t>capital</w:t>
      </w:r>
      <w:r>
        <w:rPr>
          <w:spacing w:val="-13"/>
        </w:rPr>
        <w:t> </w:t>
      </w:r>
      <w:r>
        <w:rPr>
          <w:spacing w:val="4"/>
        </w:rPr>
        <w:t>of</w:t>
      </w:r>
      <w:r>
        <w:rPr>
          <w:spacing w:val="-17"/>
        </w:rPr>
        <w:t> </w:t>
      </w:r>
      <w:r>
        <w:rPr/>
        <w:t>Tk.</w:t>
      </w:r>
      <w:r>
        <w:rPr>
          <w:spacing w:val="-7"/>
        </w:rPr>
        <w:t> </w:t>
      </w:r>
      <w:r>
        <w:rPr/>
        <w:t>1.75</w:t>
      </w:r>
      <w:r>
        <w:rPr>
          <w:spacing w:val="-10"/>
        </w:rPr>
        <w:t> </w:t>
      </w:r>
      <w:r>
        <w:rPr/>
        <w:t>Billion</w:t>
      </w:r>
      <w:r>
        <w:rPr>
          <w:spacing w:val="-9"/>
        </w:rPr>
        <w:t> </w:t>
      </w:r>
      <w:r>
        <w:rPr/>
        <w:t>under</w:t>
      </w:r>
      <w:r>
        <w:rPr>
          <w:spacing w:val="-7"/>
        </w:rPr>
        <w:t> </w:t>
      </w:r>
      <w:r>
        <w:rPr/>
        <w:t>the</w:t>
      </w:r>
      <w:r>
        <w:rPr>
          <w:spacing w:val="-10"/>
        </w:rPr>
        <w:t> </w:t>
      </w:r>
      <w:r>
        <w:rPr/>
        <w:t>entrepreneurship</w:t>
      </w:r>
      <w:r>
        <w:rPr>
          <w:spacing w:val="-9"/>
        </w:rPr>
        <w:t> </w:t>
      </w:r>
      <w:r>
        <w:rPr/>
        <w:t>of</w:t>
      </w:r>
      <w:r>
        <w:rPr>
          <w:spacing w:val="-17"/>
        </w:rPr>
        <w:t> </w:t>
      </w:r>
      <w:r>
        <w:rPr/>
        <w:t>twelve</w:t>
      </w:r>
      <w:r>
        <w:rPr>
          <w:spacing w:val="-11"/>
        </w:rPr>
        <w:t> </w:t>
      </w:r>
      <w:r>
        <w:rPr/>
        <w:t>prominent &amp;leading businessman of the country. The CBL </w:t>
      </w:r>
      <w:r>
        <w:rPr>
          <w:spacing w:val="-3"/>
        </w:rPr>
        <w:t>in </w:t>
      </w:r>
      <w:r>
        <w:rPr/>
        <w:t>progress its adventure on 27th March 1983 through opening its </w:t>
      </w:r>
      <w:r>
        <w:rPr>
          <w:spacing w:val="-3"/>
        </w:rPr>
        <w:t>first </w:t>
      </w:r>
      <w:r>
        <w:rPr/>
        <w:t>branch at B. B. Road Branch </w:t>
      </w:r>
      <w:r>
        <w:rPr>
          <w:spacing w:val="-3"/>
        </w:rPr>
        <w:t>in </w:t>
      </w:r>
      <w:r>
        <w:rPr/>
        <w:t>the capital, Dhaka city. It was the far- located</w:t>
      </w:r>
      <w:r>
        <w:rPr>
          <w:spacing w:val="-8"/>
        </w:rPr>
        <w:t> </w:t>
      </w:r>
      <w:r>
        <w:rPr/>
        <w:t>enterprise</w:t>
      </w:r>
      <w:r>
        <w:rPr>
          <w:spacing w:val="-8"/>
        </w:rPr>
        <w:t> </w:t>
      </w:r>
      <w:r>
        <w:rPr/>
        <w:t>of</w:t>
      </w:r>
      <w:r>
        <w:rPr>
          <w:spacing w:val="-15"/>
        </w:rPr>
        <w:t> </w:t>
      </w:r>
      <w:r>
        <w:rPr/>
        <w:t>around</w:t>
      </w:r>
      <w:r>
        <w:rPr>
          <w:spacing w:val="-7"/>
        </w:rPr>
        <w:t> </w:t>
      </w:r>
      <w:r>
        <w:rPr/>
        <w:t>13</w:t>
      </w:r>
      <w:r>
        <w:rPr>
          <w:spacing w:val="-7"/>
        </w:rPr>
        <w:t> </w:t>
      </w:r>
      <w:r>
        <w:rPr/>
        <w:t>neighborhood</w:t>
      </w:r>
      <w:r>
        <w:rPr>
          <w:spacing w:val="-8"/>
        </w:rPr>
        <w:t> </w:t>
      </w:r>
      <w:r>
        <w:rPr/>
        <w:t>businesspeople</w:t>
      </w:r>
      <w:r>
        <w:rPr>
          <w:spacing w:val="-8"/>
        </w:rPr>
        <w:t> </w:t>
      </w:r>
      <w:r>
        <w:rPr/>
        <w:t>who</w:t>
      </w:r>
      <w:r>
        <w:rPr>
          <w:spacing w:val="-3"/>
        </w:rPr>
        <w:t> </w:t>
      </w:r>
      <w:r>
        <w:rPr/>
        <w:t>conquered</w:t>
      </w:r>
      <w:r>
        <w:rPr>
          <w:spacing w:val="-7"/>
        </w:rPr>
        <w:t> </w:t>
      </w:r>
      <w:r>
        <w:rPr/>
        <w:t>the</w:t>
      </w:r>
      <w:r>
        <w:rPr>
          <w:spacing w:val="-8"/>
        </w:rPr>
        <w:t> </w:t>
      </w:r>
      <w:r>
        <w:rPr/>
        <w:t>gigantic</w:t>
      </w:r>
      <w:r>
        <w:rPr>
          <w:spacing w:val="-4"/>
        </w:rPr>
        <w:t> </w:t>
      </w:r>
      <w:r>
        <w:rPr/>
        <w:t>stresses and dangers with mettle and premium that </w:t>
      </w:r>
      <w:r>
        <w:rPr>
          <w:spacing w:val="-3"/>
        </w:rPr>
        <w:t>made </w:t>
      </w:r>
      <w:r>
        <w:rPr/>
        <w:t>the foundation and forward walk of the bank conceivable. Those support </w:t>
      </w:r>
      <w:r>
        <w:rPr>
          <w:spacing w:val="-2"/>
        </w:rPr>
        <w:t>chiefs </w:t>
      </w:r>
      <w:r>
        <w:rPr/>
        <w:t>began the adventure with just Taka 3.4 core worth of Capital, which currently </w:t>
      </w:r>
      <w:r>
        <w:rPr>
          <w:spacing w:val="-3"/>
        </w:rPr>
        <w:t>is </w:t>
      </w:r>
      <w:r>
        <w:rPr/>
        <w:t>a decent Taka 2311.78 core as capital and hold. The vertical aim behind beginning this Bank was to realize subjective adjustments </w:t>
      </w:r>
      <w:r>
        <w:rPr>
          <w:spacing w:val="-3"/>
        </w:rPr>
        <w:t>in </w:t>
      </w:r>
      <w:r>
        <w:rPr/>
        <w:t>the extent of Banking and Financial administration.</w:t>
      </w:r>
      <w:r>
        <w:rPr>
          <w:spacing w:val="-13"/>
        </w:rPr>
        <w:t> </w:t>
      </w:r>
      <w:r>
        <w:rPr/>
        <w:t>Today</w:t>
      </w:r>
      <w:r>
        <w:rPr>
          <w:spacing w:val="-24"/>
        </w:rPr>
        <w:t> </w:t>
      </w:r>
      <w:r>
        <w:rPr/>
        <w:t>The</w:t>
      </w:r>
      <w:r>
        <w:rPr>
          <w:spacing w:val="-16"/>
        </w:rPr>
        <w:t> </w:t>
      </w:r>
      <w:r>
        <w:rPr/>
        <w:t>City</w:t>
      </w:r>
      <w:r>
        <w:rPr>
          <w:spacing w:val="-19"/>
        </w:rPr>
        <w:t> </w:t>
      </w:r>
      <w:r>
        <w:rPr/>
        <w:t>Bank</w:t>
      </w:r>
      <w:r>
        <w:rPr>
          <w:spacing w:val="-11"/>
        </w:rPr>
        <w:t> </w:t>
      </w:r>
      <w:r>
        <w:rPr/>
        <w:t>serves</w:t>
      </w:r>
      <w:r>
        <w:rPr>
          <w:spacing w:val="-12"/>
        </w:rPr>
        <w:t> </w:t>
      </w:r>
      <w:r>
        <w:rPr/>
        <w:t>its</w:t>
      </w:r>
      <w:r>
        <w:rPr>
          <w:spacing w:val="-18"/>
        </w:rPr>
        <w:t> </w:t>
      </w:r>
      <w:r>
        <w:rPr/>
        <w:t>clients</w:t>
      </w:r>
      <w:r>
        <w:rPr>
          <w:spacing w:val="-17"/>
        </w:rPr>
        <w:t> </w:t>
      </w:r>
      <w:r>
        <w:rPr/>
        <w:t>at</w:t>
      </w:r>
      <w:r>
        <w:rPr>
          <w:spacing w:val="-10"/>
        </w:rPr>
        <w:t> </w:t>
      </w:r>
      <w:r>
        <w:rPr>
          <w:spacing w:val="-3"/>
        </w:rPr>
        <w:t>home</w:t>
      </w:r>
      <w:r>
        <w:rPr>
          <w:spacing w:val="-16"/>
        </w:rPr>
        <w:t> </w:t>
      </w:r>
      <w:r>
        <w:rPr/>
        <w:t>and</w:t>
      </w:r>
      <w:r>
        <w:rPr>
          <w:spacing w:val="-14"/>
        </w:rPr>
        <w:t> </w:t>
      </w:r>
      <w:r>
        <w:rPr/>
        <w:t>abroad</w:t>
      </w:r>
      <w:r>
        <w:rPr>
          <w:spacing w:val="-15"/>
        </w:rPr>
        <w:t> </w:t>
      </w:r>
      <w:r>
        <w:rPr/>
        <w:t>with</w:t>
      </w:r>
      <w:r>
        <w:rPr>
          <w:spacing w:val="-19"/>
        </w:rPr>
        <w:t> </w:t>
      </w:r>
      <w:r>
        <w:rPr/>
        <w:t>88</w:t>
      </w:r>
      <w:r>
        <w:rPr>
          <w:spacing w:val="-11"/>
        </w:rPr>
        <w:t> </w:t>
      </w:r>
      <w:r>
        <w:rPr/>
        <w:t>branches</w:t>
      </w:r>
      <w:r>
        <w:rPr>
          <w:spacing w:val="-12"/>
        </w:rPr>
        <w:t> </w:t>
      </w:r>
      <w:r>
        <w:rPr/>
        <w:t>spread</w:t>
      </w:r>
    </w:p>
    <w:p>
      <w:pPr>
        <w:spacing w:after="0" w:line="360" w:lineRule="auto"/>
        <w:jc w:val="both"/>
        <w:sectPr>
          <w:pgSz w:w="12240" w:h="15840"/>
          <w:pgMar w:header="0" w:footer="1039" w:top="1360" w:bottom="1220" w:left="1100" w:right="1300"/>
        </w:sectPr>
      </w:pPr>
    </w:p>
    <w:p>
      <w:pPr>
        <w:pStyle w:val="BodyText"/>
        <w:spacing w:line="360" w:lineRule="auto" w:before="72"/>
        <w:ind w:left="340" w:right="138"/>
        <w:jc w:val="both"/>
      </w:pPr>
      <w:r>
        <w:rPr/>
        <w:t>over</w:t>
      </w:r>
      <w:r>
        <w:rPr>
          <w:spacing w:val="-8"/>
        </w:rPr>
        <w:t> </w:t>
      </w:r>
      <w:r>
        <w:rPr/>
        <w:t>the</w:t>
      </w:r>
      <w:r>
        <w:rPr>
          <w:spacing w:val="-10"/>
        </w:rPr>
        <w:t> </w:t>
      </w:r>
      <w:r>
        <w:rPr/>
        <w:t>nation</w:t>
      </w:r>
      <w:r>
        <w:rPr>
          <w:spacing w:val="-13"/>
        </w:rPr>
        <w:t> </w:t>
      </w:r>
      <w:r>
        <w:rPr/>
        <w:t>and</w:t>
      </w:r>
      <w:r>
        <w:rPr>
          <w:spacing w:val="-10"/>
        </w:rPr>
        <w:t> </w:t>
      </w:r>
      <w:r>
        <w:rPr/>
        <w:t>around</w:t>
      </w:r>
      <w:r>
        <w:rPr>
          <w:spacing w:val="-9"/>
        </w:rPr>
        <w:t> </w:t>
      </w:r>
      <w:r>
        <w:rPr/>
        <w:t>three</w:t>
      </w:r>
      <w:r>
        <w:rPr>
          <w:spacing w:val="-5"/>
        </w:rPr>
        <w:t> </w:t>
      </w:r>
      <w:r>
        <w:rPr/>
        <w:t>hundred</w:t>
      </w:r>
      <w:r>
        <w:rPr>
          <w:spacing w:val="-10"/>
        </w:rPr>
        <w:t> </w:t>
      </w:r>
      <w:r>
        <w:rPr/>
        <w:t>abroad</w:t>
      </w:r>
      <w:r>
        <w:rPr>
          <w:spacing w:val="-9"/>
        </w:rPr>
        <w:t> </w:t>
      </w:r>
      <w:r>
        <w:rPr/>
        <w:t>correspondences</w:t>
      </w:r>
      <w:r>
        <w:rPr>
          <w:spacing w:val="-11"/>
        </w:rPr>
        <w:t> </w:t>
      </w:r>
      <w:r>
        <w:rPr/>
        <w:t>covering</w:t>
      </w:r>
      <w:r>
        <w:rPr>
          <w:spacing w:val="-10"/>
        </w:rPr>
        <w:t> </w:t>
      </w:r>
      <w:r>
        <w:rPr/>
        <w:t>all</w:t>
      </w:r>
      <w:r>
        <w:rPr>
          <w:spacing w:val="-13"/>
        </w:rPr>
        <w:t> </w:t>
      </w:r>
      <w:r>
        <w:rPr/>
        <w:t>the</w:t>
      </w:r>
      <w:r>
        <w:rPr>
          <w:spacing w:val="-1"/>
        </w:rPr>
        <w:t> </w:t>
      </w:r>
      <w:r>
        <w:rPr/>
        <w:t>real</w:t>
      </w:r>
      <w:r>
        <w:rPr>
          <w:spacing w:val="-13"/>
        </w:rPr>
        <w:t> </w:t>
      </w:r>
      <w:r>
        <w:rPr/>
        <w:t>urban</w:t>
      </w:r>
      <w:r>
        <w:rPr>
          <w:spacing w:val="-10"/>
        </w:rPr>
        <w:t> </w:t>
      </w:r>
      <w:r>
        <w:rPr/>
        <w:t>areas and business focal point of the world. The CBL by and by has 99 online branches and 1 SME administration focuses also, 11 SME/Agra branch course of action over the length and broadness of the nation that contains a well-constructed Islamic Banking branch. Further these conventional conveyance</w:t>
      </w:r>
      <w:r>
        <w:rPr>
          <w:spacing w:val="-3"/>
        </w:rPr>
        <w:t> </w:t>
      </w:r>
      <w:r>
        <w:rPr/>
        <w:t>focuses,</w:t>
      </w:r>
      <w:r>
        <w:rPr>
          <w:spacing w:val="-4"/>
        </w:rPr>
        <w:t> </w:t>
      </w:r>
      <w:r>
        <w:rPr/>
        <w:t>the</w:t>
      </w:r>
      <w:r>
        <w:rPr>
          <w:spacing w:val="-7"/>
        </w:rPr>
        <w:t> </w:t>
      </w:r>
      <w:r>
        <w:rPr/>
        <w:t>bank</w:t>
      </w:r>
      <w:r>
        <w:rPr>
          <w:spacing w:val="-1"/>
        </w:rPr>
        <w:t> </w:t>
      </w:r>
      <w:r>
        <w:rPr>
          <w:spacing w:val="-3"/>
        </w:rPr>
        <w:t>is</w:t>
      </w:r>
      <w:r>
        <w:rPr>
          <w:spacing w:val="-8"/>
        </w:rPr>
        <w:t> </w:t>
      </w:r>
      <w:r>
        <w:rPr/>
        <w:t>additionally</w:t>
      </w:r>
      <w:r>
        <w:rPr>
          <w:spacing w:val="-11"/>
        </w:rPr>
        <w:t> </w:t>
      </w:r>
      <w:r>
        <w:rPr/>
        <w:t>very</w:t>
      </w:r>
      <w:r>
        <w:rPr>
          <w:spacing w:val="-10"/>
        </w:rPr>
        <w:t> </w:t>
      </w:r>
      <w:r>
        <w:rPr/>
        <w:t>dynamic</w:t>
      </w:r>
      <w:r>
        <w:rPr>
          <w:spacing w:val="-3"/>
        </w:rPr>
        <w:t> in</w:t>
      </w:r>
      <w:r>
        <w:rPr>
          <w:spacing w:val="-10"/>
        </w:rPr>
        <w:t> </w:t>
      </w:r>
      <w:r>
        <w:rPr/>
        <w:t>the</w:t>
      </w:r>
      <w:r>
        <w:rPr>
          <w:spacing w:val="-7"/>
        </w:rPr>
        <w:t> </w:t>
      </w:r>
      <w:r>
        <w:rPr/>
        <w:t>elective</w:t>
      </w:r>
      <w:r>
        <w:rPr>
          <w:spacing w:val="-7"/>
        </w:rPr>
        <w:t> </w:t>
      </w:r>
      <w:r>
        <w:rPr/>
        <w:t>conveyance</w:t>
      </w:r>
      <w:r>
        <w:rPr>
          <w:spacing w:val="-7"/>
        </w:rPr>
        <w:t> </w:t>
      </w:r>
      <w:r>
        <w:rPr/>
        <w:t>region.</w:t>
      </w:r>
      <w:r>
        <w:rPr>
          <w:spacing w:val="-4"/>
        </w:rPr>
        <w:t> </w:t>
      </w:r>
      <w:r>
        <w:rPr/>
        <w:t>It</w:t>
      </w:r>
      <w:r>
        <w:rPr>
          <w:spacing w:val="-5"/>
        </w:rPr>
        <w:t> </w:t>
      </w:r>
      <w:r>
        <w:rPr>
          <w:spacing w:val="-3"/>
        </w:rPr>
        <w:t>at </w:t>
      </w:r>
      <w:r>
        <w:rPr/>
        <w:t>present has 294 ATMs </w:t>
      </w:r>
      <w:r>
        <w:rPr>
          <w:spacing w:val="4"/>
        </w:rPr>
        <w:t>of </w:t>
      </w:r>
      <w:r>
        <w:rPr/>
        <w:t>its own; and ATM assignment game plan with an accomplice bank that has </w:t>
      </w:r>
      <w:r>
        <w:rPr>
          <w:spacing w:val="-3"/>
        </w:rPr>
        <w:t>in </w:t>
      </w:r>
      <w:r>
        <w:rPr/>
        <w:t>excess of 1150 ATMs set up; SMS Banking; Enthusiasm Banking, etc. CBL </w:t>
      </w:r>
      <w:r>
        <w:rPr>
          <w:spacing w:val="-5"/>
        </w:rPr>
        <w:t>is </w:t>
      </w:r>
      <w:r>
        <w:rPr/>
        <w:t>currently begun its Customer Call Center task. The CBL has an arrangement to close the present year with 200 individual</w:t>
      </w:r>
      <w:r>
        <w:rPr>
          <w:spacing w:val="3"/>
        </w:rPr>
        <w:t> </w:t>
      </w:r>
      <w:r>
        <w:rPr>
          <w:spacing w:val="-3"/>
        </w:rPr>
        <w:t>ATMs.</w:t>
      </w:r>
    </w:p>
    <w:p>
      <w:pPr>
        <w:pStyle w:val="BodyText"/>
        <w:spacing w:before="4"/>
        <w:rPr>
          <w:sz w:val="36"/>
        </w:rPr>
      </w:pPr>
    </w:p>
    <w:p>
      <w:pPr>
        <w:pStyle w:val="Heading3"/>
        <w:jc w:val="both"/>
      </w:pPr>
      <w:r>
        <w:rPr/>
        <w:t>Organizational Structure</w:t>
      </w:r>
    </w:p>
    <w:p>
      <w:pPr>
        <w:pStyle w:val="BodyText"/>
        <w:spacing w:line="360" w:lineRule="auto" w:before="137"/>
        <w:ind w:left="340" w:right="145"/>
        <w:jc w:val="both"/>
      </w:pPr>
      <w:r>
        <w:rPr/>
        <w:t>The City Bank Ltd. is among the very few local banks which do not track the traditional, decentralized, geographically coped, branch-based business profit model. In its place, the bank manages its business and operation sharply from the head office through the five separate units specifically</w:t>
      </w:r>
    </w:p>
    <w:p>
      <w:pPr>
        <w:pStyle w:val="ListParagraph"/>
        <w:numPr>
          <w:ilvl w:val="0"/>
          <w:numId w:val="8"/>
        </w:numPr>
        <w:tabs>
          <w:tab w:pos="1061" w:val="left" w:leader="none"/>
        </w:tabs>
        <w:spacing w:line="240" w:lineRule="auto" w:before="1" w:after="0"/>
        <w:ind w:left="1061" w:right="0" w:hanging="361"/>
        <w:jc w:val="left"/>
        <w:rPr>
          <w:sz w:val="24"/>
        </w:rPr>
      </w:pPr>
      <w:r>
        <w:rPr>
          <w:sz w:val="24"/>
        </w:rPr>
        <w:t>Business</w:t>
      </w:r>
      <w:r>
        <w:rPr>
          <w:spacing w:val="-1"/>
          <w:sz w:val="24"/>
        </w:rPr>
        <w:t> </w:t>
      </w:r>
      <w:r>
        <w:rPr>
          <w:spacing w:val="-3"/>
          <w:sz w:val="24"/>
        </w:rPr>
        <w:t>Unit</w:t>
      </w:r>
    </w:p>
    <w:p>
      <w:pPr>
        <w:pStyle w:val="ListParagraph"/>
        <w:numPr>
          <w:ilvl w:val="0"/>
          <w:numId w:val="8"/>
        </w:numPr>
        <w:tabs>
          <w:tab w:pos="1061" w:val="left" w:leader="none"/>
        </w:tabs>
        <w:spacing w:line="240" w:lineRule="auto" w:before="137" w:after="0"/>
        <w:ind w:left="1061" w:right="0" w:hanging="361"/>
        <w:jc w:val="left"/>
        <w:rPr>
          <w:sz w:val="24"/>
        </w:rPr>
      </w:pPr>
      <w:r>
        <w:rPr>
          <w:sz w:val="24"/>
        </w:rPr>
        <w:t>Branch</w:t>
      </w:r>
      <w:r>
        <w:rPr>
          <w:spacing w:val="-3"/>
          <w:sz w:val="24"/>
        </w:rPr>
        <w:t> </w:t>
      </w:r>
      <w:r>
        <w:rPr>
          <w:sz w:val="24"/>
        </w:rPr>
        <w:t>Banking</w:t>
      </w:r>
    </w:p>
    <w:p>
      <w:pPr>
        <w:pStyle w:val="ListParagraph"/>
        <w:numPr>
          <w:ilvl w:val="0"/>
          <w:numId w:val="8"/>
        </w:numPr>
        <w:tabs>
          <w:tab w:pos="1061" w:val="left" w:leader="none"/>
        </w:tabs>
        <w:spacing w:line="240" w:lineRule="auto" w:before="136" w:after="0"/>
        <w:ind w:left="1061" w:right="0" w:hanging="361"/>
        <w:jc w:val="left"/>
        <w:rPr>
          <w:sz w:val="24"/>
        </w:rPr>
      </w:pPr>
      <w:r>
        <w:rPr>
          <w:sz w:val="24"/>
        </w:rPr>
        <w:t>Risk</w:t>
      </w:r>
      <w:r>
        <w:rPr>
          <w:spacing w:val="1"/>
          <w:sz w:val="24"/>
        </w:rPr>
        <w:t> </w:t>
      </w:r>
      <w:r>
        <w:rPr>
          <w:spacing w:val="-3"/>
          <w:sz w:val="24"/>
        </w:rPr>
        <w:t>Unit</w:t>
      </w:r>
    </w:p>
    <w:p>
      <w:pPr>
        <w:pStyle w:val="ListParagraph"/>
        <w:numPr>
          <w:ilvl w:val="0"/>
          <w:numId w:val="8"/>
        </w:numPr>
        <w:tabs>
          <w:tab w:pos="1061" w:val="left" w:leader="none"/>
        </w:tabs>
        <w:spacing w:line="240" w:lineRule="auto" w:before="137" w:after="0"/>
        <w:ind w:left="1061" w:right="0" w:hanging="361"/>
        <w:jc w:val="left"/>
        <w:rPr>
          <w:sz w:val="24"/>
        </w:rPr>
      </w:pPr>
      <w:r>
        <w:rPr>
          <w:sz w:val="24"/>
        </w:rPr>
        <w:t>Operations Unit</w:t>
      </w:r>
    </w:p>
    <w:p>
      <w:pPr>
        <w:pStyle w:val="ListParagraph"/>
        <w:numPr>
          <w:ilvl w:val="0"/>
          <w:numId w:val="8"/>
        </w:numPr>
        <w:tabs>
          <w:tab w:pos="1061" w:val="left" w:leader="none"/>
        </w:tabs>
        <w:spacing w:line="240" w:lineRule="auto" w:before="142" w:after="0"/>
        <w:ind w:left="1061" w:right="0" w:hanging="361"/>
        <w:jc w:val="both"/>
        <w:rPr>
          <w:sz w:val="24"/>
        </w:rPr>
      </w:pPr>
      <w:r>
        <w:rPr>
          <w:sz w:val="24"/>
        </w:rPr>
        <w:t>Support</w:t>
      </w:r>
    </w:p>
    <w:p>
      <w:pPr>
        <w:pStyle w:val="BodyText"/>
        <w:spacing w:line="360" w:lineRule="auto" w:before="137"/>
        <w:ind w:left="340" w:right="140"/>
        <w:jc w:val="both"/>
      </w:pPr>
      <w:r>
        <w:rPr/>
        <w:t>The City Bank </w:t>
      </w:r>
      <w:r>
        <w:rPr>
          <w:spacing w:val="-3"/>
        </w:rPr>
        <w:t>is </w:t>
      </w:r>
      <w:r>
        <w:rPr/>
        <w:t>subject for all exercises partner the providing of the fresh cards, involving charging and bookkeeping, client administration, credit supervision and charge endorsements along</w:t>
      </w:r>
      <w:r>
        <w:rPr>
          <w:spacing w:val="-13"/>
        </w:rPr>
        <w:t> </w:t>
      </w:r>
      <w:r>
        <w:rPr/>
        <w:t>with</w:t>
      </w:r>
      <w:r>
        <w:rPr>
          <w:spacing w:val="-11"/>
        </w:rPr>
        <w:t> </w:t>
      </w:r>
      <w:r>
        <w:rPr/>
        <w:t>marketing</w:t>
      </w:r>
      <w:r>
        <w:rPr>
          <w:spacing w:val="-13"/>
        </w:rPr>
        <w:t> </w:t>
      </w:r>
      <w:r>
        <w:rPr/>
        <w:t>the</w:t>
      </w:r>
      <w:r>
        <w:rPr>
          <w:spacing w:val="-14"/>
        </w:rPr>
        <w:t> </w:t>
      </w:r>
      <w:r>
        <w:rPr/>
        <w:t>cards</w:t>
      </w:r>
      <w:r>
        <w:rPr>
          <w:spacing w:val="-10"/>
        </w:rPr>
        <w:t> </w:t>
      </w:r>
      <w:r>
        <w:rPr>
          <w:spacing w:val="-3"/>
        </w:rPr>
        <w:t>in</w:t>
      </w:r>
      <w:r>
        <w:rPr>
          <w:spacing w:val="-16"/>
        </w:rPr>
        <w:t> </w:t>
      </w:r>
      <w:r>
        <w:rPr/>
        <w:t>Bangladesh.</w:t>
      </w:r>
      <w:r>
        <w:rPr>
          <w:spacing w:val="-11"/>
        </w:rPr>
        <w:t> </w:t>
      </w:r>
      <w:r>
        <w:rPr/>
        <w:t>The</w:t>
      </w:r>
      <w:r>
        <w:rPr>
          <w:spacing w:val="-14"/>
        </w:rPr>
        <w:t> </w:t>
      </w:r>
      <w:r>
        <w:rPr/>
        <w:t>City</w:t>
      </w:r>
      <w:r>
        <w:rPr>
          <w:spacing w:val="-21"/>
        </w:rPr>
        <w:t> </w:t>
      </w:r>
      <w:r>
        <w:rPr/>
        <w:t>Bank</w:t>
      </w:r>
      <w:r>
        <w:rPr>
          <w:spacing w:val="-8"/>
        </w:rPr>
        <w:t> </w:t>
      </w:r>
      <w:r>
        <w:rPr/>
        <w:t>likewise</w:t>
      </w:r>
      <w:r>
        <w:rPr>
          <w:spacing w:val="-14"/>
        </w:rPr>
        <w:t> </w:t>
      </w:r>
      <w:r>
        <w:rPr/>
        <w:t>presented</w:t>
      </w:r>
      <w:r>
        <w:rPr>
          <w:spacing w:val="-12"/>
        </w:rPr>
        <w:t> </w:t>
      </w:r>
      <w:r>
        <w:rPr/>
        <w:t>selective</w:t>
      </w:r>
      <w:r>
        <w:rPr>
          <w:spacing w:val="-10"/>
        </w:rPr>
        <w:t> </w:t>
      </w:r>
      <w:r>
        <w:rPr/>
        <w:t>benefits for the card individuals underneath the American Express chooses program </w:t>
      </w:r>
      <w:r>
        <w:rPr>
          <w:spacing w:val="-3"/>
        </w:rPr>
        <w:t>in </w:t>
      </w:r>
      <w:r>
        <w:rPr/>
        <w:t>Bangladesh. The CBL similarly bargains exceptional favorable circumstances everywhere throughout the </w:t>
      </w:r>
      <w:r>
        <w:rPr>
          <w:spacing w:val="-3"/>
        </w:rPr>
        <w:t>world </w:t>
      </w:r>
      <w:r>
        <w:rPr/>
        <w:t>with</w:t>
      </w:r>
      <w:r>
        <w:rPr>
          <w:spacing w:val="-5"/>
        </w:rPr>
        <w:t> </w:t>
      </w:r>
      <w:r>
        <w:rPr>
          <w:spacing w:val="-3"/>
        </w:rPr>
        <w:t>in</w:t>
      </w:r>
      <w:r>
        <w:rPr>
          <w:spacing w:val="-10"/>
        </w:rPr>
        <w:t> </w:t>
      </w:r>
      <w:r>
        <w:rPr/>
        <w:t>excess</w:t>
      </w:r>
      <w:r>
        <w:rPr>
          <w:spacing w:val="-7"/>
        </w:rPr>
        <w:t> </w:t>
      </w:r>
      <w:r>
        <w:rPr/>
        <w:t>of</w:t>
      </w:r>
      <w:r>
        <w:rPr>
          <w:spacing w:val="-13"/>
        </w:rPr>
        <w:t> </w:t>
      </w:r>
      <w:r>
        <w:rPr/>
        <w:t>13,000</w:t>
      </w:r>
      <w:r>
        <w:rPr>
          <w:spacing w:val="-5"/>
        </w:rPr>
        <w:t> </w:t>
      </w:r>
      <w:r>
        <w:rPr/>
        <w:t>ideas</w:t>
      </w:r>
      <w:r>
        <w:rPr>
          <w:spacing w:val="-7"/>
        </w:rPr>
        <w:t> </w:t>
      </w:r>
      <w:r>
        <w:rPr/>
        <w:t>at</w:t>
      </w:r>
      <w:r>
        <w:rPr>
          <w:spacing w:val="-5"/>
        </w:rPr>
        <w:t> </w:t>
      </w:r>
      <w:r>
        <w:rPr/>
        <w:t>over</w:t>
      </w:r>
      <w:r>
        <w:rPr>
          <w:spacing w:val="-3"/>
        </w:rPr>
        <w:t> </w:t>
      </w:r>
      <w:r>
        <w:rPr/>
        <w:t>10,000</w:t>
      </w:r>
      <w:r>
        <w:rPr>
          <w:spacing w:val="-10"/>
        </w:rPr>
        <w:t> </w:t>
      </w:r>
      <w:r>
        <w:rPr/>
        <w:t>dealers</w:t>
      </w:r>
      <w:r>
        <w:rPr>
          <w:spacing w:val="-7"/>
        </w:rPr>
        <w:t> </w:t>
      </w:r>
      <w:r>
        <w:rPr>
          <w:spacing w:val="-3"/>
        </w:rPr>
        <w:t>in</w:t>
      </w:r>
      <w:r>
        <w:rPr>
          <w:spacing w:val="-10"/>
        </w:rPr>
        <w:t> </w:t>
      </w:r>
      <w:r>
        <w:rPr/>
        <w:t>75</w:t>
      </w:r>
      <w:r>
        <w:rPr>
          <w:spacing w:val="-5"/>
        </w:rPr>
        <w:t> </w:t>
      </w:r>
      <w:r>
        <w:rPr/>
        <w:t>nations.</w:t>
      </w:r>
      <w:r>
        <w:rPr>
          <w:spacing w:val="-3"/>
        </w:rPr>
        <w:t> </w:t>
      </w:r>
      <w:r>
        <w:rPr/>
        <w:t>The</w:t>
      </w:r>
      <w:r>
        <w:rPr>
          <w:spacing w:val="-6"/>
        </w:rPr>
        <w:t> </w:t>
      </w:r>
      <w:r>
        <w:rPr/>
        <w:t>CBL</w:t>
      </w:r>
      <w:r>
        <w:rPr>
          <w:spacing w:val="-8"/>
        </w:rPr>
        <w:t> </w:t>
      </w:r>
      <w:r>
        <w:rPr/>
        <w:t>previously</w:t>
      </w:r>
      <w:r>
        <w:rPr>
          <w:spacing w:val="-8"/>
        </w:rPr>
        <w:t> </w:t>
      </w:r>
      <w:r>
        <w:rPr/>
        <w:t>presented ongoing web, web banking framework I-managing an account with all up-to date conveyance systems.</w:t>
      </w:r>
      <w:r>
        <w:rPr>
          <w:spacing w:val="-5"/>
        </w:rPr>
        <w:t> </w:t>
      </w:r>
      <w:r>
        <w:rPr/>
        <w:t>For</w:t>
      </w:r>
      <w:r>
        <w:rPr>
          <w:spacing w:val="-10"/>
        </w:rPr>
        <w:t> </w:t>
      </w:r>
      <w:r>
        <w:rPr/>
        <w:t>essential</w:t>
      </w:r>
      <w:r>
        <w:rPr>
          <w:spacing w:val="-15"/>
        </w:rPr>
        <w:t> </w:t>
      </w:r>
      <w:r>
        <w:rPr/>
        <w:t>execution,</w:t>
      </w:r>
      <w:r>
        <w:rPr>
          <w:spacing w:val="-10"/>
        </w:rPr>
        <w:t> </w:t>
      </w:r>
      <w:r>
        <w:rPr/>
        <w:t>the</w:t>
      </w:r>
      <w:r>
        <w:rPr>
          <w:spacing w:val="-8"/>
        </w:rPr>
        <w:t> </w:t>
      </w:r>
      <w:r>
        <w:rPr/>
        <w:t>bank</w:t>
      </w:r>
      <w:r>
        <w:rPr>
          <w:spacing w:val="-7"/>
        </w:rPr>
        <w:t> </w:t>
      </w:r>
      <w:r>
        <w:rPr/>
        <w:t>has</w:t>
      </w:r>
      <w:r>
        <w:rPr>
          <w:spacing w:val="-9"/>
        </w:rPr>
        <w:t> </w:t>
      </w:r>
      <w:r>
        <w:rPr/>
        <w:t>gotten</w:t>
      </w:r>
      <w:r>
        <w:rPr>
          <w:spacing w:val="-11"/>
        </w:rPr>
        <w:t> </w:t>
      </w:r>
      <w:r>
        <w:rPr/>
        <w:t>national</w:t>
      </w:r>
      <w:r>
        <w:rPr>
          <w:spacing w:val="-15"/>
        </w:rPr>
        <w:t> </w:t>
      </w:r>
      <w:r>
        <w:rPr/>
        <w:t>and</w:t>
      </w:r>
      <w:r>
        <w:rPr>
          <w:spacing w:val="-7"/>
        </w:rPr>
        <w:t> </w:t>
      </w:r>
      <w:r>
        <w:rPr/>
        <w:t>universal</w:t>
      </w:r>
      <w:r>
        <w:rPr>
          <w:spacing w:val="-15"/>
        </w:rPr>
        <w:t> </w:t>
      </w:r>
      <w:r>
        <w:rPr/>
        <w:t>acknowledgment.</w:t>
      </w:r>
      <w:r>
        <w:rPr>
          <w:spacing w:val="-10"/>
        </w:rPr>
        <w:t> </w:t>
      </w:r>
      <w:r>
        <w:rPr/>
        <w:t>The Bank was one of the twelve banks of Bangladesh among the </w:t>
      </w:r>
      <w:r>
        <w:rPr>
          <w:spacing w:val="-3"/>
        </w:rPr>
        <w:t>five </w:t>
      </w:r>
      <w:r>
        <w:rPr/>
        <w:t>hundred (500) Banks </w:t>
      </w:r>
      <w:r>
        <w:rPr>
          <w:spacing w:val="-3"/>
        </w:rPr>
        <w:t>in Asia </w:t>
      </w:r>
      <w:r>
        <w:rPr/>
        <w:t>for its advantage, stores and benefit as evaluated by ASIA WEEK. In 2000, The City Bank got "Top Ten Company Award" from the respectable Prime Minister of</w:t>
      </w:r>
      <w:r>
        <w:rPr>
          <w:spacing w:val="-4"/>
        </w:rPr>
        <w:t> </w:t>
      </w:r>
      <w:r>
        <w:rPr/>
        <w:t>Bangladesh.</w:t>
      </w:r>
    </w:p>
    <w:p>
      <w:pPr>
        <w:spacing w:after="0" w:line="360" w:lineRule="auto"/>
        <w:jc w:val="both"/>
        <w:sectPr>
          <w:pgSz w:w="12240" w:h="15840"/>
          <w:pgMar w:header="0" w:footer="1039" w:top="1360" w:bottom="1220" w:left="1100" w:right="1300"/>
        </w:sectPr>
      </w:pPr>
    </w:p>
    <w:p>
      <w:pPr>
        <w:pStyle w:val="Heading1"/>
        <w:numPr>
          <w:ilvl w:val="1"/>
          <w:numId w:val="9"/>
        </w:numPr>
        <w:tabs>
          <w:tab w:pos="825" w:val="left" w:leader="none"/>
        </w:tabs>
        <w:spacing w:line="240" w:lineRule="auto" w:before="59" w:after="0"/>
        <w:ind w:left="824" w:right="0" w:hanging="485"/>
        <w:jc w:val="left"/>
      </w:pPr>
      <w:r>
        <w:rPr/>
        <w:t>Financial Performance</w:t>
      </w:r>
      <w:r>
        <w:rPr>
          <w:spacing w:val="-1"/>
        </w:rPr>
        <w:t> </w:t>
      </w:r>
      <w:r>
        <w:rPr/>
        <w:t>Analysis</w:t>
      </w:r>
    </w:p>
    <w:p>
      <w:pPr>
        <w:spacing w:line="360" w:lineRule="auto" w:before="181"/>
        <w:ind w:left="340" w:right="137" w:firstLine="0"/>
        <w:jc w:val="both"/>
        <w:rPr>
          <w:sz w:val="22"/>
        </w:rPr>
      </w:pPr>
      <w:r>
        <w:rPr>
          <w:sz w:val="22"/>
        </w:rPr>
        <w:t>Financial</w:t>
      </w:r>
      <w:r>
        <w:rPr>
          <w:spacing w:val="-13"/>
          <w:sz w:val="22"/>
        </w:rPr>
        <w:t> </w:t>
      </w:r>
      <w:r>
        <w:rPr>
          <w:sz w:val="22"/>
        </w:rPr>
        <w:t>performance</w:t>
      </w:r>
      <w:r>
        <w:rPr>
          <w:spacing w:val="-11"/>
          <w:sz w:val="22"/>
        </w:rPr>
        <w:t> </w:t>
      </w:r>
      <w:r>
        <w:rPr>
          <w:sz w:val="22"/>
        </w:rPr>
        <w:t>measure</w:t>
      </w:r>
      <w:r>
        <w:rPr>
          <w:spacing w:val="-15"/>
          <w:sz w:val="22"/>
        </w:rPr>
        <w:t> </w:t>
      </w:r>
      <w:r>
        <w:rPr>
          <w:sz w:val="22"/>
        </w:rPr>
        <w:t>how</w:t>
      </w:r>
      <w:r>
        <w:rPr>
          <w:spacing w:val="-9"/>
          <w:sz w:val="22"/>
        </w:rPr>
        <w:t> </w:t>
      </w:r>
      <w:r>
        <w:rPr>
          <w:sz w:val="22"/>
        </w:rPr>
        <w:t>well</w:t>
      </w:r>
      <w:r>
        <w:rPr>
          <w:spacing w:val="-13"/>
          <w:sz w:val="22"/>
        </w:rPr>
        <w:t> </w:t>
      </w:r>
      <w:r>
        <w:rPr>
          <w:sz w:val="22"/>
        </w:rPr>
        <w:t>a</w:t>
      </w:r>
      <w:r>
        <w:rPr>
          <w:spacing w:val="-6"/>
          <w:sz w:val="22"/>
        </w:rPr>
        <w:t> </w:t>
      </w:r>
      <w:r>
        <w:rPr>
          <w:sz w:val="22"/>
        </w:rPr>
        <w:t>firm</w:t>
      </w:r>
      <w:r>
        <w:rPr>
          <w:spacing w:val="-17"/>
          <w:sz w:val="22"/>
        </w:rPr>
        <w:t> </w:t>
      </w:r>
      <w:r>
        <w:rPr>
          <w:sz w:val="22"/>
        </w:rPr>
        <w:t>can</w:t>
      </w:r>
      <w:r>
        <w:rPr>
          <w:spacing w:val="-10"/>
          <w:sz w:val="22"/>
        </w:rPr>
        <w:t> </w:t>
      </w:r>
      <w:r>
        <w:rPr>
          <w:sz w:val="22"/>
        </w:rPr>
        <w:t>manage</w:t>
      </w:r>
      <w:r>
        <w:rPr>
          <w:spacing w:val="-15"/>
          <w:sz w:val="22"/>
        </w:rPr>
        <w:t> </w:t>
      </w:r>
      <w:r>
        <w:rPr>
          <w:sz w:val="22"/>
        </w:rPr>
        <w:t>their</w:t>
      </w:r>
      <w:r>
        <w:rPr>
          <w:spacing w:val="-5"/>
          <w:sz w:val="22"/>
        </w:rPr>
        <w:t> </w:t>
      </w:r>
      <w:r>
        <w:rPr>
          <w:sz w:val="22"/>
        </w:rPr>
        <w:t>assets</w:t>
      </w:r>
      <w:r>
        <w:rPr>
          <w:spacing w:val="-8"/>
          <w:sz w:val="22"/>
        </w:rPr>
        <w:t> </w:t>
      </w:r>
      <w:r>
        <w:rPr>
          <w:sz w:val="22"/>
        </w:rPr>
        <w:t>form</w:t>
      </w:r>
      <w:r>
        <w:rPr>
          <w:spacing w:val="-18"/>
          <w:sz w:val="22"/>
        </w:rPr>
        <w:t> </w:t>
      </w:r>
      <w:r>
        <w:rPr>
          <w:sz w:val="22"/>
        </w:rPr>
        <w:t>business</w:t>
      </w:r>
      <w:r>
        <w:rPr>
          <w:spacing w:val="-8"/>
          <w:sz w:val="22"/>
        </w:rPr>
        <w:t> </w:t>
      </w:r>
      <w:r>
        <w:rPr>
          <w:sz w:val="22"/>
        </w:rPr>
        <w:t>to</w:t>
      </w:r>
      <w:r>
        <w:rPr>
          <w:spacing w:val="-13"/>
          <w:sz w:val="22"/>
        </w:rPr>
        <w:t> </w:t>
      </w:r>
      <w:r>
        <w:rPr>
          <w:sz w:val="22"/>
        </w:rPr>
        <w:t>generate</w:t>
      </w:r>
      <w:r>
        <w:rPr>
          <w:spacing w:val="-15"/>
          <w:sz w:val="22"/>
        </w:rPr>
        <w:t> </w:t>
      </w:r>
      <w:r>
        <w:rPr>
          <w:sz w:val="22"/>
        </w:rPr>
        <w:t>revenues financial</w:t>
      </w:r>
      <w:r>
        <w:rPr>
          <w:spacing w:val="-7"/>
          <w:sz w:val="22"/>
        </w:rPr>
        <w:t> </w:t>
      </w:r>
      <w:r>
        <w:rPr>
          <w:sz w:val="22"/>
        </w:rPr>
        <w:t>performance</w:t>
      </w:r>
      <w:r>
        <w:rPr>
          <w:spacing w:val="-11"/>
          <w:sz w:val="22"/>
        </w:rPr>
        <w:t> </w:t>
      </w:r>
      <w:r>
        <w:rPr>
          <w:sz w:val="22"/>
        </w:rPr>
        <w:t>is</w:t>
      </w:r>
      <w:r>
        <w:rPr>
          <w:spacing w:val="-3"/>
          <w:sz w:val="22"/>
        </w:rPr>
        <w:t> </w:t>
      </w:r>
      <w:r>
        <w:rPr>
          <w:sz w:val="22"/>
        </w:rPr>
        <w:t>also</w:t>
      </w:r>
      <w:r>
        <w:rPr>
          <w:spacing w:val="-7"/>
          <w:sz w:val="22"/>
        </w:rPr>
        <w:t> </w:t>
      </w:r>
      <w:r>
        <w:rPr>
          <w:sz w:val="22"/>
        </w:rPr>
        <w:t>used</w:t>
      </w:r>
      <w:r>
        <w:rPr>
          <w:spacing w:val="-9"/>
          <w:sz w:val="22"/>
        </w:rPr>
        <w:t> </w:t>
      </w:r>
      <w:r>
        <w:rPr>
          <w:sz w:val="22"/>
        </w:rPr>
        <w:t>to</w:t>
      </w:r>
      <w:r>
        <w:rPr>
          <w:spacing w:val="-4"/>
          <w:sz w:val="22"/>
        </w:rPr>
        <w:t> </w:t>
      </w:r>
      <w:r>
        <w:rPr>
          <w:sz w:val="22"/>
        </w:rPr>
        <w:t>measure</w:t>
      </w:r>
      <w:r>
        <w:rPr>
          <w:spacing w:val="-11"/>
          <w:sz w:val="22"/>
        </w:rPr>
        <w:t> </w:t>
      </w:r>
      <w:r>
        <w:rPr>
          <w:sz w:val="22"/>
        </w:rPr>
        <w:t>the</w:t>
      </w:r>
      <w:r>
        <w:rPr>
          <w:spacing w:val="-10"/>
          <w:sz w:val="22"/>
        </w:rPr>
        <w:t> </w:t>
      </w:r>
      <w:r>
        <w:rPr>
          <w:sz w:val="22"/>
        </w:rPr>
        <w:t>overall</w:t>
      </w:r>
      <w:r>
        <w:rPr>
          <w:spacing w:val="-7"/>
          <w:sz w:val="22"/>
        </w:rPr>
        <w:t> </w:t>
      </w:r>
      <w:r>
        <w:rPr>
          <w:sz w:val="22"/>
        </w:rPr>
        <w:t>financial</w:t>
      </w:r>
      <w:r>
        <w:rPr>
          <w:spacing w:val="-7"/>
          <w:sz w:val="22"/>
        </w:rPr>
        <w:t> </w:t>
      </w:r>
      <w:r>
        <w:rPr>
          <w:sz w:val="22"/>
        </w:rPr>
        <w:t>situation</w:t>
      </w:r>
      <w:r>
        <w:rPr>
          <w:spacing w:val="-9"/>
          <w:sz w:val="22"/>
        </w:rPr>
        <w:t> </w:t>
      </w:r>
      <w:r>
        <w:rPr>
          <w:sz w:val="22"/>
        </w:rPr>
        <w:t>over a</w:t>
      </w:r>
      <w:r>
        <w:rPr>
          <w:spacing w:val="-1"/>
          <w:sz w:val="22"/>
        </w:rPr>
        <w:t> </w:t>
      </w:r>
      <w:r>
        <w:rPr>
          <w:spacing w:val="-3"/>
          <w:sz w:val="22"/>
        </w:rPr>
        <w:t>given</w:t>
      </w:r>
      <w:r>
        <w:rPr>
          <w:spacing w:val="-9"/>
          <w:sz w:val="22"/>
        </w:rPr>
        <w:t> </w:t>
      </w:r>
      <w:r>
        <w:rPr>
          <w:sz w:val="22"/>
        </w:rPr>
        <w:t>period</w:t>
      </w:r>
      <w:r>
        <w:rPr>
          <w:spacing w:val="-9"/>
          <w:sz w:val="22"/>
        </w:rPr>
        <w:t> </w:t>
      </w:r>
      <w:r>
        <w:rPr>
          <w:spacing w:val="-3"/>
          <w:sz w:val="22"/>
        </w:rPr>
        <w:t>of</w:t>
      </w:r>
      <w:r>
        <w:rPr>
          <w:spacing w:val="-4"/>
          <w:sz w:val="22"/>
        </w:rPr>
        <w:t> </w:t>
      </w:r>
      <w:r>
        <w:rPr>
          <w:sz w:val="22"/>
        </w:rPr>
        <w:t>time</w:t>
      </w:r>
      <w:r>
        <w:rPr>
          <w:spacing w:val="-11"/>
          <w:sz w:val="22"/>
        </w:rPr>
        <w:t> </w:t>
      </w:r>
      <w:r>
        <w:rPr>
          <w:sz w:val="22"/>
        </w:rPr>
        <w:t>and also used to compare with the similar </w:t>
      </w:r>
      <w:r>
        <w:rPr>
          <w:spacing w:val="-3"/>
          <w:sz w:val="22"/>
        </w:rPr>
        <w:t>firms </w:t>
      </w:r>
      <w:r>
        <w:rPr>
          <w:sz w:val="22"/>
        </w:rPr>
        <w:t>across the same</w:t>
      </w:r>
      <w:r>
        <w:rPr>
          <w:spacing w:val="-13"/>
          <w:sz w:val="22"/>
        </w:rPr>
        <w:t> </w:t>
      </w:r>
      <w:r>
        <w:rPr>
          <w:sz w:val="22"/>
        </w:rPr>
        <w:t>industry.</w:t>
      </w:r>
    </w:p>
    <w:p>
      <w:pPr>
        <w:pStyle w:val="BodyText"/>
        <w:spacing w:before="2"/>
        <w:rPr>
          <w:sz w:val="33"/>
        </w:rPr>
      </w:pPr>
    </w:p>
    <w:p>
      <w:pPr>
        <w:pStyle w:val="Heading1"/>
        <w:numPr>
          <w:ilvl w:val="1"/>
          <w:numId w:val="9"/>
        </w:numPr>
        <w:tabs>
          <w:tab w:pos="825" w:val="left" w:leader="none"/>
        </w:tabs>
        <w:spacing w:line="240" w:lineRule="auto" w:before="1" w:after="0"/>
        <w:ind w:left="824" w:right="0" w:hanging="485"/>
        <w:jc w:val="left"/>
      </w:pPr>
      <w:r>
        <w:rPr>
          <w:spacing w:val="-3"/>
        </w:rPr>
        <w:t>Income</w:t>
      </w:r>
      <w:r>
        <w:rPr>
          <w:spacing w:val="2"/>
        </w:rPr>
        <w:t> </w:t>
      </w:r>
      <w:r>
        <w:rPr/>
        <w:t>Statement</w:t>
      </w:r>
    </w:p>
    <w:p>
      <w:pPr>
        <w:spacing w:line="360" w:lineRule="auto" w:before="181"/>
        <w:ind w:left="340" w:right="135" w:firstLine="0"/>
        <w:jc w:val="both"/>
        <w:rPr>
          <w:sz w:val="22"/>
        </w:rPr>
      </w:pPr>
      <w:r>
        <w:rPr>
          <w:sz w:val="22"/>
        </w:rPr>
        <w:t>Firms operating summary during a specified period </w:t>
      </w:r>
      <w:r>
        <w:rPr>
          <w:spacing w:val="-3"/>
          <w:sz w:val="22"/>
        </w:rPr>
        <w:t>of </w:t>
      </w:r>
      <w:r>
        <w:rPr>
          <w:sz w:val="22"/>
        </w:rPr>
        <w:t>time is provided by income statement. Normally income</w:t>
      </w:r>
      <w:r>
        <w:rPr>
          <w:spacing w:val="-16"/>
          <w:sz w:val="22"/>
        </w:rPr>
        <w:t> </w:t>
      </w:r>
      <w:r>
        <w:rPr>
          <w:sz w:val="22"/>
        </w:rPr>
        <w:t>statements</w:t>
      </w:r>
      <w:r>
        <w:rPr>
          <w:spacing w:val="-10"/>
          <w:sz w:val="22"/>
        </w:rPr>
        <w:t> </w:t>
      </w:r>
      <w:r>
        <w:rPr>
          <w:sz w:val="22"/>
        </w:rPr>
        <w:t>covering</w:t>
      </w:r>
      <w:r>
        <w:rPr>
          <w:spacing w:val="-12"/>
          <w:sz w:val="22"/>
        </w:rPr>
        <w:t> </w:t>
      </w:r>
      <w:r>
        <w:rPr>
          <w:sz w:val="22"/>
        </w:rPr>
        <w:t>a</w:t>
      </w:r>
      <w:r>
        <w:rPr>
          <w:spacing w:val="-7"/>
          <w:sz w:val="22"/>
        </w:rPr>
        <w:t> </w:t>
      </w:r>
      <w:r>
        <w:rPr>
          <w:sz w:val="22"/>
        </w:rPr>
        <w:t>1-year</w:t>
      </w:r>
      <w:r>
        <w:rPr>
          <w:spacing w:val="-6"/>
          <w:sz w:val="22"/>
        </w:rPr>
        <w:t> </w:t>
      </w:r>
      <w:r>
        <w:rPr>
          <w:sz w:val="22"/>
        </w:rPr>
        <w:t>period</w:t>
      </w:r>
      <w:r>
        <w:rPr>
          <w:spacing w:val="-14"/>
          <w:sz w:val="22"/>
        </w:rPr>
        <w:t> </w:t>
      </w:r>
      <w:r>
        <w:rPr>
          <w:sz w:val="22"/>
        </w:rPr>
        <w:t>at</w:t>
      </w:r>
      <w:r>
        <w:rPr>
          <w:spacing w:val="-10"/>
          <w:sz w:val="22"/>
        </w:rPr>
        <w:t> </w:t>
      </w:r>
      <w:r>
        <w:rPr>
          <w:sz w:val="22"/>
        </w:rPr>
        <w:t>a</w:t>
      </w:r>
      <w:r>
        <w:rPr>
          <w:spacing w:val="-12"/>
          <w:sz w:val="22"/>
        </w:rPr>
        <w:t> </w:t>
      </w:r>
      <w:r>
        <w:rPr>
          <w:sz w:val="22"/>
        </w:rPr>
        <w:t>specified</w:t>
      </w:r>
      <w:r>
        <w:rPr>
          <w:spacing w:val="-14"/>
          <w:sz w:val="22"/>
        </w:rPr>
        <w:t> </w:t>
      </w:r>
      <w:r>
        <w:rPr>
          <w:sz w:val="22"/>
        </w:rPr>
        <w:t>date,</w:t>
      </w:r>
      <w:r>
        <w:rPr>
          <w:spacing w:val="-7"/>
          <w:sz w:val="22"/>
        </w:rPr>
        <w:t> </w:t>
      </w:r>
      <w:r>
        <w:rPr>
          <w:sz w:val="22"/>
        </w:rPr>
        <w:t>ordinary</w:t>
      </w:r>
      <w:r>
        <w:rPr>
          <w:spacing w:val="-14"/>
          <w:sz w:val="22"/>
        </w:rPr>
        <w:t> </w:t>
      </w:r>
      <w:r>
        <w:rPr>
          <w:sz w:val="22"/>
        </w:rPr>
        <w:t>31</w:t>
      </w:r>
      <w:r>
        <w:rPr>
          <w:sz w:val="22"/>
          <w:vertAlign w:val="superscript"/>
        </w:rPr>
        <w:t>st</w:t>
      </w:r>
      <w:r>
        <w:rPr>
          <w:spacing w:val="-10"/>
          <w:sz w:val="22"/>
          <w:vertAlign w:val="baseline"/>
        </w:rPr>
        <w:t> </w:t>
      </w:r>
      <w:r>
        <w:rPr>
          <w:sz w:val="22"/>
          <w:vertAlign w:val="baseline"/>
        </w:rPr>
        <w:t>December</w:t>
      </w:r>
      <w:r>
        <w:rPr>
          <w:spacing w:val="-7"/>
          <w:sz w:val="22"/>
          <w:vertAlign w:val="baseline"/>
        </w:rPr>
        <w:t> </w:t>
      </w:r>
      <w:r>
        <w:rPr>
          <w:spacing w:val="-3"/>
          <w:sz w:val="22"/>
          <w:vertAlign w:val="baseline"/>
        </w:rPr>
        <w:t>of</w:t>
      </w:r>
      <w:r>
        <w:rPr>
          <w:spacing w:val="-11"/>
          <w:sz w:val="22"/>
          <w:vertAlign w:val="baseline"/>
        </w:rPr>
        <w:t> </w:t>
      </w:r>
      <w:r>
        <w:rPr>
          <w:sz w:val="22"/>
          <w:vertAlign w:val="baseline"/>
        </w:rPr>
        <w:t>the</w:t>
      </w:r>
      <w:r>
        <w:rPr>
          <w:spacing w:val="-16"/>
          <w:sz w:val="22"/>
          <w:vertAlign w:val="baseline"/>
        </w:rPr>
        <w:t> </w:t>
      </w:r>
      <w:r>
        <w:rPr>
          <w:sz w:val="22"/>
          <w:vertAlign w:val="baseline"/>
        </w:rPr>
        <w:t>calendar</w:t>
      </w:r>
      <w:r>
        <w:rPr>
          <w:spacing w:val="-6"/>
          <w:sz w:val="22"/>
          <w:vertAlign w:val="baseline"/>
        </w:rPr>
        <w:t> </w:t>
      </w:r>
      <w:r>
        <w:rPr>
          <w:sz w:val="22"/>
          <w:vertAlign w:val="baseline"/>
        </w:rPr>
        <w:t>year.</w:t>
      </w:r>
    </w:p>
    <w:p>
      <w:pPr>
        <w:pStyle w:val="BodyText"/>
        <w:rPr>
          <w:sz w:val="26"/>
        </w:rPr>
      </w:pPr>
    </w:p>
    <w:p>
      <w:pPr>
        <w:pStyle w:val="Heading1"/>
        <w:numPr>
          <w:ilvl w:val="1"/>
          <w:numId w:val="9"/>
        </w:numPr>
        <w:tabs>
          <w:tab w:pos="820" w:val="left" w:leader="none"/>
        </w:tabs>
        <w:spacing w:line="240" w:lineRule="auto" w:before="188" w:after="0"/>
        <w:ind w:left="819" w:right="0" w:hanging="480"/>
        <w:jc w:val="left"/>
      </w:pPr>
      <w:r>
        <w:rPr/>
        <w:t>Balance</w:t>
      </w:r>
      <w:r>
        <w:rPr>
          <w:spacing w:val="1"/>
        </w:rPr>
        <w:t> </w:t>
      </w:r>
      <w:r>
        <w:rPr/>
        <w:t>Sheet</w:t>
      </w:r>
    </w:p>
    <w:p>
      <w:pPr>
        <w:spacing w:line="360" w:lineRule="auto" w:before="182"/>
        <w:ind w:left="340" w:right="142" w:firstLine="0"/>
        <w:jc w:val="both"/>
        <w:rPr>
          <w:sz w:val="22"/>
        </w:rPr>
      </w:pPr>
      <w:r>
        <w:rPr>
          <w:sz w:val="22"/>
        </w:rPr>
        <w:t>A</w:t>
      </w:r>
      <w:r>
        <w:rPr>
          <w:spacing w:val="-9"/>
          <w:sz w:val="22"/>
        </w:rPr>
        <w:t> </w:t>
      </w:r>
      <w:r>
        <w:rPr>
          <w:sz w:val="22"/>
        </w:rPr>
        <w:t>summary</w:t>
      </w:r>
      <w:r>
        <w:rPr>
          <w:spacing w:val="-8"/>
          <w:sz w:val="22"/>
        </w:rPr>
        <w:t> </w:t>
      </w:r>
      <w:r>
        <w:rPr>
          <w:sz w:val="22"/>
        </w:rPr>
        <w:t>statement</w:t>
      </w:r>
      <w:r>
        <w:rPr>
          <w:spacing w:val="3"/>
          <w:sz w:val="22"/>
        </w:rPr>
        <w:t> </w:t>
      </w:r>
      <w:r>
        <w:rPr>
          <w:spacing w:val="-3"/>
          <w:sz w:val="22"/>
        </w:rPr>
        <w:t>of</w:t>
      </w:r>
      <w:r>
        <w:rPr>
          <w:spacing w:val="-4"/>
          <w:sz w:val="22"/>
        </w:rPr>
        <w:t> </w:t>
      </w:r>
      <w:r>
        <w:rPr>
          <w:sz w:val="22"/>
        </w:rPr>
        <w:t>the</w:t>
      </w:r>
      <w:r>
        <w:rPr>
          <w:spacing w:val="-10"/>
          <w:sz w:val="22"/>
        </w:rPr>
        <w:t> </w:t>
      </w:r>
      <w:r>
        <w:rPr>
          <w:sz w:val="22"/>
        </w:rPr>
        <w:t>firm’s</w:t>
      </w:r>
      <w:r>
        <w:rPr>
          <w:spacing w:val="-3"/>
          <w:sz w:val="22"/>
        </w:rPr>
        <w:t> </w:t>
      </w:r>
      <w:r>
        <w:rPr>
          <w:sz w:val="22"/>
        </w:rPr>
        <w:t>financial</w:t>
      </w:r>
      <w:r>
        <w:rPr>
          <w:spacing w:val="-6"/>
          <w:sz w:val="22"/>
        </w:rPr>
        <w:t> </w:t>
      </w:r>
      <w:r>
        <w:rPr>
          <w:sz w:val="22"/>
        </w:rPr>
        <w:t>position</w:t>
      </w:r>
      <w:r>
        <w:rPr>
          <w:spacing w:val="-8"/>
          <w:sz w:val="22"/>
        </w:rPr>
        <w:t> </w:t>
      </w:r>
      <w:r>
        <w:rPr>
          <w:sz w:val="22"/>
        </w:rPr>
        <w:t>at</w:t>
      </w:r>
      <w:r>
        <w:rPr>
          <w:spacing w:val="-7"/>
          <w:sz w:val="22"/>
        </w:rPr>
        <w:t> </w:t>
      </w:r>
      <w:r>
        <w:rPr>
          <w:sz w:val="22"/>
        </w:rPr>
        <w:t>a </w:t>
      </w:r>
      <w:r>
        <w:rPr>
          <w:spacing w:val="-3"/>
          <w:sz w:val="22"/>
        </w:rPr>
        <w:t>given</w:t>
      </w:r>
      <w:r>
        <w:rPr>
          <w:spacing w:val="-8"/>
          <w:sz w:val="22"/>
        </w:rPr>
        <w:t> </w:t>
      </w:r>
      <w:r>
        <w:rPr>
          <w:sz w:val="22"/>
        </w:rPr>
        <w:t>period</w:t>
      </w:r>
      <w:r>
        <w:rPr>
          <w:spacing w:val="-9"/>
          <w:sz w:val="22"/>
        </w:rPr>
        <w:t> </w:t>
      </w:r>
      <w:r>
        <w:rPr>
          <w:sz w:val="22"/>
        </w:rPr>
        <w:t>in</w:t>
      </w:r>
      <w:r>
        <w:rPr>
          <w:spacing w:val="-8"/>
          <w:sz w:val="22"/>
        </w:rPr>
        <w:t> </w:t>
      </w:r>
      <w:r>
        <w:rPr>
          <w:sz w:val="22"/>
        </w:rPr>
        <w:t>time</w:t>
      </w:r>
      <w:r>
        <w:rPr>
          <w:spacing w:val="-5"/>
          <w:sz w:val="22"/>
        </w:rPr>
        <w:t> </w:t>
      </w:r>
      <w:r>
        <w:rPr>
          <w:sz w:val="22"/>
        </w:rPr>
        <w:t>is</w:t>
      </w:r>
      <w:r>
        <w:rPr>
          <w:spacing w:val="-2"/>
          <w:sz w:val="22"/>
        </w:rPr>
        <w:t> </w:t>
      </w:r>
      <w:r>
        <w:rPr>
          <w:sz w:val="22"/>
        </w:rPr>
        <w:t>presented</w:t>
      </w:r>
      <w:r>
        <w:rPr>
          <w:spacing w:val="-8"/>
          <w:sz w:val="22"/>
        </w:rPr>
        <w:t> </w:t>
      </w:r>
      <w:r>
        <w:rPr>
          <w:sz w:val="22"/>
        </w:rPr>
        <w:t>through</w:t>
      </w:r>
      <w:r>
        <w:rPr>
          <w:spacing w:val="-8"/>
          <w:sz w:val="22"/>
        </w:rPr>
        <w:t> </w:t>
      </w:r>
      <w:r>
        <w:rPr>
          <w:sz w:val="22"/>
        </w:rPr>
        <w:t>balance sheet. Firm’s assets, debt and equity are presented in the balance sheet at a given period </w:t>
      </w:r>
      <w:r>
        <w:rPr>
          <w:spacing w:val="-3"/>
          <w:sz w:val="22"/>
        </w:rPr>
        <w:t>of</w:t>
      </w:r>
      <w:r>
        <w:rPr>
          <w:spacing w:val="-14"/>
          <w:sz w:val="22"/>
        </w:rPr>
        <w:t> </w:t>
      </w:r>
      <w:r>
        <w:rPr>
          <w:spacing w:val="-3"/>
          <w:sz w:val="22"/>
        </w:rPr>
        <w:t>time.</w:t>
      </w:r>
    </w:p>
    <w:p>
      <w:pPr>
        <w:pStyle w:val="BodyText"/>
      </w:pPr>
    </w:p>
    <w:p>
      <w:pPr>
        <w:pStyle w:val="Heading1"/>
        <w:numPr>
          <w:ilvl w:val="1"/>
          <w:numId w:val="9"/>
        </w:numPr>
        <w:tabs>
          <w:tab w:pos="825" w:val="left" w:leader="none"/>
        </w:tabs>
        <w:spacing w:line="240" w:lineRule="auto" w:before="211" w:after="0"/>
        <w:ind w:left="824" w:right="0" w:hanging="485"/>
        <w:jc w:val="left"/>
      </w:pPr>
      <w:r>
        <w:rPr>
          <w:spacing w:val="-3"/>
        </w:rPr>
        <w:t>Ratio</w:t>
      </w:r>
      <w:r>
        <w:rPr>
          <w:spacing w:val="3"/>
        </w:rPr>
        <w:t> </w:t>
      </w:r>
      <w:r>
        <w:rPr/>
        <w:t>Analysis</w:t>
      </w:r>
    </w:p>
    <w:p>
      <w:pPr>
        <w:spacing w:line="360" w:lineRule="auto" w:before="182"/>
        <w:ind w:left="340" w:right="135" w:firstLine="0"/>
        <w:jc w:val="both"/>
        <w:rPr>
          <w:sz w:val="22"/>
        </w:rPr>
      </w:pPr>
      <w:r>
        <w:rPr>
          <w:sz w:val="22"/>
        </w:rPr>
        <w:t>The method of interpreting and calculating financial information to analyze and monitor the Firm’s financial performance is called ratio analysis. The bases of ratio analysis are firm’s income statement and balance sheet.</w:t>
      </w:r>
    </w:p>
    <w:p>
      <w:pPr>
        <w:pStyle w:val="BodyText"/>
      </w:pPr>
    </w:p>
    <w:p>
      <w:pPr>
        <w:pStyle w:val="Heading1"/>
        <w:numPr>
          <w:ilvl w:val="1"/>
          <w:numId w:val="9"/>
        </w:numPr>
        <w:tabs>
          <w:tab w:pos="820" w:val="left" w:leader="none"/>
        </w:tabs>
        <w:spacing w:line="240" w:lineRule="auto" w:before="206" w:after="0"/>
        <w:ind w:left="819" w:right="0" w:hanging="480"/>
        <w:jc w:val="left"/>
      </w:pPr>
      <w:r>
        <w:rPr/>
        <w:t>Types of</w:t>
      </w:r>
      <w:r>
        <w:rPr>
          <w:spacing w:val="-6"/>
        </w:rPr>
        <w:t> </w:t>
      </w:r>
      <w:r>
        <w:rPr/>
        <w:t>Comparison</w:t>
      </w:r>
    </w:p>
    <w:p>
      <w:pPr>
        <w:pStyle w:val="ListParagraph"/>
        <w:numPr>
          <w:ilvl w:val="2"/>
          <w:numId w:val="9"/>
        </w:numPr>
        <w:tabs>
          <w:tab w:pos="1060" w:val="left" w:leader="none"/>
          <w:tab w:pos="1061" w:val="left" w:leader="none"/>
        </w:tabs>
        <w:spacing w:line="355" w:lineRule="auto" w:before="180" w:after="0"/>
        <w:ind w:left="1061" w:right="146" w:hanging="361"/>
        <w:jc w:val="left"/>
        <w:rPr>
          <w:sz w:val="22"/>
        </w:rPr>
      </w:pPr>
      <w:r>
        <w:rPr>
          <w:sz w:val="22"/>
        </w:rPr>
        <w:t>Time series analysis: Evaluation </w:t>
      </w:r>
      <w:r>
        <w:rPr>
          <w:spacing w:val="-3"/>
          <w:sz w:val="22"/>
        </w:rPr>
        <w:t>of </w:t>
      </w:r>
      <w:r>
        <w:rPr>
          <w:sz w:val="22"/>
        </w:rPr>
        <w:t>the firm’s financial performance over time using financial analysis.</w:t>
      </w:r>
    </w:p>
    <w:p>
      <w:pPr>
        <w:pStyle w:val="ListParagraph"/>
        <w:numPr>
          <w:ilvl w:val="2"/>
          <w:numId w:val="9"/>
        </w:numPr>
        <w:tabs>
          <w:tab w:pos="1060" w:val="left" w:leader="none"/>
          <w:tab w:pos="1061" w:val="left" w:leader="none"/>
        </w:tabs>
        <w:spacing w:line="240" w:lineRule="auto" w:before="5" w:after="0"/>
        <w:ind w:left="1061" w:right="0" w:hanging="361"/>
        <w:jc w:val="left"/>
        <w:rPr>
          <w:sz w:val="22"/>
        </w:rPr>
      </w:pPr>
      <w:r>
        <w:rPr>
          <w:sz w:val="22"/>
        </w:rPr>
        <w:t>Cross sectional Analysis: Comparison </w:t>
      </w:r>
      <w:r>
        <w:rPr>
          <w:spacing w:val="-3"/>
          <w:sz w:val="22"/>
        </w:rPr>
        <w:t>of </w:t>
      </w:r>
      <w:r>
        <w:rPr>
          <w:sz w:val="22"/>
        </w:rPr>
        <w:t>different firm’s financial ratio at the same point </w:t>
      </w:r>
      <w:r>
        <w:rPr>
          <w:spacing w:val="-3"/>
          <w:sz w:val="22"/>
        </w:rPr>
        <w:t>of</w:t>
      </w:r>
      <w:r>
        <w:rPr>
          <w:spacing w:val="-10"/>
          <w:sz w:val="22"/>
        </w:rPr>
        <w:t> </w:t>
      </w:r>
      <w:r>
        <w:rPr>
          <w:spacing w:val="-3"/>
          <w:sz w:val="22"/>
        </w:rPr>
        <w:t>time.</w:t>
      </w:r>
    </w:p>
    <w:p>
      <w:pPr>
        <w:pStyle w:val="BodyText"/>
        <w:rPr>
          <w:sz w:val="26"/>
        </w:rPr>
      </w:pPr>
    </w:p>
    <w:p>
      <w:pPr>
        <w:pStyle w:val="BodyText"/>
        <w:rPr>
          <w:sz w:val="21"/>
        </w:rPr>
      </w:pPr>
    </w:p>
    <w:p>
      <w:pPr>
        <w:pStyle w:val="Heading1"/>
        <w:numPr>
          <w:ilvl w:val="1"/>
          <w:numId w:val="9"/>
        </w:numPr>
        <w:tabs>
          <w:tab w:pos="826" w:val="left" w:leader="none"/>
        </w:tabs>
        <w:spacing w:line="240" w:lineRule="auto" w:before="1" w:after="0"/>
        <w:ind w:left="825" w:right="0" w:hanging="486"/>
        <w:jc w:val="left"/>
      </w:pPr>
      <w:r>
        <w:rPr/>
        <w:t>Significance of using</w:t>
      </w:r>
      <w:r>
        <w:rPr>
          <w:spacing w:val="-2"/>
        </w:rPr>
        <w:t> </w:t>
      </w:r>
      <w:r>
        <w:rPr>
          <w:spacing w:val="-3"/>
        </w:rPr>
        <w:t>Ratio</w:t>
      </w:r>
    </w:p>
    <w:p>
      <w:pPr>
        <w:pStyle w:val="BodyText"/>
        <w:spacing w:before="7"/>
        <w:rPr>
          <w:b/>
          <w:sz w:val="36"/>
        </w:rPr>
      </w:pPr>
    </w:p>
    <w:p>
      <w:pPr>
        <w:pStyle w:val="ListParagraph"/>
        <w:numPr>
          <w:ilvl w:val="0"/>
          <w:numId w:val="10"/>
        </w:numPr>
        <w:tabs>
          <w:tab w:pos="1061" w:val="left" w:leader="none"/>
        </w:tabs>
        <w:spacing w:line="240" w:lineRule="auto" w:before="0" w:after="0"/>
        <w:ind w:left="1061" w:right="0" w:hanging="361"/>
        <w:jc w:val="left"/>
        <w:rPr>
          <w:sz w:val="22"/>
        </w:rPr>
      </w:pPr>
      <w:r>
        <w:rPr>
          <w:sz w:val="22"/>
        </w:rPr>
        <w:t>To compare with other ratios in the same financial</w:t>
      </w:r>
      <w:r>
        <w:rPr>
          <w:spacing w:val="-16"/>
          <w:sz w:val="22"/>
        </w:rPr>
        <w:t> </w:t>
      </w:r>
      <w:r>
        <w:rPr>
          <w:sz w:val="22"/>
        </w:rPr>
        <w:t>statements.</w:t>
      </w:r>
    </w:p>
    <w:p>
      <w:pPr>
        <w:pStyle w:val="ListParagraph"/>
        <w:numPr>
          <w:ilvl w:val="0"/>
          <w:numId w:val="10"/>
        </w:numPr>
        <w:tabs>
          <w:tab w:pos="1061" w:val="left" w:leader="none"/>
        </w:tabs>
        <w:spacing w:line="240" w:lineRule="auto" w:before="127" w:after="0"/>
        <w:ind w:left="1061" w:right="0" w:hanging="361"/>
        <w:jc w:val="left"/>
        <w:rPr>
          <w:sz w:val="22"/>
        </w:rPr>
      </w:pPr>
      <w:r>
        <w:rPr>
          <w:sz w:val="22"/>
        </w:rPr>
        <w:t>To compare same ratios of preceding year financial</w:t>
      </w:r>
      <w:r>
        <w:rPr>
          <w:spacing w:val="-13"/>
          <w:sz w:val="22"/>
        </w:rPr>
        <w:t> </w:t>
      </w:r>
      <w:r>
        <w:rPr>
          <w:sz w:val="22"/>
        </w:rPr>
        <w:t>statements.</w:t>
      </w:r>
    </w:p>
    <w:p>
      <w:pPr>
        <w:pStyle w:val="ListParagraph"/>
        <w:numPr>
          <w:ilvl w:val="0"/>
          <w:numId w:val="10"/>
        </w:numPr>
        <w:tabs>
          <w:tab w:pos="1061" w:val="left" w:leader="none"/>
        </w:tabs>
        <w:spacing w:line="240" w:lineRule="auto" w:before="131" w:after="0"/>
        <w:ind w:left="1061" w:right="0" w:hanging="361"/>
        <w:jc w:val="left"/>
        <w:rPr>
          <w:sz w:val="22"/>
        </w:rPr>
      </w:pPr>
      <w:r>
        <w:rPr>
          <w:sz w:val="22"/>
        </w:rPr>
        <w:t>To compare with standard </w:t>
      </w:r>
      <w:r>
        <w:rPr>
          <w:spacing w:val="-3"/>
          <w:sz w:val="22"/>
        </w:rPr>
        <w:t>of</w:t>
      </w:r>
      <w:r>
        <w:rPr>
          <w:spacing w:val="-10"/>
          <w:sz w:val="22"/>
        </w:rPr>
        <w:t> </w:t>
      </w:r>
      <w:r>
        <w:rPr>
          <w:sz w:val="22"/>
        </w:rPr>
        <w:t>performance.</w:t>
      </w:r>
    </w:p>
    <w:p>
      <w:pPr>
        <w:spacing w:after="0" w:line="240" w:lineRule="auto"/>
        <w:jc w:val="left"/>
        <w:rPr>
          <w:sz w:val="22"/>
        </w:rPr>
        <w:sectPr>
          <w:pgSz w:w="12240" w:h="15840"/>
          <w:pgMar w:header="0" w:footer="1039" w:top="1380" w:bottom="1220" w:left="1100" w:right="1300"/>
        </w:sectPr>
      </w:pPr>
    </w:p>
    <w:p>
      <w:pPr>
        <w:pStyle w:val="Heading1"/>
        <w:numPr>
          <w:ilvl w:val="1"/>
          <w:numId w:val="9"/>
        </w:numPr>
        <w:tabs>
          <w:tab w:pos="826" w:val="left" w:leader="none"/>
        </w:tabs>
        <w:spacing w:line="240" w:lineRule="auto" w:before="59" w:after="0"/>
        <w:ind w:left="825" w:right="0" w:hanging="486"/>
        <w:jc w:val="left"/>
      </w:pPr>
      <w:r>
        <w:rPr/>
        <w:t>Cautions</w:t>
      </w:r>
    </w:p>
    <w:p>
      <w:pPr>
        <w:pStyle w:val="BodyText"/>
        <w:spacing w:before="177"/>
        <w:ind w:left="340"/>
      </w:pPr>
      <w:r>
        <w:rPr/>
        <w:t>We must consider following cautions before discussing specific ratios.</w:t>
      </w:r>
    </w:p>
    <w:p>
      <w:pPr>
        <w:pStyle w:val="BodyText"/>
        <w:spacing w:before="2"/>
        <w:rPr>
          <w:sz w:val="33"/>
        </w:rPr>
      </w:pPr>
    </w:p>
    <w:p>
      <w:pPr>
        <w:pStyle w:val="ListParagraph"/>
        <w:numPr>
          <w:ilvl w:val="0"/>
          <w:numId w:val="11"/>
        </w:numPr>
        <w:tabs>
          <w:tab w:pos="1421" w:val="left" w:leader="none"/>
        </w:tabs>
        <w:spacing w:line="240" w:lineRule="auto" w:before="0" w:after="0"/>
        <w:ind w:left="1421" w:right="0" w:hanging="360"/>
        <w:jc w:val="left"/>
        <w:rPr>
          <w:sz w:val="22"/>
        </w:rPr>
      </w:pPr>
      <w:r>
        <w:rPr>
          <w:sz w:val="22"/>
        </w:rPr>
        <w:t>Sufficient information cannot be judged through a single</w:t>
      </w:r>
      <w:r>
        <w:rPr>
          <w:spacing w:val="-12"/>
          <w:sz w:val="22"/>
        </w:rPr>
        <w:t> </w:t>
      </w:r>
      <w:r>
        <w:rPr>
          <w:sz w:val="22"/>
        </w:rPr>
        <w:t>ratio.</w:t>
      </w:r>
    </w:p>
    <w:p>
      <w:pPr>
        <w:pStyle w:val="ListParagraph"/>
        <w:numPr>
          <w:ilvl w:val="0"/>
          <w:numId w:val="11"/>
        </w:numPr>
        <w:tabs>
          <w:tab w:pos="1421" w:val="left" w:leader="none"/>
        </w:tabs>
        <w:spacing w:line="240" w:lineRule="auto" w:before="127" w:after="0"/>
        <w:ind w:left="1421" w:right="0" w:hanging="360"/>
        <w:jc w:val="left"/>
        <w:rPr>
          <w:sz w:val="22"/>
        </w:rPr>
      </w:pPr>
      <w:r>
        <w:rPr>
          <w:sz w:val="22"/>
        </w:rPr>
        <w:t>Ensure that the dates </w:t>
      </w:r>
      <w:r>
        <w:rPr>
          <w:spacing w:val="-3"/>
          <w:sz w:val="22"/>
        </w:rPr>
        <w:t>of </w:t>
      </w:r>
      <w:r>
        <w:rPr>
          <w:sz w:val="22"/>
        </w:rPr>
        <w:t>financial statements being compared at the same point of</w:t>
      </w:r>
      <w:r>
        <w:rPr>
          <w:spacing w:val="-20"/>
          <w:sz w:val="22"/>
        </w:rPr>
        <w:t> </w:t>
      </w:r>
      <w:r>
        <w:rPr>
          <w:spacing w:val="-3"/>
          <w:sz w:val="22"/>
        </w:rPr>
        <w:t>time.</w:t>
      </w:r>
    </w:p>
    <w:p>
      <w:pPr>
        <w:pStyle w:val="ListParagraph"/>
        <w:numPr>
          <w:ilvl w:val="0"/>
          <w:numId w:val="11"/>
        </w:numPr>
        <w:tabs>
          <w:tab w:pos="1421" w:val="left" w:leader="none"/>
        </w:tabs>
        <w:spacing w:line="240" w:lineRule="auto" w:before="126" w:after="0"/>
        <w:ind w:left="1421" w:right="0" w:hanging="360"/>
        <w:jc w:val="left"/>
        <w:rPr>
          <w:sz w:val="22"/>
        </w:rPr>
      </w:pPr>
      <w:r>
        <w:rPr>
          <w:sz w:val="22"/>
        </w:rPr>
        <w:t>Audited financial statements are preferable to ratio</w:t>
      </w:r>
      <w:r>
        <w:rPr>
          <w:spacing w:val="-20"/>
          <w:sz w:val="22"/>
        </w:rPr>
        <w:t> </w:t>
      </w:r>
      <w:r>
        <w:rPr>
          <w:sz w:val="22"/>
        </w:rPr>
        <w:t>calculation.</w:t>
      </w:r>
    </w:p>
    <w:p>
      <w:pPr>
        <w:pStyle w:val="BodyText"/>
        <w:spacing w:before="8"/>
        <w:rPr>
          <w:sz w:val="28"/>
        </w:rPr>
      </w:pPr>
    </w:p>
    <w:p>
      <w:pPr>
        <w:pStyle w:val="Heading1"/>
        <w:numPr>
          <w:ilvl w:val="1"/>
          <w:numId w:val="9"/>
        </w:numPr>
        <w:tabs>
          <w:tab w:pos="825" w:val="left" w:leader="none"/>
        </w:tabs>
        <w:spacing w:line="240" w:lineRule="auto" w:before="1" w:after="0"/>
        <w:ind w:left="824" w:right="0" w:hanging="485"/>
        <w:jc w:val="left"/>
      </w:pPr>
      <w:r>
        <w:rPr/>
        <w:t>Groups of</w:t>
      </w:r>
      <w:r>
        <w:rPr>
          <w:spacing w:val="-1"/>
        </w:rPr>
        <w:t> </w:t>
      </w:r>
      <w:r>
        <w:rPr/>
        <w:t>Ratios</w:t>
      </w:r>
    </w:p>
    <w:p>
      <w:pPr>
        <w:pStyle w:val="ListParagraph"/>
        <w:numPr>
          <w:ilvl w:val="0"/>
          <w:numId w:val="12"/>
        </w:numPr>
        <w:tabs>
          <w:tab w:pos="1061" w:val="left" w:leader="none"/>
        </w:tabs>
        <w:spacing w:line="240" w:lineRule="auto" w:before="183" w:after="0"/>
        <w:ind w:left="1061" w:right="0" w:hanging="361"/>
        <w:jc w:val="left"/>
        <w:rPr>
          <w:sz w:val="22"/>
        </w:rPr>
      </w:pPr>
      <w:r>
        <w:rPr>
          <w:sz w:val="22"/>
        </w:rPr>
        <w:t>Liquidity</w:t>
      </w:r>
      <w:r>
        <w:rPr>
          <w:spacing w:val="-3"/>
          <w:sz w:val="22"/>
        </w:rPr>
        <w:t> </w:t>
      </w:r>
      <w:r>
        <w:rPr>
          <w:sz w:val="22"/>
        </w:rPr>
        <w:t>Ratio</w:t>
      </w:r>
    </w:p>
    <w:p>
      <w:pPr>
        <w:pStyle w:val="ListParagraph"/>
        <w:numPr>
          <w:ilvl w:val="0"/>
          <w:numId w:val="12"/>
        </w:numPr>
        <w:tabs>
          <w:tab w:pos="1061" w:val="left" w:leader="none"/>
        </w:tabs>
        <w:spacing w:line="240" w:lineRule="auto" w:before="116" w:after="0"/>
        <w:ind w:left="1061" w:right="0" w:hanging="361"/>
        <w:jc w:val="left"/>
        <w:rPr>
          <w:sz w:val="22"/>
        </w:rPr>
      </w:pPr>
      <w:r>
        <w:rPr>
          <w:sz w:val="22"/>
        </w:rPr>
        <w:t>Activity</w:t>
      </w:r>
      <w:r>
        <w:rPr>
          <w:spacing w:val="-4"/>
          <w:sz w:val="22"/>
        </w:rPr>
        <w:t> </w:t>
      </w:r>
      <w:r>
        <w:rPr>
          <w:sz w:val="22"/>
        </w:rPr>
        <w:t>Ratio</w:t>
      </w:r>
    </w:p>
    <w:p>
      <w:pPr>
        <w:pStyle w:val="ListParagraph"/>
        <w:numPr>
          <w:ilvl w:val="0"/>
          <w:numId w:val="12"/>
        </w:numPr>
        <w:tabs>
          <w:tab w:pos="1061" w:val="left" w:leader="none"/>
        </w:tabs>
        <w:spacing w:line="240" w:lineRule="auto" w:before="112" w:after="0"/>
        <w:ind w:left="1061" w:right="0" w:hanging="361"/>
        <w:jc w:val="left"/>
        <w:rPr>
          <w:sz w:val="22"/>
        </w:rPr>
      </w:pPr>
      <w:r>
        <w:rPr>
          <w:spacing w:val="-3"/>
          <w:sz w:val="22"/>
        </w:rPr>
        <w:t>Debt</w:t>
      </w:r>
      <w:r>
        <w:rPr>
          <w:spacing w:val="3"/>
          <w:sz w:val="22"/>
        </w:rPr>
        <w:t> </w:t>
      </w:r>
      <w:r>
        <w:rPr>
          <w:sz w:val="22"/>
        </w:rPr>
        <w:t>Ratio</w:t>
      </w:r>
    </w:p>
    <w:p>
      <w:pPr>
        <w:pStyle w:val="ListParagraph"/>
        <w:numPr>
          <w:ilvl w:val="0"/>
          <w:numId w:val="12"/>
        </w:numPr>
        <w:tabs>
          <w:tab w:pos="1061" w:val="left" w:leader="none"/>
        </w:tabs>
        <w:spacing w:line="240" w:lineRule="auto" w:before="117" w:after="0"/>
        <w:ind w:left="1061" w:right="0" w:hanging="361"/>
        <w:jc w:val="left"/>
        <w:rPr>
          <w:sz w:val="22"/>
        </w:rPr>
      </w:pPr>
      <w:r>
        <w:rPr>
          <w:sz w:val="22"/>
        </w:rPr>
        <w:t>Profitability</w:t>
      </w:r>
      <w:r>
        <w:rPr>
          <w:spacing w:val="-4"/>
          <w:sz w:val="22"/>
        </w:rPr>
        <w:t> </w:t>
      </w:r>
      <w:r>
        <w:rPr>
          <w:sz w:val="22"/>
        </w:rPr>
        <w:t>Ratio</w:t>
      </w:r>
    </w:p>
    <w:p>
      <w:pPr>
        <w:pStyle w:val="ListParagraph"/>
        <w:numPr>
          <w:ilvl w:val="0"/>
          <w:numId w:val="12"/>
        </w:numPr>
        <w:tabs>
          <w:tab w:pos="1061" w:val="left" w:leader="none"/>
        </w:tabs>
        <w:spacing w:line="240" w:lineRule="auto" w:before="116" w:after="0"/>
        <w:ind w:left="1061" w:right="0" w:hanging="361"/>
        <w:jc w:val="left"/>
        <w:rPr>
          <w:sz w:val="22"/>
        </w:rPr>
      </w:pPr>
      <w:r>
        <w:rPr>
          <w:sz w:val="22"/>
        </w:rPr>
        <w:t>Market</w:t>
      </w:r>
      <w:r>
        <w:rPr>
          <w:spacing w:val="2"/>
          <w:sz w:val="22"/>
        </w:rPr>
        <w:t> </w:t>
      </w:r>
      <w:r>
        <w:rPr>
          <w:sz w:val="22"/>
        </w:rPr>
        <w:t>Ratio</w:t>
      </w:r>
    </w:p>
    <w:p>
      <w:pPr>
        <w:pStyle w:val="BodyText"/>
        <w:spacing w:before="3"/>
        <w:rPr>
          <w:sz w:val="27"/>
        </w:rPr>
      </w:pPr>
    </w:p>
    <w:p>
      <w:pPr>
        <w:pStyle w:val="Heading2"/>
        <w:numPr>
          <w:ilvl w:val="2"/>
          <w:numId w:val="13"/>
        </w:numPr>
        <w:tabs>
          <w:tab w:pos="974" w:val="left" w:leader="none"/>
        </w:tabs>
        <w:spacing w:line="240" w:lineRule="auto" w:before="0" w:after="0"/>
        <w:ind w:left="973" w:right="0" w:hanging="634"/>
        <w:jc w:val="left"/>
      </w:pPr>
      <w:r>
        <w:rPr/>
        <w:t>Analyzing Liquidity</w:t>
      </w:r>
      <w:r>
        <w:rPr>
          <w:spacing w:val="1"/>
        </w:rPr>
        <w:t> </w:t>
      </w:r>
      <w:r>
        <w:rPr/>
        <w:t>Ratio</w:t>
      </w:r>
    </w:p>
    <w:p>
      <w:pPr>
        <w:pStyle w:val="BodyText"/>
        <w:spacing w:before="1"/>
        <w:rPr>
          <w:b/>
          <w:sz w:val="39"/>
        </w:rPr>
      </w:pPr>
    </w:p>
    <w:p>
      <w:pPr>
        <w:spacing w:before="0"/>
        <w:ind w:left="340" w:right="0" w:firstLine="0"/>
        <w:jc w:val="left"/>
        <w:rPr>
          <w:b/>
          <w:sz w:val="22"/>
        </w:rPr>
      </w:pPr>
      <w:r>
        <w:rPr>
          <w:b/>
          <w:sz w:val="22"/>
          <w:u w:val="single"/>
        </w:rPr>
        <w:t>Net Working Capital</w:t>
      </w:r>
    </w:p>
    <w:p>
      <w:pPr>
        <w:pStyle w:val="BodyText"/>
        <w:spacing w:before="5"/>
        <w:rPr>
          <w:b/>
          <w:sz w:val="26"/>
        </w:rPr>
      </w:pPr>
    </w:p>
    <w:p>
      <w:pPr>
        <w:spacing w:before="91"/>
        <w:ind w:left="340" w:right="0" w:firstLine="0"/>
        <w:jc w:val="left"/>
        <w:rPr>
          <w:sz w:val="22"/>
        </w:rPr>
      </w:pPr>
      <w:r>
        <w:rPr>
          <w:sz w:val="22"/>
        </w:rPr>
        <w:t>Net working capital is calculated by total current liabilities subtracting from total current assets.</w:t>
      </w:r>
    </w:p>
    <w:p>
      <w:pPr>
        <w:spacing w:line="620" w:lineRule="atLeast" w:before="48"/>
        <w:ind w:left="340" w:right="3453" w:firstLine="0"/>
        <w:jc w:val="left"/>
        <w:rPr>
          <w:b/>
          <w:sz w:val="22"/>
        </w:rPr>
      </w:pPr>
      <w:r>
        <w:rPr>
          <w:b/>
          <w:sz w:val="22"/>
        </w:rPr>
        <w:t>Net Working Capital = Current Assets – Current Liabilities </w:t>
      </w:r>
      <w:r>
        <w:rPr>
          <w:b/>
          <w:sz w:val="22"/>
          <w:u w:val="single"/>
        </w:rPr>
        <w:t>Current Ratio</w:t>
      </w:r>
    </w:p>
    <w:p>
      <w:pPr>
        <w:spacing w:before="120"/>
        <w:ind w:left="340" w:right="0" w:firstLine="0"/>
        <w:jc w:val="left"/>
        <w:rPr>
          <w:sz w:val="22"/>
        </w:rPr>
      </w:pPr>
      <w:r>
        <w:rPr>
          <w:sz w:val="22"/>
        </w:rPr>
        <w:t>Organization is using current ratio to measure the firm’s ability to short-term obligation.</w:t>
      </w:r>
    </w:p>
    <w:p>
      <w:pPr>
        <w:spacing w:before="131"/>
        <w:ind w:left="340" w:right="0" w:firstLine="0"/>
        <w:jc w:val="left"/>
        <w:rPr>
          <w:b/>
          <w:sz w:val="22"/>
        </w:rPr>
      </w:pPr>
      <w:r>
        <w:rPr>
          <w:b/>
          <w:sz w:val="22"/>
        </w:rPr>
        <w:t>Current Ratio = Current Asset/Current Liabilities.</w:t>
      </w:r>
    </w:p>
    <w:p>
      <w:pPr>
        <w:pStyle w:val="BodyText"/>
        <w:spacing w:before="11"/>
        <w:rPr>
          <w:b/>
          <w:sz w:val="31"/>
        </w:rPr>
      </w:pPr>
    </w:p>
    <w:p>
      <w:pPr>
        <w:spacing w:before="0"/>
        <w:ind w:left="340" w:right="0" w:firstLine="0"/>
        <w:jc w:val="left"/>
        <w:rPr>
          <w:b/>
          <w:sz w:val="22"/>
        </w:rPr>
      </w:pPr>
      <w:r>
        <w:rPr>
          <w:b/>
          <w:sz w:val="22"/>
          <w:u w:val="single"/>
        </w:rPr>
        <w:t>Quick Ratio</w:t>
      </w:r>
    </w:p>
    <w:p>
      <w:pPr>
        <w:spacing w:before="121"/>
        <w:ind w:left="340" w:right="0" w:firstLine="0"/>
        <w:jc w:val="left"/>
        <w:rPr>
          <w:sz w:val="22"/>
        </w:rPr>
      </w:pPr>
      <w:r>
        <w:rPr>
          <w:sz w:val="22"/>
        </w:rPr>
        <w:t>This ratio shows a firm’s ability to meet total current liabilities with its most liquid assets.</w:t>
      </w:r>
    </w:p>
    <w:p>
      <w:pPr>
        <w:spacing w:line="588" w:lineRule="auto" w:before="131"/>
        <w:ind w:left="340" w:right="2489" w:firstLine="0"/>
        <w:jc w:val="left"/>
        <w:rPr>
          <w:b/>
          <w:sz w:val="22"/>
        </w:rPr>
      </w:pPr>
      <w:r>
        <w:rPr>
          <w:b/>
          <w:sz w:val="22"/>
        </w:rPr>
        <w:t>Quick Ratio = Cash+ Govt. securities + Receivable/total current asset. </w:t>
      </w:r>
      <w:r>
        <w:rPr>
          <w:b/>
          <w:sz w:val="22"/>
          <w:u w:val="single"/>
        </w:rPr>
        <w:t>Cash Ratio</w:t>
      </w:r>
    </w:p>
    <w:p>
      <w:pPr>
        <w:tabs>
          <w:tab w:pos="9050" w:val="left" w:leader="none"/>
        </w:tabs>
        <w:spacing w:line="360" w:lineRule="auto" w:before="0"/>
        <w:ind w:left="340" w:right="135" w:firstLine="0"/>
        <w:jc w:val="left"/>
        <w:rPr>
          <w:sz w:val="22"/>
        </w:rPr>
      </w:pPr>
      <w:r>
        <w:rPr>
          <w:sz w:val="22"/>
        </w:rPr>
        <w:t>Its measures the current extent to which a corporation or </w:t>
      </w:r>
      <w:r>
        <w:rPr>
          <w:spacing w:val="-3"/>
          <w:sz w:val="22"/>
        </w:rPr>
        <w:t>other </w:t>
      </w:r>
      <w:r>
        <w:rPr>
          <w:sz w:val="22"/>
        </w:rPr>
        <w:t>entity c liquidate</w:t>
      </w:r>
      <w:r>
        <w:rPr>
          <w:spacing w:val="3"/>
          <w:sz w:val="22"/>
        </w:rPr>
        <w:t> </w:t>
      </w:r>
      <w:r>
        <w:rPr>
          <w:sz w:val="22"/>
        </w:rPr>
        <w:t>assets</w:t>
      </w:r>
      <w:r>
        <w:rPr>
          <w:spacing w:val="1"/>
          <w:sz w:val="22"/>
        </w:rPr>
        <w:t> </w:t>
      </w:r>
      <w:r>
        <w:rPr>
          <w:sz w:val="22"/>
        </w:rPr>
        <w:t>and</w:t>
        <w:tab/>
      </w:r>
      <w:r>
        <w:rPr>
          <w:spacing w:val="-5"/>
          <w:sz w:val="22"/>
        </w:rPr>
        <w:t>convert </w:t>
      </w:r>
      <w:r>
        <w:rPr>
          <w:sz w:val="22"/>
        </w:rPr>
        <w:t>short-term liabilities and therefore is </w:t>
      </w:r>
      <w:r>
        <w:rPr>
          <w:spacing w:val="-3"/>
          <w:sz w:val="22"/>
        </w:rPr>
        <w:t>of </w:t>
      </w:r>
      <w:r>
        <w:rPr>
          <w:sz w:val="22"/>
        </w:rPr>
        <w:t>interest to short term creditors also called cash</w:t>
      </w:r>
      <w:r>
        <w:rPr>
          <w:spacing w:val="-21"/>
          <w:sz w:val="22"/>
        </w:rPr>
        <w:t> </w:t>
      </w:r>
      <w:r>
        <w:rPr>
          <w:sz w:val="22"/>
        </w:rPr>
        <w:t>ratio.</w:t>
      </w:r>
    </w:p>
    <w:p>
      <w:pPr>
        <w:spacing w:line="360" w:lineRule="auto" w:before="0"/>
        <w:ind w:left="340" w:right="263" w:firstLine="0"/>
        <w:jc w:val="left"/>
        <w:rPr>
          <w:b/>
          <w:sz w:val="22"/>
        </w:rPr>
      </w:pPr>
      <w:r>
        <w:rPr>
          <w:b/>
          <w:sz w:val="22"/>
        </w:rPr>
        <w:t>Cash  Ratio  =  </w:t>
      </w:r>
      <w:r>
        <w:rPr>
          <w:b/>
          <w:spacing w:val="-2"/>
          <w:sz w:val="22"/>
        </w:rPr>
        <w:t>(cash+</w:t>
      </w:r>
      <w:r>
        <w:rPr>
          <w:b/>
          <w:spacing w:val="51"/>
          <w:sz w:val="22"/>
        </w:rPr>
        <w:t> </w:t>
      </w:r>
      <w:r>
        <w:rPr>
          <w:b/>
          <w:spacing w:val="-3"/>
          <w:sz w:val="22"/>
        </w:rPr>
        <w:t>money  </w:t>
      </w:r>
      <w:r>
        <w:rPr>
          <w:b/>
          <w:sz w:val="22"/>
        </w:rPr>
        <w:t>at  call  &amp;short  notice+  marketable  securities+   balance   with other balance)/current</w:t>
      </w:r>
      <w:r>
        <w:rPr>
          <w:b/>
          <w:spacing w:val="-1"/>
          <w:sz w:val="22"/>
        </w:rPr>
        <w:t> </w:t>
      </w:r>
      <w:r>
        <w:rPr>
          <w:b/>
          <w:sz w:val="22"/>
        </w:rPr>
        <w:t>liabilities.</w:t>
      </w:r>
    </w:p>
    <w:p>
      <w:pPr>
        <w:spacing w:after="0" w:line="360" w:lineRule="auto"/>
        <w:jc w:val="left"/>
        <w:rPr>
          <w:sz w:val="22"/>
        </w:rPr>
        <w:sectPr>
          <w:pgSz w:w="12240" w:h="15840"/>
          <w:pgMar w:header="0" w:footer="1039" w:top="1380" w:bottom="1220" w:left="1100" w:right="1300"/>
        </w:sectPr>
      </w:pPr>
    </w:p>
    <w:p>
      <w:pPr>
        <w:pStyle w:val="Heading2"/>
        <w:numPr>
          <w:ilvl w:val="2"/>
          <w:numId w:val="13"/>
        </w:numPr>
        <w:tabs>
          <w:tab w:pos="975" w:val="left" w:leader="none"/>
        </w:tabs>
        <w:spacing w:line="240" w:lineRule="auto" w:before="58" w:after="0"/>
        <w:ind w:left="974" w:right="0" w:hanging="635"/>
        <w:jc w:val="left"/>
      </w:pPr>
      <w:r>
        <w:rPr/>
        <w:t>Analyzing Activity</w:t>
      </w:r>
      <w:r>
        <w:rPr>
          <w:spacing w:val="1"/>
        </w:rPr>
        <w:t> </w:t>
      </w:r>
      <w:r>
        <w:rPr/>
        <w:t>Ratio</w:t>
      </w:r>
    </w:p>
    <w:p>
      <w:pPr>
        <w:pStyle w:val="BodyText"/>
        <w:spacing w:before="3"/>
        <w:rPr>
          <w:b/>
          <w:sz w:val="35"/>
        </w:rPr>
      </w:pPr>
    </w:p>
    <w:p>
      <w:pPr>
        <w:spacing w:before="0"/>
        <w:ind w:left="340" w:right="0" w:firstLine="0"/>
        <w:jc w:val="left"/>
        <w:rPr>
          <w:b/>
          <w:sz w:val="22"/>
        </w:rPr>
      </w:pPr>
      <w:r>
        <w:rPr>
          <w:b/>
          <w:sz w:val="22"/>
          <w:u w:val="single"/>
        </w:rPr>
        <w:t>Total Asset Turnover</w:t>
      </w:r>
    </w:p>
    <w:p>
      <w:pPr>
        <w:spacing w:line="360" w:lineRule="auto" w:before="122"/>
        <w:ind w:left="340" w:right="0" w:firstLine="0"/>
        <w:jc w:val="left"/>
        <w:rPr>
          <w:sz w:val="22"/>
        </w:rPr>
      </w:pPr>
      <w:r>
        <w:rPr>
          <w:sz w:val="22"/>
        </w:rPr>
        <w:t>Total asset turnover ratio is calculated to indicate the efficiency with which the firm able to generate sales by using its assts.</w:t>
      </w:r>
    </w:p>
    <w:p>
      <w:pPr>
        <w:spacing w:before="5"/>
        <w:ind w:left="340" w:right="0" w:firstLine="0"/>
        <w:jc w:val="left"/>
        <w:rPr>
          <w:b/>
          <w:sz w:val="22"/>
        </w:rPr>
      </w:pPr>
      <w:r>
        <w:rPr>
          <w:b/>
          <w:sz w:val="22"/>
        </w:rPr>
        <w:t>Total Asset Turnover = Operating Income / Total Asset</w:t>
      </w:r>
    </w:p>
    <w:p>
      <w:pPr>
        <w:pStyle w:val="BodyText"/>
        <w:spacing w:before="9"/>
        <w:rPr>
          <w:b/>
          <w:sz w:val="31"/>
        </w:rPr>
      </w:pPr>
    </w:p>
    <w:p>
      <w:pPr>
        <w:spacing w:before="1"/>
        <w:ind w:left="340" w:right="0" w:firstLine="0"/>
        <w:jc w:val="left"/>
        <w:rPr>
          <w:b/>
          <w:sz w:val="22"/>
        </w:rPr>
      </w:pPr>
      <w:r>
        <w:rPr>
          <w:b/>
          <w:sz w:val="22"/>
          <w:u w:val="single"/>
        </w:rPr>
        <w:t>Investment to Deposit Ratio</w:t>
      </w:r>
    </w:p>
    <w:p>
      <w:pPr>
        <w:spacing w:line="360" w:lineRule="auto" w:before="121"/>
        <w:ind w:left="340" w:right="0" w:firstLine="0"/>
        <w:jc w:val="left"/>
        <w:rPr>
          <w:sz w:val="22"/>
        </w:rPr>
      </w:pPr>
      <w:r>
        <w:rPr>
          <w:sz w:val="22"/>
        </w:rPr>
        <w:t>This ratio shows the operating efficiency of a bank which calculated through investment product by measuring the percentage of the total deposits disbursed by the bank.</w:t>
      </w:r>
    </w:p>
    <w:p>
      <w:pPr>
        <w:spacing w:before="5"/>
        <w:ind w:left="340" w:right="0" w:firstLine="0"/>
        <w:jc w:val="left"/>
        <w:rPr>
          <w:b/>
          <w:sz w:val="22"/>
        </w:rPr>
      </w:pPr>
      <w:r>
        <w:rPr>
          <w:b/>
          <w:sz w:val="22"/>
        </w:rPr>
        <w:t>Investment to Deposit Ratio = Total Investment / Total Deposit</w:t>
      </w:r>
    </w:p>
    <w:p>
      <w:pPr>
        <w:pStyle w:val="BodyText"/>
        <w:spacing w:before="10"/>
        <w:rPr>
          <w:b/>
          <w:sz w:val="31"/>
        </w:rPr>
      </w:pPr>
    </w:p>
    <w:p>
      <w:pPr>
        <w:spacing w:before="0"/>
        <w:ind w:left="340" w:right="0" w:firstLine="0"/>
        <w:jc w:val="left"/>
        <w:rPr>
          <w:b/>
          <w:sz w:val="22"/>
        </w:rPr>
      </w:pPr>
      <w:r>
        <w:rPr>
          <w:b/>
          <w:sz w:val="22"/>
          <w:u w:val="single"/>
        </w:rPr>
        <w:t>Interest income to interest expenses ratio</w:t>
      </w:r>
    </w:p>
    <w:p>
      <w:pPr>
        <w:spacing w:line="360" w:lineRule="auto" w:before="121"/>
        <w:ind w:left="340" w:right="0" w:firstLine="0"/>
        <w:jc w:val="left"/>
        <w:rPr>
          <w:sz w:val="22"/>
        </w:rPr>
      </w:pPr>
      <w:r>
        <w:rPr>
          <w:sz w:val="22"/>
        </w:rPr>
        <w:t>This ratio measures the efficiency of management to generate interest income compared to interest expenses.</w:t>
      </w:r>
    </w:p>
    <w:p>
      <w:pPr>
        <w:pStyle w:val="BodyText"/>
      </w:pPr>
    </w:p>
    <w:p>
      <w:pPr>
        <w:spacing w:before="141"/>
        <w:ind w:left="340" w:right="0" w:firstLine="0"/>
        <w:jc w:val="left"/>
        <w:rPr>
          <w:b/>
          <w:sz w:val="22"/>
        </w:rPr>
      </w:pPr>
      <w:r>
        <w:rPr>
          <w:b/>
          <w:sz w:val="22"/>
        </w:rPr>
        <w:t>Interest income to interest expenses ratio=Interest income/Interest expenses.</w:t>
      </w:r>
    </w:p>
    <w:p>
      <w:pPr>
        <w:pStyle w:val="BodyText"/>
        <w:rPr>
          <w:b/>
        </w:rPr>
      </w:pPr>
    </w:p>
    <w:p>
      <w:pPr>
        <w:pStyle w:val="BodyText"/>
        <w:spacing w:before="2"/>
        <w:rPr>
          <w:b/>
          <w:sz w:val="20"/>
        </w:rPr>
      </w:pPr>
    </w:p>
    <w:p>
      <w:pPr>
        <w:pStyle w:val="Heading2"/>
        <w:numPr>
          <w:ilvl w:val="2"/>
          <w:numId w:val="13"/>
        </w:numPr>
        <w:tabs>
          <w:tab w:pos="974" w:val="left" w:leader="none"/>
        </w:tabs>
        <w:spacing w:line="240" w:lineRule="auto" w:before="0" w:after="0"/>
        <w:ind w:left="973" w:right="0" w:hanging="634"/>
        <w:jc w:val="left"/>
      </w:pPr>
      <w:r>
        <w:rPr/>
        <w:t>Analyzing Debt Ratio</w:t>
      </w:r>
    </w:p>
    <w:p>
      <w:pPr>
        <w:spacing w:line="360" w:lineRule="auto" w:before="156"/>
        <w:ind w:left="340" w:right="0" w:firstLine="0"/>
        <w:jc w:val="left"/>
        <w:rPr>
          <w:sz w:val="22"/>
        </w:rPr>
      </w:pPr>
      <w:r>
        <w:rPr>
          <w:sz w:val="22"/>
        </w:rPr>
        <w:t>The</w:t>
      </w:r>
      <w:r>
        <w:rPr>
          <w:spacing w:val="-11"/>
          <w:sz w:val="22"/>
        </w:rPr>
        <w:t> </w:t>
      </w:r>
      <w:r>
        <w:rPr>
          <w:sz w:val="22"/>
        </w:rPr>
        <w:t>debt</w:t>
      </w:r>
      <w:r>
        <w:rPr>
          <w:spacing w:val="-6"/>
          <w:sz w:val="22"/>
        </w:rPr>
        <w:t> </w:t>
      </w:r>
      <w:r>
        <w:rPr>
          <w:sz w:val="22"/>
        </w:rPr>
        <w:t>position</w:t>
      </w:r>
      <w:r>
        <w:rPr>
          <w:spacing w:val="-13"/>
          <w:sz w:val="22"/>
        </w:rPr>
        <w:t> </w:t>
      </w:r>
      <w:r>
        <w:rPr>
          <w:sz w:val="22"/>
        </w:rPr>
        <w:t>of</w:t>
      </w:r>
      <w:r>
        <w:rPr>
          <w:spacing w:val="-9"/>
          <w:sz w:val="22"/>
        </w:rPr>
        <w:t> </w:t>
      </w:r>
      <w:r>
        <w:rPr>
          <w:sz w:val="22"/>
        </w:rPr>
        <w:t>that</w:t>
      </w:r>
      <w:r>
        <w:rPr>
          <w:spacing w:val="-8"/>
          <w:sz w:val="22"/>
        </w:rPr>
        <w:t> </w:t>
      </w:r>
      <w:r>
        <w:rPr>
          <w:sz w:val="22"/>
        </w:rPr>
        <w:t>indicates</w:t>
      </w:r>
      <w:r>
        <w:rPr>
          <w:spacing w:val="-8"/>
          <w:sz w:val="22"/>
        </w:rPr>
        <w:t> </w:t>
      </w:r>
      <w:r>
        <w:rPr>
          <w:sz w:val="22"/>
        </w:rPr>
        <w:t>the</w:t>
      </w:r>
      <w:r>
        <w:rPr>
          <w:spacing w:val="-15"/>
          <w:sz w:val="22"/>
        </w:rPr>
        <w:t> </w:t>
      </w:r>
      <w:r>
        <w:rPr>
          <w:sz w:val="22"/>
        </w:rPr>
        <w:t>amount</w:t>
      </w:r>
      <w:r>
        <w:rPr>
          <w:spacing w:val="-7"/>
          <w:sz w:val="22"/>
        </w:rPr>
        <w:t> </w:t>
      </w:r>
      <w:r>
        <w:rPr>
          <w:spacing w:val="-3"/>
          <w:sz w:val="22"/>
        </w:rPr>
        <w:t>of</w:t>
      </w:r>
      <w:r>
        <w:rPr>
          <w:spacing w:val="-5"/>
          <w:sz w:val="22"/>
        </w:rPr>
        <w:t> </w:t>
      </w:r>
      <w:r>
        <w:rPr>
          <w:sz w:val="22"/>
        </w:rPr>
        <w:t>other</w:t>
      </w:r>
      <w:r>
        <w:rPr>
          <w:spacing w:val="-5"/>
          <w:sz w:val="22"/>
        </w:rPr>
        <w:t> </w:t>
      </w:r>
      <w:r>
        <w:rPr>
          <w:sz w:val="22"/>
        </w:rPr>
        <w:t>people’s</w:t>
      </w:r>
      <w:r>
        <w:rPr>
          <w:spacing w:val="-3"/>
          <w:sz w:val="22"/>
        </w:rPr>
        <w:t> </w:t>
      </w:r>
      <w:r>
        <w:rPr>
          <w:sz w:val="22"/>
        </w:rPr>
        <w:t>money</w:t>
      </w:r>
      <w:r>
        <w:rPr>
          <w:spacing w:val="-8"/>
          <w:sz w:val="22"/>
        </w:rPr>
        <w:t> </w:t>
      </w:r>
      <w:r>
        <w:rPr>
          <w:sz w:val="22"/>
        </w:rPr>
        <w:t>being</w:t>
      </w:r>
      <w:r>
        <w:rPr>
          <w:spacing w:val="-13"/>
          <w:sz w:val="22"/>
        </w:rPr>
        <w:t> </w:t>
      </w:r>
      <w:r>
        <w:rPr>
          <w:sz w:val="22"/>
        </w:rPr>
        <w:t>used</w:t>
      </w:r>
      <w:r>
        <w:rPr>
          <w:spacing w:val="-13"/>
          <w:sz w:val="22"/>
        </w:rPr>
        <w:t> </w:t>
      </w:r>
      <w:r>
        <w:rPr>
          <w:sz w:val="22"/>
        </w:rPr>
        <w:t>in</w:t>
      </w:r>
      <w:r>
        <w:rPr>
          <w:spacing w:val="-12"/>
          <w:sz w:val="22"/>
        </w:rPr>
        <w:t> </w:t>
      </w:r>
      <w:r>
        <w:rPr>
          <w:sz w:val="22"/>
        </w:rPr>
        <w:t>attempting</w:t>
      </w:r>
      <w:r>
        <w:rPr>
          <w:spacing w:val="-13"/>
          <w:sz w:val="22"/>
        </w:rPr>
        <w:t> </w:t>
      </w:r>
      <w:r>
        <w:rPr>
          <w:sz w:val="22"/>
        </w:rPr>
        <w:t>to</w:t>
      </w:r>
      <w:r>
        <w:rPr>
          <w:spacing w:val="-9"/>
          <w:sz w:val="22"/>
        </w:rPr>
        <w:t> </w:t>
      </w:r>
      <w:r>
        <w:rPr>
          <w:sz w:val="22"/>
        </w:rPr>
        <w:t>generate profit.</w:t>
      </w:r>
    </w:p>
    <w:p>
      <w:pPr>
        <w:pStyle w:val="BodyText"/>
        <w:spacing w:before="3"/>
        <w:rPr>
          <w:sz w:val="21"/>
        </w:rPr>
      </w:pPr>
    </w:p>
    <w:p>
      <w:pPr>
        <w:spacing w:before="1"/>
        <w:ind w:left="340" w:right="0" w:firstLine="0"/>
        <w:jc w:val="left"/>
        <w:rPr>
          <w:b/>
          <w:sz w:val="22"/>
        </w:rPr>
      </w:pPr>
      <w:r>
        <w:rPr>
          <w:b/>
          <w:sz w:val="22"/>
          <w:u w:val="single"/>
        </w:rPr>
        <w:t>Debt Ratio</w:t>
      </w:r>
    </w:p>
    <w:p>
      <w:pPr>
        <w:spacing w:before="121"/>
        <w:ind w:left="340" w:right="0" w:firstLine="0"/>
        <w:jc w:val="left"/>
        <w:rPr>
          <w:sz w:val="22"/>
        </w:rPr>
      </w:pPr>
      <w:r>
        <w:rPr>
          <w:sz w:val="22"/>
        </w:rPr>
        <w:t>The proportion of assets provided by creditors is measured by Debt Ratio.</w:t>
      </w:r>
    </w:p>
    <w:p>
      <w:pPr>
        <w:spacing w:before="131"/>
        <w:ind w:left="340" w:right="0" w:firstLine="0"/>
        <w:jc w:val="left"/>
        <w:rPr>
          <w:b/>
          <w:sz w:val="22"/>
        </w:rPr>
      </w:pPr>
      <w:r>
        <w:rPr>
          <w:b/>
          <w:sz w:val="22"/>
        </w:rPr>
        <w:t>Debt Ratio = Total Liabilities / Total Assets</w:t>
      </w:r>
    </w:p>
    <w:p>
      <w:pPr>
        <w:pStyle w:val="BodyText"/>
        <w:spacing w:before="10"/>
        <w:rPr>
          <w:b/>
          <w:sz w:val="31"/>
        </w:rPr>
      </w:pPr>
    </w:p>
    <w:p>
      <w:pPr>
        <w:spacing w:before="0"/>
        <w:ind w:left="340" w:right="0" w:firstLine="0"/>
        <w:jc w:val="left"/>
        <w:rPr>
          <w:b/>
          <w:sz w:val="22"/>
        </w:rPr>
      </w:pPr>
      <w:r>
        <w:rPr>
          <w:b/>
          <w:sz w:val="22"/>
          <w:u w:val="single"/>
        </w:rPr>
        <w:t>Equity Capital Ratio</w:t>
      </w:r>
    </w:p>
    <w:p>
      <w:pPr>
        <w:spacing w:line="360" w:lineRule="auto" w:before="127"/>
        <w:ind w:left="340" w:right="0" w:firstLine="0"/>
        <w:jc w:val="left"/>
        <w:rPr>
          <w:sz w:val="22"/>
        </w:rPr>
      </w:pPr>
      <w:r>
        <w:rPr>
          <w:sz w:val="22"/>
        </w:rPr>
        <w:t>The position of the Bank’s owner’s equity by measuring the portion of assets financed by shareholders invested fund is calculated through Equity Capital Ratio.</w:t>
      </w:r>
    </w:p>
    <w:p>
      <w:pPr>
        <w:spacing w:before="4"/>
        <w:ind w:left="340" w:right="0" w:firstLine="0"/>
        <w:jc w:val="left"/>
        <w:rPr>
          <w:b/>
          <w:sz w:val="22"/>
        </w:rPr>
      </w:pPr>
      <w:r>
        <w:rPr>
          <w:b/>
          <w:sz w:val="22"/>
        </w:rPr>
        <w:t>Equity Capital Ratio = Total Shareholder’s Equity / Total Assets</w:t>
      </w:r>
    </w:p>
    <w:p>
      <w:pPr>
        <w:pStyle w:val="BodyText"/>
        <w:spacing w:before="10"/>
        <w:rPr>
          <w:b/>
          <w:sz w:val="31"/>
        </w:rPr>
      </w:pPr>
    </w:p>
    <w:p>
      <w:pPr>
        <w:spacing w:before="0"/>
        <w:ind w:left="340" w:right="0" w:firstLine="0"/>
        <w:jc w:val="left"/>
        <w:rPr>
          <w:b/>
          <w:sz w:val="22"/>
        </w:rPr>
      </w:pPr>
      <w:r>
        <w:rPr>
          <w:b/>
          <w:sz w:val="22"/>
          <w:u w:val="single"/>
        </w:rPr>
        <w:t>Time Interest Earned Ratio</w:t>
      </w:r>
    </w:p>
    <w:p>
      <w:pPr>
        <w:spacing w:line="360" w:lineRule="auto" w:before="121"/>
        <w:ind w:left="340" w:right="0" w:firstLine="0"/>
        <w:jc w:val="left"/>
        <w:rPr>
          <w:sz w:val="22"/>
        </w:rPr>
      </w:pPr>
      <w:r>
        <w:rPr>
          <w:sz w:val="22"/>
        </w:rPr>
        <w:t>The organization’s ability to meet its contractual interest payment which indicates that how well the company is able to pay their interest from income.</w:t>
      </w:r>
    </w:p>
    <w:p>
      <w:pPr>
        <w:spacing w:before="5"/>
        <w:ind w:left="340" w:right="0" w:firstLine="0"/>
        <w:jc w:val="left"/>
        <w:rPr>
          <w:b/>
          <w:sz w:val="22"/>
        </w:rPr>
      </w:pPr>
      <w:r>
        <w:rPr>
          <w:b/>
          <w:sz w:val="22"/>
        </w:rPr>
        <w:t>Time Interest Earned Ratio = Earnings before Interest and Taxes / Interest Expenses</w:t>
      </w:r>
    </w:p>
    <w:p>
      <w:pPr>
        <w:spacing w:after="0"/>
        <w:jc w:val="left"/>
        <w:rPr>
          <w:sz w:val="22"/>
        </w:rPr>
        <w:sectPr>
          <w:pgSz w:w="12240" w:h="15840"/>
          <w:pgMar w:header="0" w:footer="1039" w:top="1380" w:bottom="1220" w:left="1100" w:right="1300"/>
        </w:sectPr>
      </w:pPr>
    </w:p>
    <w:p>
      <w:pPr>
        <w:pStyle w:val="Heading2"/>
        <w:numPr>
          <w:ilvl w:val="2"/>
          <w:numId w:val="13"/>
        </w:numPr>
        <w:tabs>
          <w:tab w:pos="974" w:val="left" w:leader="none"/>
        </w:tabs>
        <w:spacing w:line="240" w:lineRule="auto" w:before="58" w:after="0"/>
        <w:ind w:left="973" w:right="0" w:hanging="634"/>
        <w:jc w:val="left"/>
      </w:pPr>
      <w:r>
        <w:rPr/>
        <w:t>Analyzing Profitability</w:t>
      </w:r>
      <w:r>
        <w:rPr>
          <w:spacing w:val="1"/>
        </w:rPr>
        <w:t> </w:t>
      </w:r>
      <w:r>
        <w:rPr/>
        <w:t>Ratio</w:t>
      </w:r>
    </w:p>
    <w:p>
      <w:pPr>
        <w:spacing w:line="360" w:lineRule="auto" w:before="161"/>
        <w:ind w:left="340" w:right="144" w:firstLine="0"/>
        <w:jc w:val="both"/>
        <w:rPr>
          <w:sz w:val="22"/>
        </w:rPr>
      </w:pPr>
      <w:r>
        <w:rPr>
          <w:sz w:val="22"/>
        </w:rPr>
        <w:t>Profitability</w:t>
      </w:r>
      <w:r>
        <w:rPr>
          <w:spacing w:val="-9"/>
          <w:sz w:val="22"/>
        </w:rPr>
        <w:t> </w:t>
      </w:r>
      <w:r>
        <w:rPr>
          <w:sz w:val="22"/>
        </w:rPr>
        <w:t>ratio</w:t>
      </w:r>
      <w:r>
        <w:rPr>
          <w:spacing w:val="-9"/>
          <w:sz w:val="22"/>
        </w:rPr>
        <w:t> </w:t>
      </w:r>
      <w:r>
        <w:rPr>
          <w:sz w:val="22"/>
        </w:rPr>
        <w:t>is</w:t>
      </w:r>
      <w:r>
        <w:rPr>
          <w:spacing w:val="-1"/>
          <w:sz w:val="22"/>
        </w:rPr>
        <w:t> </w:t>
      </w:r>
      <w:r>
        <w:rPr>
          <w:sz w:val="22"/>
        </w:rPr>
        <w:t>evaluating</w:t>
      </w:r>
      <w:r>
        <w:rPr>
          <w:spacing w:val="-10"/>
          <w:sz w:val="22"/>
        </w:rPr>
        <w:t> </w:t>
      </w:r>
      <w:r>
        <w:rPr>
          <w:sz w:val="22"/>
        </w:rPr>
        <w:t>to</w:t>
      </w:r>
      <w:r>
        <w:rPr>
          <w:spacing w:val="-5"/>
          <w:sz w:val="22"/>
        </w:rPr>
        <w:t> </w:t>
      </w:r>
      <w:r>
        <w:rPr>
          <w:sz w:val="22"/>
        </w:rPr>
        <w:t>measure</w:t>
      </w:r>
      <w:r>
        <w:rPr>
          <w:spacing w:val="-12"/>
          <w:sz w:val="22"/>
        </w:rPr>
        <w:t> </w:t>
      </w:r>
      <w:r>
        <w:rPr>
          <w:sz w:val="22"/>
        </w:rPr>
        <w:t>the</w:t>
      </w:r>
      <w:r>
        <w:rPr>
          <w:spacing w:val="-12"/>
          <w:sz w:val="22"/>
        </w:rPr>
        <w:t> </w:t>
      </w:r>
      <w:r>
        <w:rPr>
          <w:sz w:val="22"/>
        </w:rPr>
        <w:t>bank’s earning</w:t>
      </w:r>
      <w:r>
        <w:rPr>
          <w:spacing w:val="-10"/>
          <w:sz w:val="22"/>
        </w:rPr>
        <w:t> </w:t>
      </w:r>
      <w:r>
        <w:rPr>
          <w:sz w:val="22"/>
        </w:rPr>
        <w:t>with</w:t>
      </w:r>
      <w:r>
        <w:rPr>
          <w:spacing w:val="-10"/>
          <w:sz w:val="22"/>
        </w:rPr>
        <w:t> </w:t>
      </w:r>
      <w:r>
        <w:rPr>
          <w:sz w:val="22"/>
        </w:rPr>
        <w:t>respect</w:t>
      </w:r>
      <w:r>
        <w:rPr>
          <w:spacing w:val="-4"/>
          <w:sz w:val="22"/>
        </w:rPr>
        <w:t> </w:t>
      </w:r>
      <w:r>
        <w:rPr>
          <w:sz w:val="22"/>
        </w:rPr>
        <w:t>to</w:t>
      </w:r>
      <w:r>
        <w:rPr>
          <w:spacing w:val="-10"/>
          <w:sz w:val="22"/>
        </w:rPr>
        <w:t> </w:t>
      </w:r>
      <w:r>
        <w:rPr>
          <w:sz w:val="22"/>
        </w:rPr>
        <w:t>a</w:t>
      </w:r>
      <w:r>
        <w:rPr>
          <w:spacing w:val="-2"/>
          <w:sz w:val="22"/>
        </w:rPr>
        <w:t> </w:t>
      </w:r>
      <w:r>
        <w:rPr>
          <w:sz w:val="22"/>
        </w:rPr>
        <w:t>level</w:t>
      </w:r>
      <w:r>
        <w:rPr>
          <w:spacing w:val="-8"/>
          <w:sz w:val="22"/>
        </w:rPr>
        <w:t> </w:t>
      </w:r>
      <w:r>
        <w:rPr>
          <w:spacing w:val="-3"/>
          <w:sz w:val="22"/>
        </w:rPr>
        <w:t>of</w:t>
      </w:r>
      <w:r>
        <w:rPr>
          <w:spacing w:val="-6"/>
          <w:sz w:val="22"/>
        </w:rPr>
        <w:t> </w:t>
      </w:r>
      <w:r>
        <w:rPr>
          <w:sz w:val="22"/>
        </w:rPr>
        <w:t>sales,</w:t>
      </w:r>
      <w:r>
        <w:rPr>
          <w:spacing w:val="-3"/>
          <w:sz w:val="22"/>
        </w:rPr>
        <w:t> </w:t>
      </w:r>
      <w:r>
        <w:rPr>
          <w:sz w:val="22"/>
        </w:rPr>
        <w:t>a</w:t>
      </w:r>
      <w:r>
        <w:rPr>
          <w:spacing w:val="-2"/>
          <w:sz w:val="22"/>
        </w:rPr>
        <w:t> </w:t>
      </w:r>
      <w:r>
        <w:rPr>
          <w:sz w:val="22"/>
        </w:rPr>
        <w:t>certain</w:t>
      </w:r>
      <w:r>
        <w:rPr>
          <w:spacing w:val="-10"/>
          <w:sz w:val="22"/>
        </w:rPr>
        <w:t> </w:t>
      </w:r>
      <w:r>
        <w:rPr>
          <w:sz w:val="22"/>
        </w:rPr>
        <w:t>level </w:t>
      </w:r>
      <w:r>
        <w:rPr>
          <w:spacing w:val="-3"/>
          <w:sz w:val="22"/>
        </w:rPr>
        <w:t>of </w:t>
      </w:r>
      <w:r>
        <w:rPr>
          <w:sz w:val="22"/>
        </w:rPr>
        <w:t>assets, share value and the shareholder’s investment. A firm cannot be able to attract outside investors without attractive</w:t>
      </w:r>
      <w:r>
        <w:rPr>
          <w:spacing w:val="-3"/>
          <w:sz w:val="22"/>
        </w:rPr>
        <w:t> </w:t>
      </w:r>
      <w:r>
        <w:rPr>
          <w:sz w:val="22"/>
        </w:rPr>
        <w:t>profit.</w:t>
      </w:r>
    </w:p>
    <w:p>
      <w:pPr>
        <w:pStyle w:val="BodyText"/>
        <w:spacing w:before="3"/>
        <w:rPr>
          <w:sz w:val="21"/>
        </w:rPr>
      </w:pPr>
    </w:p>
    <w:p>
      <w:pPr>
        <w:spacing w:before="0"/>
        <w:ind w:left="340" w:right="0" w:firstLine="0"/>
        <w:jc w:val="left"/>
        <w:rPr>
          <w:b/>
          <w:sz w:val="22"/>
        </w:rPr>
      </w:pPr>
      <w:r>
        <w:rPr>
          <w:b/>
          <w:sz w:val="22"/>
          <w:u w:val="single"/>
        </w:rPr>
        <w:t>Operating Profit Margin</w:t>
      </w:r>
    </w:p>
    <w:p>
      <w:pPr>
        <w:spacing w:line="360" w:lineRule="auto" w:before="122"/>
        <w:ind w:left="340" w:right="0" w:firstLine="0"/>
        <w:jc w:val="left"/>
        <w:rPr>
          <w:sz w:val="22"/>
        </w:rPr>
      </w:pPr>
      <w:r>
        <w:rPr>
          <w:sz w:val="22"/>
        </w:rPr>
        <w:t>The operating profit margin indicates that how much profit earned on each sales dollar. It is preferable to maintain high operating profit margin.</w:t>
      </w:r>
    </w:p>
    <w:p>
      <w:pPr>
        <w:spacing w:before="4"/>
        <w:ind w:left="340" w:right="0" w:firstLine="0"/>
        <w:jc w:val="left"/>
        <w:rPr>
          <w:b/>
          <w:sz w:val="22"/>
        </w:rPr>
      </w:pPr>
      <w:r>
        <w:rPr>
          <w:b/>
          <w:sz w:val="22"/>
        </w:rPr>
        <w:t>Operating Profit Margin = Operating Profit / Sales</w:t>
      </w:r>
    </w:p>
    <w:p>
      <w:pPr>
        <w:pStyle w:val="BodyText"/>
        <w:rPr>
          <w:b/>
        </w:rPr>
      </w:pPr>
    </w:p>
    <w:p>
      <w:pPr>
        <w:pStyle w:val="BodyText"/>
        <w:spacing w:before="10"/>
        <w:rPr>
          <w:b/>
          <w:sz w:val="22"/>
        </w:rPr>
      </w:pPr>
    </w:p>
    <w:p>
      <w:pPr>
        <w:spacing w:before="0"/>
        <w:ind w:left="340" w:right="0" w:firstLine="0"/>
        <w:jc w:val="left"/>
        <w:rPr>
          <w:b/>
          <w:sz w:val="22"/>
        </w:rPr>
      </w:pPr>
      <w:r>
        <w:rPr>
          <w:b/>
          <w:sz w:val="22"/>
          <w:u w:val="single"/>
        </w:rPr>
        <w:t>Net Profit Margin</w:t>
      </w:r>
    </w:p>
    <w:p>
      <w:pPr>
        <w:pStyle w:val="BodyText"/>
        <w:rPr>
          <w:b/>
        </w:rPr>
      </w:pPr>
    </w:p>
    <w:p>
      <w:pPr>
        <w:spacing w:before="91"/>
        <w:ind w:left="340" w:right="0" w:firstLine="0"/>
        <w:jc w:val="left"/>
        <w:rPr>
          <w:b/>
          <w:sz w:val="22"/>
        </w:rPr>
      </w:pPr>
      <w:r>
        <w:rPr>
          <w:b/>
          <w:sz w:val="22"/>
          <w:u w:val="single"/>
        </w:rPr>
        <w:t>Return on Assets ( ROA )</w:t>
      </w:r>
    </w:p>
    <w:p>
      <w:pPr>
        <w:spacing w:line="360" w:lineRule="auto" w:before="122"/>
        <w:ind w:left="340" w:right="0" w:firstLine="0"/>
        <w:jc w:val="left"/>
        <w:rPr>
          <w:sz w:val="22"/>
        </w:rPr>
      </w:pPr>
      <w:r>
        <w:rPr>
          <w:sz w:val="22"/>
        </w:rPr>
        <w:t>Return on asset is measured the firm’s ability to earning profit relative to its available assets. It also measures the effectiveness of the firm in generating profit.</w:t>
      </w:r>
    </w:p>
    <w:p>
      <w:pPr>
        <w:spacing w:before="4"/>
        <w:ind w:left="340" w:right="0" w:firstLine="0"/>
        <w:jc w:val="left"/>
        <w:rPr>
          <w:b/>
          <w:sz w:val="22"/>
        </w:rPr>
      </w:pPr>
      <w:r>
        <w:rPr>
          <w:b/>
          <w:sz w:val="22"/>
        </w:rPr>
        <w:t>Return on Asset = Net Profit / Total Asset</w:t>
      </w:r>
    </w:p>
    <w:p>
      <w:pPr>
        <w:pStyle w:val="BodyText"/>
        <w:spacing w:before="3"/>
        <w:rPr>
          <w:b/>
          <w:sz w:val="32"/>
        </w:rPr>
      </w:pPr>
    </w:p>
    <w:p>
      <w:pPr>
        <w:spacing w:before="0"/>
        <w:ind w:left="340" w:right="0" w:firstLine="0"/>
        <w:jc w:val="left"/>
        <w:rPr>
          <w:b/>
          <w:sz w:val="22"/>
        </w:rPr>
      </w:pPr>
      <w:r>
        <w:rPr>
          <w:b/>
          <w:sz w:val="22"/>
          <w:u w:val="single"/>
        </w:rPr>
        <w:t>Return on Equity ( ROE )</w:t>
      </w:r>
    </w:p>
    <w:p>
      <w:pPr>
        <w:spacing w:line="360" w:lineRule="auto" w:before="122"/>
        <w:ind w:left="340" w:right="135" w:firstLine="0"/>
        <w:jc w:val="left"/>
        <w:rPr>
          <w:sz w:val="22"/>
        </w:rPr>
      </w:pPr>
      <w:r>
        <w:rPr>
          <w:sz w:val="22"/>
        </w:rPr>
        <w:t>The return earned on the shareholder’s investment is measured by ROE. Higher return on equity is better for the shareholders.</w:t>
      </w:r>
    </w:p>
    <w:p>
      <w:pPr>
        <w:spacing w:before="4"/>
        <w:ind w:left="340" w:right="0" w:firstLine="0"/>
        <w:jc w:val="left"/>
        <w:rPr>
          <w:b/>
          <w:sz w:val="22"/>
        </w:rPr>
      </w:pPr>
      <w:r>
        <w:rPr>
          <w:b/>
          <w:sz w:val="22"/>
        </w:rPr>
        <w:t>Return on Equity (ROE) = Net Income / Shareholders Equity</w:t>
      </w:r>
    </w:p>
    <w:p>
      <w:pPr>
        <w:pStyle w:val="BodyText"/>
        <w:spacing w:before="10"/>
        <w:rPr>
          <w:b/>
          <w:sz w:val="31"/>
        </w:rPr>
      </w:pPr>
    </w:p>
    <w:p>
      <w:pPr>
        <w:spacing w:before="0"/>
        <w:ind w:left="340" w:right="0" w:firstLine="0"/>
        <w:jc w:val="left"/>
        <w:rPr>
          <w:b/>
          <w:sz w:val="22"/>
        </w:rPr>
      </w:pPr>
      <w:r>
        <w:rPr>
          <w:b/>
          <w:sz w:val="22"/>
          <w:u w:val="single"/>
        </w:rPr>
        <w:t>Earnings Per Share</w:t>
      </w:r>
    </w:p>
    <w:p>
      <w:pPr>
        <w:spacing w:before="122"/>
        <w:ind w:left="340" w:right="0" w:firstLine="0"/>
        <w:jc w:val="left"/>
        <w:rPr>
          <w:sz w:val="22"/>
        </w:rPr>
      </w:pPr>
      <w:r>
        <w:rPr>
          <w:sz w:val="22"/>
        </w:rPr>
        <w:t>Earnings per share are the earnings returned on the initial investment amount.</w:t>
      </w:r>
    </w:p>
    <w:p>
      <w:pPr>
        <w:spacing w:line="360" w:lineRule="auto" w:before="131"/>
        <w:ind w:left="340" w:right="47" w:firstLine="0"/>
        <w:jc w:val="left"/>
        <w:rPr>
          <w:b/>
          <w:sz w:val="22"/>
        </w:rPr>
      </w:pPr>
      <w:r>
        <w:rPr>
          <w:b/>
          <w:sz w:val="22"/>
        </w:rPr>
        <w:t>Earnings per Share = Earnings Available for Common Stockholders / No of Share of Common Stock Outstanding</w:t>
      </w:r>
    </w:p>
    <w:p>
      <w:pPr>
        <w:pStyle w:val="Heading2"/>
        <w:numPr>
          <w:ilvl w:val="2"/>
          <w:numId w:val="13"/>
        </w:numPr>
        <w:tabs>
          <w:tab w:pos="974" w:val="left" w:leader="none"/>
        </w:tabs>
        <w:spacing w:line="319" w:lineRule="exact" w:before="0" w:after="0"/>
        <w:ind w:left="973" w:right="0" w:hanging="634"/>
        <w:jc w:val="left"/>
      </w:pPr>
      <w:r>
        <w:rPr/>
        <w:t>Analyzing Market Ratio</w:t>
      </w:r>
    </w:p>
    <w:p>
      <w:pPr>
        <w:spacing w:line="360" w:lineRule="auto" w:before="161"/>
        <w:ind w:left="340" w:right="136" w:firstLine="0"/>
        <w:jc w:val="both"/>
        <w:rPr>
          <w:sz w:val="22"/>
        </w:rPr>
      </w:pPr>
      <w:r>
        <w:rPr>
          <w:sz w:val="22"/>
        </w:rPr>
        <w:t>Market ratio relates the firm’s market value, as measured by its current share price to certain accounting value (Gitman, page-69). It indicates how well investors in the marketplace feel the firm are doing in term of risk and return.</w:t>
      </w:r>
    </w:p>
    <w:p>
      <w:pPr>
        <w:spacing w:before="4"/>
        <w:ind w:left="340" w:right="0" w:firstLine="0"/>
        <w:jc w:val="both"/>
        <w:rPr>
          <w:b/>
          <w:sz w:val="22"/>
        </w:rPr>
      </w:pPr>
      <w:r>
        <w:rPr>
          <w:b/>
          <w:sz w:val="22"/>
          <w:u w:val="single"/>
        </w:rPr>
        <w:t>Price / Earning Ratio</w:t>
      </w:r>
    </w:p>
    <w:p>
      <w:pPr>
        <w:spacing w:line="360" w:lineRule="auto" w:before="122"/>
        <w:ind w:left="340" w:right="142" w:firstLine="0"/>
        <w:jc w:val="both"/>
        <w:rPr>
          <w:sz w:val="22"/>
        </w:rPr>
      </w:pPr>
      <w:r>
        <w:rPr>
          <w:sz w:val="22"/>
        </w:rPr>
        <w:t>The price earnings ratio of a stock is measure of the price paid for a share relative to the income or profit earned by the firm per share.</w:t>
      </w:r>
    </w:p>
    <w:p>
      <w:pPr>
        <w:spacing w:before="4"/>
        <w:ind w:left="340" w:right="0" w:firstLine="0"/>
        <w:jc w:val="both"/>
        <w:rPr>
          <w:b/>
          <w:sz w:val="22"/>
        </w:rPr>
      </w:pPr>
      <w:r>
        <w:rPr>
          <w:b/>
          <w:sz w:val="22"/>
        </w:rPr>
        <w:t>Price Earnings Ratio = Market Price per Share of Common Stock / Earning per Share.</w:t>
      </w:r>
    </w:p>
    <w:p>
      <w:pPr>
        <w:spacing w:after="0"/>
        <w:jc w:val="both"/>
        <w:rPr>
          <w:sz w:val="22"/>
        </w:rPr>
        <w:sectPr>
          <w:pgSz w:w="12240" w:h="15840"/>
          <w:pgMar w:header="0" w:footer="1039" w:top="1380" w:bottom="1220" w:left="1100" w:right="1300"/>
        </w:sectPr>
      </w:pPr>
    </w:p>
    <w:p>
      <w:pPr>
        <w:pStyle w:val="Heading2"/>
        <w:numPr>
          <w:ilvl w:val="1"/>
          <w:numId w:val="14"/>
        </w:numPr>
        <w:tabs>
          <w:tab w:pos="763" w:val="left" w:leader="none"/>
        </w:tabs>
        <w:spacing w:line="240" w:lineRule="auto" w:before="58" w:after="0"/>
        <w:ind w:left="762" w:right="0" w:hanging="423"/>
        <w:jc w:val="both"/>
      </w:pPr>
      <w:r>
        <w:rPr/>
        <w:t>Financial Performance Analysis </w:t>
      </w:r>
      <w:r>
        <w:rPr>
          <w:spacing w:val="-3"/>
        </w:rPr>
        <w:t>of </w:t>
      </w:r>
      <w:r>
        <w:rPr/>
        <w:t>Trust Bank</w:t>
      </w:r>
      <w:r>
        <w:rPr>
          <w:spacing w:val="5"/>
        </w:rPr>
        <w:t> </w:t>
      </w:r>
      <w:r>
        <w:rPr/>
        <w:t>Limited</w:t>
      </w:r>
    </w:p>
    <w:p>
      <w:pPr>
        <w:pStyle w:val="Heading3"/>
        <w:numPr>
          <w:ilvl w:val="2"/>
          <w:numId w:val="14"/>
        </w:numPr>
        <w:tabs>
          <w:tab w:pos="883" w:val="left" w:leader="none"/>
        </w:tabs>
        <w:spacing w:line="240" w:lineRule="auto" w:before="162" w:after="0"/>
        <w:ind w:left="882" w:right="0" w:hanging="543"/>
        <w:jc w:val="both"/>
      </w:pPr>
      <w:r>
        <w:rPr/>
        <w:t>Liquidity</w:t>
      </w:r>
      <w:r>
        <w:rPr>
          <w:spacing w:val="-3"/>
        </w:rPr>
        <w:t> </w:t>
      </w:r>
      <w:r>
        <w:rPr/>
        <w:t>Ratio</w:t>
      </w:r>
    </w:p>
    <w:p>
      <w:pPr>
        <w:pStyle w:val="BodyText"/>
        <w:spacing w:line="360" w:lineRule="auto" w:before="132"/>
        <w:ind w:left="340" w:right="146"/>
        <w:jc w:val="both"/>
      </w:pPr>
      <w:r>
        <w:rPr/>
        <w:t>Liquidity ratios measure a firm’s ability to pay off long term and short term obligations. These includes:</w:t>
      </w:r>
    </w:p>
    <w:p>
      <w:pPr>
        <w:pStyle w:val="BodyText"/>
        <w:spacing w:line="274" w:lineRule="exact"/>
        <w:ind w:left="340"/>
        <w:jc w:val="both"/>
      </w:pPr>
      <w:r>
        <w:rPr/>
        <w:t>Current Ratio:</w:t>
      </w:r>
    </w:p>
    <w:p>
      <w:pPr>
        <w:pStyle w:val="BodyText"/>
        <w:spacing w:line="360" w:lineRule="auto" w:before="142"/>
        <w:ind w:left="340" w:right="137"/>
        <w:jc w:val="both"/>
      </w:pPr>
      <w:r>
        <w:rPr/>
        <w:t>This</w:t>
      </w:r>
      <w:r>
        <w:rPr>
          <w:spacing w:val="-4"/>
        </w:rPr>
        <w:t> </w:t>
      </w:r>
      <w:r>
        <w:rPr/>
        <w:t>proportion</w:t>
      </w:r>
      <w:r>
        <w:rPr>
          <w:spacing w:val="-6"/>
        </w:rPr>
        <w:t> </w:t>
      </w:r>
      <w:r>
        <w:rPr/>
        <w:t>display</w:t>
      </w:r>
      <w:r>
        <w:rPr>
          <w:spacing w:val="-11"/>
        </w:rPr>
        <w:t> </w:t>
      </w:r>
      <w:r>
        <w:rPr/>
        <w:t>the</w:t>
      </w:r>
      <w:r>
        <w:rPr>
          <w:spacing w:val="-4"/>
        </w:rPr>
        <w:t> </w:t>
      </w:r>
      <w:r>
        <w:rPr/>
        <w:t>augmentation</w:t>
      </w:r>
      <w:r>
        <w:rPr>
          <w:spacing w:val="-9"/>
        </w:rPr>
        <w:t> </w:t>
      </w:r>
      <w:r>
        <w:rPr/>
        <w:t>to</w:t>
      </w:r>
      <w:r>
        <w:rPr>
          <w:spacing w:val="2"/>
        </w:rPr>
        <w:t> </w:t>
      </w:r>
      <w:r>
        <w:rPr/>
        <w:t>which</w:t>
      </w:r>
      <w:r>
        <w:rPr>
          <w:spacing w:val="-7"/>
        </w:rPr>
        <w:t> </w:t>
      </w:r>
      <w:r>
        <w:rPr/>
        <w:t>current</w:t>
      </w:r>
      <w:r>
        <w:rPr>
          <w:spacing w:val="3"/>
        </w:rPr>
        <w:t> </w:t>
      </w:r>
      <w:r>
        <w:rPr/>
        <w:t>liabilities</w:t>
      </w:r>
      <w:r>
        <w:rPr>
          <w:spacing w:val="-3"/>
        </w:rPr>
        <w:t> </w:t>
      </w:r>
      <w:r>
        <w:rPr/>
        <w:t>are</w:t>
      </w:r>
      <w:r>
        <w:rPr>
          <w:spacing w:val="-3"/>
        </w:rPr>
        <w:t> </w:t>
      </w:r>
      <w:r>
        <w:rPr/>
        <w:t>secured</w:t>
      </w:r>
      <w:r>
        <w:rPr>
          <w:spacing w:val="-7"/>
        </w:rPr>
        <w:t> </w:t>
      </w:r>
      <w:r>
        <w:rPr/>
        <w:t>by</w:t>
      </w:r>
      <w:r>
        <w:rPr>
          <w:spacing w:val="-11"/>
        </w:rPr>
        <w:t> </w:t>
      </w:r>
      <w:r>
        <w:rPr/>
        <w:t>those</w:t>
      </w:r>
      <w:r>
        <w:rPr>
          <w:spacing w:val="-3"/>
        </w:rPr>
        <w:t> </w:t>
      </w:r>
      <w:r>
        <w:rPr/>
        <w:t>benefits anticipated that would </w:t>
      </w:r>
      <w:r>
        <w:rPr>
          <w:spacing w:val="-3"/>
        </w:rPr>
        <w:t>be </w:t>
      </w:r>
      <w:r>
        <w:rPr/>
        <w:t>changed over to trade out the not </w:t>
      </w:r>
      <w:r>
        <w:rPr>
          <w:spacing w:val="-4"/>
        </w:rPr>
        <w:t>so </w:t>
      </w:r>
      <w:r>
        <w:rPr/>
        <w:t>distant future. Current resources typically are attractive securities, </w:t>
      </w:r>
      <w:r>
        <w:rPr>
          <w:spacing w:val="-3"/>
        </w:rPr>
        <w:t>money, </w:t>
      </w:r>
      <w:r>
        <w:rPr/>
        <w:t>inventories and records receivables. Current liabilities are transient notes payable, current developments of </w:t>
      </w:r>
      <w:r>
        <w:rPr>
          <w:spacing w:val="-3"/>
        </w:rPr>
        <w:t>long </w:t>
      </w:r>
      <w:r>
        <w:rPr/>
        <w:t>haul obligation, creditor liabilities, accumulated duties and other collected costs. </w:t>
      </w:r>
      <w:r>
        <w:rPr>
          <w:spacing w:val="-3"/>
        </w:rPr>
        <w:t>Current </w:t>
      </w:r>
      <w:r>
        <w:rPr/>
        <w:t>resources are vital </w:t>
      </w:r>
      <w:r>
        <w:rPr>
          <w:spacing w:val="2"/>
        </w:rPr>
        <w:t>to </w:t>
      </w:r>
      <w:r>
        <w:rPr/>
        <w:t>organizations since </w:t>
      </w:r>
      <w:r>
        <w:rPr>
          <w:spacing w:val="-5"/>
        </w:rPr>
        <w:t>it </w:t>
      </w:r>
      <w:r>
        <w:rPr>
          <w:spacing w:val="-3"/>
        </w:rPr>
        <w:t>is </w:t>
      </w:r>
      <w:r>
        <w:rPr/>
        <w:t>the advantages for run the</w:t>
      </w:r>
      <w:r>
        <w:rPr>
          <w:spacing w:val="3"/>
        </w:rPr>
        <w:t> </w:t>
      </w:r>
      <w:r>
        <w:rPr/>
        <w:t>organization.</w:t>
      </w:r>
    </w:p>
    <w:p>
      <w:pPr>
        <w:pStyle w:val="Heading3"/>
        <w:spacing w:line="537" w:lineRule="auto" w:before="8"/>
        <w:ind w:right="5218"/>
        <w:jc w:val="both"/>
      </w:pPr>
      <w:r>
        <w:rPr/>
        <w:pict>
          <v:shape style="position:absolute;margin-left:88.823997pt;margin-top:47.603115pt;width:451.65pt;height:126.3pt;mso-position-horizontal-relative:page;mso-position-vertical-relative:paragraph;z-index:25166438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81"/>
                    <w:gridCol w:w="3386"/>
                    <w:gridCol w:w="2252"/>
                  </w:tblGrid>
                  <w:tr>
                    <w:trPr>
                      <w:trHeight w:val="628" w:hRule="atLeast"/>
                    </w:trPr>
                    <w:tc>
                      <w:tcPr>
                        <w:tcW w:w="3381" w:type="dxa"/>
                      </w:tcPr>
                      <w:p>
                        <w:pPr>
                          <w:pStyle w:val="TableParagraph"/>
                          <w:spacing w:line="240" w:lineRule="auto"/>
                          <w:ind w:left="0"/>
                          <w:rPr>
                            <w:sz w:val="24"/>
                          </w:rPr>
                        </w:pPr>
                      </w:p>
                    </w:tc>
                    <w:tc>
                      <w:tcPr>
                        <w:tcW w:w="3386" w:type="dxa"/>
                      </w:tcPr>
                      <w:p>
                        <w:pPr>
                          <w:pStyle w:val="TableParagraph"/>
                          <w:ind w:left="1650" w:right="1206"/>
                          <w:jc w:val="center"/>
                          <w:rPr>
                            <w:b/>
                            <w:sz w:val="24"/>
                          </w:rPr>
                        </w:pPr>
                        <w:r>
                          <w:rPr>
                            <w:b/>
                            <w:sz w:val="24"/>
                          </w:rPr>
                          <w:t>2019</w:t>
                        </w:r>
                      </w:p>
                    </w:tc>
                    <w:tc>
                      <w:tcPr>
                        <w:tcW w:w="2252" w:type="dxa"/>
                        <w:tcBorders>
                          <w:right w:val="nil"/>
                        </w:tcBorders>
                      </w:tcPr>
                      <w:p>
                        <w:pPr>
                          <w:pStyle w:val="TableParagraph"/>
                          <w:ind w:left="871" w:right="855"/>
                          <w:jc w:val="center"/>
                          <w:rPr>
                            <w:b/>
                            <w:sz w:val="24"/>
                          </w:rPr>
                        </w:pPr>
                        <w:r>
                          <w:rPr>
                            <w:b/>
                            <w:sz w:val="24"/>
                          </w:rPr>
                          <w:t>2018</w:t>
                        </w:r>
                      </w:p>
                    </w:tc>
                  </w:tr>
                  <w:tr>
                    <w:trPr>
                      <w:trHeight w:val="623" w:hRule="atLeast"/>
                    </w:trPr>
                    <w:tc>
                      <w:tcPr>
                        <w:tcW w:w="3381" w:type="dxa"/>
                      </w:tcPr>
                      <w:p>
                        <w:pPr>
                          <w:pStyle w:val="TableParagraph"/>
                          <w:rPr>
                            <w:sz w:val="24"/>
                          </w:rPr>
                        </w:pPr>
                        <w:r>
                          <w:rPr>
                            <w:sz w:val="24"/>
                          </w:rPr>
                          <w:t>Current Assets</w:t>
                        </w:r>
                      </w:p>
                    </w:tc>
                    <w:tc>
                      <w:tcPr>
                        <w:tcW w:w="3386" w:type="dxa"/>
                      </w:tcPr>
                      <w:p>
                        <w:pPr>
                          <w:pStyle w:val="TableParagraph"/>
                          <w:ind w:left="109"/>
                          <w:rPr>
                            <w:sz w:val="24"/>
                          </w:rPr>
                        </w:pPr>
                        <w:r>
                          <w:rPr>
                            <w:sz w:val="24"/>
                          </w:rPr>
                          <w:t>239066.57</w:t>
                        </w:r>
                      </w:p>
                    </w:tc>
                    <w:tc>
                      <w:tcPr>
                        <w:tcW w:w="2252" w:type="dxa"/>
                        <w:tcBorders>
                          <w:right w:val="nil"/>
                        </w:tcBorders>
                      </w:tcPr>
                      <w:p>
                        <w:pPr>
                          <w:pStyle w:val="TableParagraph"/>
                          <w:ind w:left="109"/>
                          <w:rPr>
                            <w:sz w:val="24"/>
                          </w:rPr>
                        </w:pPr>
                        <w:r>
                          <w:rPr>
                            <w:sz w:val="24"/>
                          </w:rPr>
                          <w:t>209439.45</w:t>
                        </w:r>
                      </w:p>
                    </w:tc>
                  </w:tr>
                  <w:tr>
                    <w:trPr>
                      <w:trHeight w:val="628" w:hRule="atLeast"/>
                    </w:trPr>
                    <w:tc>
                      <w:tcPr>
                        <w:tcW w:w="3381" w:type="dxa"/>
                      </w:tcPr>
                      <w:p>
                        <w:pPr>
                          <w:pStyle w:val="TableParagraph"/>
                          <w:ind w:left="129"/>
                          <w:rPr>
                            <w:sz w:val="24"/>
                          </w:rPr>
                        </w:pPr>
                        <w:r>
                          <w:rPr>
                            <w:sz w:val="24"/>
                          </w:rPr>
                          <w:t>Current Liabilities</w:t>
                        </w:r>
                      </w:p>
                    </w:tc>
                    <w:tc>
                      <w:tcPr>
                        <w:tcW w:w="3386" w:type="dxa"/>
                      </w:tcPr>
                      <w:p>
                        <w:pPr>
                          <w:pStyle w:val="TableParagraph"/>
                          <w:ind w:left="109"/>
                          <w:rPr>
                            <w:sz w:val="24"/>
                          </w:rPr>
                        </w:pPr>
                        <w:r>
                          <w:rPr>
                            <w:sz w:val="24"/>
                          </w:rPr>
                          <w:t>227658.45</w:t>
                        </w:r>
                      </w:p>
                    </w:tc>
                    <w:tc>
                      <w:tcPr>
                        <w:tcW w:w="2252" w:type="dxa"/>
                        <w:tcBorders>
                          <w:right w:val="nil"/>
                        </w:tcBorders>
                      </w:tcPr>
                      <w:p>
                        <w:pPr>
                          <w:pStyle w:val="TableParagraph"/>
                          <w:ind w:left="109"/>
                          <w:rPr>
                            <w:sz w:val="24"/>
                          </w:rPr>
                        </w:pPr>
                        <w:r>
                          <w:rPr>
                            <w:sz w:val="24"/>
                          </w:rPr>
                          <w:t>199066.35</w:t>
                        </w:r>
                      </w:p>
                    </w:tc>
                  </w:tr>
                  <w:tr>
                    <w:trPr>
                      <w:trHeight w:val="595" w:hRule="atLeast"/>
                    </w:trPr>
                    <w:tc>
                      <w:tcPr>
                        <w:tcW w:w="3381" w:type="dxa"/>
                      </w:tcPr>
                      <w:p>
                        <w:pPr>
                          <w:pStyle w:val="TableParagraph"/>
                          <w:rPr>
                            <w:sz w:val="24"/>
                          </w:rPr>
                        </w:pPr>
                        <w:r>
                          <w:rPr>
                            <w:sz w:val="24"/>
                          </w:rPr>
                          <w:t>Current Ratio</w:t>
                        </w:r>
                      </w:p>
                    </w:tc>
                    <w:tc>
                      <w:tcPr>
                        <w:tcW w:w="3386" w:type="dxa"/>
                      </w:tcPr>
                      <w:p>
                        <w:pPr>
                          <w:pStyle w:val="TableParagraph"/>
                          <w:ind w:left="109"/>
                          <w:rPr>
                            <w:sz w:val="24"/>
                          </w:rPr>
                        </w:pPr>
                        <w:r>
                          <w:rPr>
                            <w:sz w:val="24"/>
                          </w:rPr>
                          <w:t>1.050</w:t>
                        </w:r>
                      </w:p>
                    </w:tc>
                    <w:tc>
                      <w:tcPr>
                        <w:tcW w:w="2252" w:type="dxa"/>
                        <w:tcBorders>
                          <w:right w:val="nil"/>
                        </w:tcBorders>
                      </w:tcPr>
                      <w:p>
                        <w:pPr>
                          <w:pStyle w:val="TableParagraph"/>
                          <w:ind w:left="109"/>
                          <w:rPr>
                            <w:sz w:val="24"/>
                          </w:rPr>
                        </w:pPr>
                        <w:r>
                          <w:rPr>
                            <w:sz w:val="24"/>
                          </w:rPr>
                          <w:t>1.052</w:t>
                        </w:r>
                      </w:p>
                    </w:tc>
                  </w:tr>
                </w:tbl>
                <w:p>
                  <w:pPr>
                    <w:pStyle w:val="BodyText"/>
                  </w:pPr>
                </w:p>
              </w:txbxContent>
            </v:textbox>
            <w10:wrap type="none"/>
          </v:shape>
        </w:pict>
      </w:r>
      <w:r>
        <w:rPr/>
        <w:t>Current Ratio = Current Assets /</w:t>
      </w:r>
      <w:r>
        <w:rPr>
          <w:spacing w:val="-14"/>
        </w:rPr>
        <w:t> </w:t>
      </w:r>
      <w:r>
        <w:rPr/>
        <w:t>Current Liabilities (Amount in</w:t>
      </w:r>
      <w:r>
        <w:rPr>
          <w:spacing w:val="1"/>
        </w:rPr>
        <w:t> </w:t>
      </w:r>
      <w:r>
        <w:rPr/>
        <w:t>millions)</w:t>
      </w: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spacing w:before="9"/>
        <w:rPr>
          <w:b/>
          <w:sz w:val="30"/>
        </w:rPr>
      </w:pPr>
    </w:p>
    <w:p>
      <w:pPr>
        <w:spacing w:before="1"/>
        <w:ind w:left="695" w:right="0" w:firstLine="0"/>
        <w:jc w:val="left"/>
        <w:rPr>
          <w:b/>
          <w:sz w:val="28"/>
        </w:rPr>
      </w:pPr>
      <w:r>
        <w:rPr>
          <w:b/>
          <w:sz w:val="28"/>
        </w:rPr>
        <w:t>Graph chart</w:t>
      </w:r>
    </w:p>
    <w:p>
      <w:pPr>
        <w:pStyle w:val="BodyText"/>
        <w:spacing w:before="10"/>
        <w:rPr>
          <w:b/>
          <w:sz w:val="12"/>
        </w:rPr>
      </w:pPr>
      <w:r>
        <w:rPr/>
        <w:pict>
          <v:group style="position:absolute;margin-left:97.491997pt;margin-top:9.412197pt;width:441.75pt;height:176.4pt;mso-position-horizontal-relative:page;mso-position-vertical-relative:paragraph;z-index:-251653120;mso-wrap-distance-left:0;mso-wrap-distance-right:0" coordorigin="1950,188" coordsize="8835,3528">
            <v:line style="position:absolute" from="4589,1417" to="8560,2300" stroked="true" strokeweight="2.25pt" strokecolor="#5b9bd3">
              <v:stroke dashstyle="solid"/>
            </v:line>
            <v:line style="position:absolute" from="2604,976" to="10546,976" stroked="true" strokeweight=".75pt" strokecolor="#d9d9d9">
              <v:stroke dashstyle="solid"/>
            </v:line>
            <v:line style="position:absolute" from="5883,3406" to="6286,3406" stroked="true" strokeweight="2.25pt" strokecolor="#5b9bd3">
              <v:stroke dashstyle="solid"/>
            </v:line>
            <v:rect style="position:absolute;left:1957;top:195;width:8820;height:3513" filled="false" stroked="true" strokeweight=".75pt" strokecolor="#d9d9d9">
              <v:stroke dashstyle="solid"/>
            </v:rect>
            <v:shape style="position:absolute;left:6326;top:3320;width:620;height:188" type="#_x0000_t75" stroked="false">
              <v:imagedata r:id="rId14" o:title=""/>
            </v:shape>
            <v:shape style="position:absolute;left:8371;top:2902;width:404;height:188" type="#_x0000_t75" stroked="false">
              <v:imagedata r:id="rId15" o:title=""/>
            </v:shape>
            <v:shape style="position:absolute;left:4396;top:2902;width:408;height:188" type="#_x0000_t75" stroked="false">
              <v:imagedata r:id="rId15" o:title=""/>
            </v:shape>
            <v:shape style="position:absolute;left:2092;top:886;width:360;height:1959" type="#_x0000_t75" stroked="false">
              <v:imagedata r:id="rId16" o:title=""/>
            </v:shape>
            <v:shape style="position:absolute;left:5904;top:416;width:951;height:293" type="#_x0000_t75" stroked="false">
              <v:imagedata r:id="rId17" o:title=""/>
            </v:shape>
            <v:shape style="position:absolute;left:6328;top:3336;width:59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 1</w:t>
                    </w:r>
                  </w:p>
                </w:txbxContent>
              </v:textbox>
              <w10:wrap type="none"/>
            </v:shape>
            <v:shape style="position:absolute;left:8374;top:2918;width:387;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2019</w:t>
                    </w:r>
                  </w:p>
                </w:txbxContent>
              </v:textbox>
              <w10:wrap type="none"/>
            </v:shape>
            <v:shape style="position:absolute;left:4398;top:2918;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2018</w:t>
                    </w:r>
                  </w:p>
                </w:txbxContent>
              </v:textbox>
              <w10:wrap type="none"/>
            </v:shape>
            <v:shape style="position:absolute;left:2093;top:435;width:8509;height:2320" type="#_x0000_t202" filled="false" stroked="false">
              <v:textbox inset="0,0,0,0">
                <w:txbxContent>
                  <w:p>
                    <w:pPr>
                      <w:spacing w:line="284" w:lineRule="exact" w:before="0"/>
                      <w:ind w:left="3792" w:right="3792" w:firstLine="0"/>
                      <w:jc w:val="center"/>
                      <w:rPr>
                        <w:rFonts w:ascii="Calibri"/>
                        <w:sz w:val="28"/>
                      </w:rPr>
                    </w:pPr>
                    <w:r>
                      <w:rPr>
                        <w:rFonts w:ascii="Calibri"/>
                        <w:color w:val="575757"/>
                        <w:sz w:val="28"/>
                      </w:rPr>
                      <w:t>Series 1</w:t>
                    </w:r>
                  </w:p>
                  <w:p>
                    <w:pPr>
                      <w:spacing w:before="147"/>
                      <w:ind w:left="0" w:right="0" w:firstLine="0"/>
                      <w:jc w:val="left"/>
                      <w:rPr>
                        <w:rFonts w:ascii="Calibri"/>
                        <w:sz w:val="18"/>
                      </w:rPr>
                    </w:pPr>
                    <w:r>
                      <w:rPr>
                        <w:rFonts w:ascii="Calibri"/>
                        <w:color w:val="575757"/>
                        <w:sz w:val="18"/>
                      </w:rPr>
                      <w:t>1.53</w:t>
                    </w:r>
                  </w:p>
                  <w:p>
                    <w:pPr>
                      <w:spacing w:line="240" w:lineRule="auto" w:before="4"/>
                      <w:rPr>
                        <w:b/>
                        <w:sz w:val="16"/>
                      </w:rPr>
                    </w:pPr>
                  </w:p>
                  <w:p>
                    <w:pPr>
                      <w:tabs>
                        <w:tab w:pos="8488" w:val="left" w:leader="none"/>
                      </w:tabs>
                      <w:spacing w:before="1"/>
                      <w:ind w:left="0" w:right="0" w:firstLine="0"/>
                      <w:jc w:val="left"/>
                      <w:rPr>
                        <w:rFonts w:ascii="Calibri"/>
                        <w:sz w:val="18"/>
                      </w:rPr>
                    </w:pPr>
                    <w:r>
                      <w:rPr>
                        <w:rFonts w:ascii="Calibri"/>
                        <w:color w:val="575757"/>
                        <w:sz w:val="18"/>
                      </w:rPr>
                      <w:t>1.52    </w:t>
                    </w:r>
                    <w:r>
                      <w:rPr>
                        <w:rFonts w:ascii="Calibri"/>
                        <w:color w:val="575757"/>
                        <w:spacing w:val="-16"/>
                        <w:sz w:val="18"/>
                      </w:rPr>
                      <w:t> </w:t>
                    </w:r>
                    <w:r>
                      <w:rPr>
                        <w:rFonts w:ascii="Calibri"/>
                        <w:color w:val="575757"/>
                        <w:w w:val="101"/>
                        <w:sz w:val="18"/>
                        <w:u w:val="single" w:color="D9D9D9"/>
                      </w:rPr>
                      <w:t> </w:t>
                    </w:r>
                    <w:r>
                      <w:rPr>
                        <w:rFonts w:ascii="Calibri"/>
                        <w:color w:val="575757"/>
                        <w:sz w:val="18"/>
                        <w:u w:val="single" w:color="D9D9D9"/>
                      </w:rPr>
                      <w:tab/>
                    </w:r>
                  </w:p>
                  <w:p>
                    <w:pPr>
                      <w:spacing w:line="240" w:lineRule="auto" w:before="7"/>
                      <w:rPr>
                        <w:b/>
                        <w:sz w:val="17"/>
                      </w:rPr>
                    </w:pPr>
                  </w:p>
                  <w:p>
                    <w:pPr>
                      <w:tabs>
                        <w:tab w:pos="8488" w:val="left" w:leader="none"/>
                      </w:tabs>
                      <w:spacing w:before="0"/>
                      <w:ind w:left="0" w:right="0" w:firstLine="0"/>
                      <w:jc w:val="left"/>
                      <w:rPr>
                        <w:rFonts w:ascii="Calibri"/>
                        <w:sz w:val="18"/>
                      </w:rPr>
                    </w:pPr>
                    <w:r>
                      <w:rPr>
                        <w:rFonts w:ascii="Calibri"/>
                        <w:color w:val="575757"/>
                        <w:sz w:val="18"/>
                      </w:rPr>
                      <w:t>1.51    </w:t>
                    </w:r>
                    <w:r>
                      <w:rPr>
                        <w:rFonts w:ascii="Calibri"/>
                        <w:color w:val="575757"/>
                        <w:spacing w:val="-16"/>
                        <w:sz w:val="18"/>
                      </w:rPr>
                      <w:t> </w:t>
                    </w:r>
                    <w:r>
                      <w:rPr>
                        <w:rFonts w:ascii="Calibri"/>
                        <w:color w:val="575757"/>
                        <w:w w:val="101"/>
                        <w:sz w:val="18"/>
                        <w:u w:val="single" w:color="D9D9D9"/>
                      </w:rPr>
                      <w:t> </w:t>
                    </w:r>
                    <w:r>
                      <w:rPr>
                        <w:rFonts w:ascii="Calibri"/>
                        <w:color w:val="575757"/>
                        <w:sz w:val="18"/>
                        <w:u w:val="single" w:color="D9D9D9"/>
                      </w:rPr>
                      <w:tab/>
                    </w:r>
                  </w:p>
                  <w:p>
                    <w:pPr>
                      <w:spacing w:line="240" w:lineRule="auto" w:before="2"/>
                      <w:rPr>
                        <w:b/>
                        <w:sz w:val="17"/>
                      </w:rPr>
                    </w:pPr>
                  </w:p>
                  <w:p>
                    <w:pPr>
                      <w:tabs>
                        <w:tab w:pos="8488" w:val="left" w:leader="none"/>
                      </w:tabs>
                      <w:spacing w:before="0"/>
                      <w:ind w:left="91" w:right="0" w:firstLine="0"/>
                      <w:jc w:val="left"/>
                      <w:rPr>
                        <w:rFonts w:ascii="Calibri"/>
                        <w:sz w:val="18"/>
                      </w:rPr>
                    </w:pPr>
                    <w:r>
                      <w:rPr>
                        <w:rFonts w:ascii="Calibri"/>
                        <w:color w:val="575757"/>
                        <w:sz w:val="18"/>
                      </w:rPr>
                      <w:t>1.5    </w:t>
                    </w:r>
                    <w:r>
                      <w:rPr>
                        <w:rFonts w:ascii="Calibri"/>
                        <w:color w:val="575757"/>
                        <w:spacing w:val="-17"/>
                        <w:sz w:val="18"/>
                      </w:rPr>
                      <w:t> </w:t>
                    </w:r>
                    <w:r>
                      <w:rPr>
                        <w:rFonts w:ascii="Calibri"/>
                        <w:color w:val="575757"/>
                        <w:w w:val="101"/>
                        <w:sz w:val="18"/>
                        <w:u w:val="single" w:color="D9D9D9"/>
                      </w:rPr>
                      <w:t> </w:t>
                    </w:r>
                    <w:r>
                      <w:rPr>
                        <w:rFonts w:ascii="Calibri"/>
                        <w:color w:val="575757"/>
                        <w:sz w:val="18"/>
                        <w:u w:val="single" w:color="D9D9D9"/>
                      </w:rPr>
                      <w:tab/>
                    </w:r>
                  </w:p>
                  <w:p>
                    <w:pPr>
                      <w:spacing w:line="240" w:lineRule="auto" w:before="8"/>
                      <w:rPr>
                        <w:b/>
                        <w:sz w:val="17"/>
                      </w:rPr>
                    </w:pPr>
                  </w:p>
                  <w:p>
                    <w:pPr>
                      <w:tabs>
                        <w:tab w:pos="8488" w:val="left" w:leader="none"/>
                      </w:tabs>
                      <w:spacing w:line="217" w:lineRule="exact" w:before="0"/>
                      <w:ind w:left="0" w:right="0" w:firstLine="0"/>
                      <w:jc w:val="left"/>
                      <w:rPr>
                        <w:rFonts w:ascii="Calibri"/>
                        <w:sz w:val="18"/>
                      </w:rPr>
                    </w:pPr>
                    <w:r>
                      <w:rPr>
                        <w:rFonts w:ascii="Calibri"/>
                        <w:color w:val="575757"/>
                        <w:sz w:val="18"/>
                      </w:rPr>
                      <w:t>1.49    </w:t>
                    </w:r>
                    <w:r>
                      <w:rPr>
                        <w:rFonts w:ascii="Calibri"/>
                        <w:color w:val="575757"/>
                        <w:spacing w:val="-16"/>
                        <w:sz w:val="18"/>
                      </w:rPr>
                      <w:t> </w:t>
                    </w:r>
                    <w:r>
                      <w:rPr>
                        <w:rFonts w:ascii="Calibri"/>
                        <w:color w:val="575757"/>
                        <w:w w:val="101"/>
                        <w:sz w:val="18"/>
                        <w:u w:val="single" w:color="D9D9D9"/>
                      </w:rPr>
                      <w:t> </w:t>
                    </w:r>
                    <w:r>
                      <w:rPr>
                        <w:rFonts w:ascii="Calibri"/>
                        <w:color w:val="575757"/>
                        <w:sz w:val="18"/>
                        <w:u w:val="single" w:color="D9D9D9"/>
                      </w:rPr>
                      <w:tab/>
                    </w:r>
                  </w:p>
                </w:txbxContent>
              </v:textbox>
              <w10:wrap type="none"/>
            </v:shape>
            <w10:wrap type="topAndBottom"/>
          </v:group>
        </w:pict>
      </w:r>
    </w:p>
    <w:p>
      <w:pPr>
        <w:spacing w:after="0"/>
        <w:rPr>
          <w:sz w:val="12"/>
        </w:rPr>
        <w:sectPr>
          <w:pgSz w:w="12240" w:h="15840"/>
          <w:pgMar w:header="0" w:footer="1039" w:top="1380" w:bottom="1220" w:left="1100" w:right="1300"/>
        </w:sectPr>
      </w:pPr>
    </w:p>
    <w:p>
      <w:pPr>
        <w:spacing w:before="72"/>
        <w:ind w:left="340" w:right="0" w:firstLine="0"/>
        <w:jc w:val="left"/>
        <w:rPr>
          <w:sz w:val="24"/>
        </w:rPr>
      </w:pPr>
      <w:r>
        <w:rPr>
          <w:b/>
          <w:sz w:val="24"/>
        </w:rPr>
        <w:t>Interpretation</w:t>
      </w:r>
      <w:r>
        <w:rPr>
          <w:sz w:val="24"/>
        </w:rPr>
        <w:t>:</w:t>
      </w:r>
    </w:p>
    <w:p>
      <w:pPr>
        <w:pStyle w:val="BodyText"/>
        <w:spacing w:line="362" w:lineRule="auto" w:before="137"/>
        <w:ind w:left="340" w:right="140"/>
        <w:jc w:val="both"/>
      </w:pPr>
      <w:r>
        <w:rPr/>
        <w:t>The current ratio for the year 2018 &amp; 2019 is 1.52 &amp; 1.50 respectively, compared to the standard ratio of 2:1 this ratio is lower which shows low short-term liquidity efficiency at the same time holding but decent current assets mean inefficient use of resources.</w:t>
      </w:r>
    </w:p>
    <w:p>
      <w:pPr>
        <w:pStyle w:val="BodyText"/>
        <w:spacing w:before="8"/>
        <w:rPr>
          <w:sz w:val="35"/>
        </w:rPr>
      </w:pPr>
    </w:p>
    <w:p>
      <w:pPr>
        <w:pStyle w:val="Heading3"/>
        <w:spacing w:before="1"/>
      </w:pPr>
      <w:r>
        <w:rPr/>
        <w:t>Quick Ratio</w:t>
      </w:r>
    </w:p>
    <w:p>
      <w:pPr>
        <w:pStyle w:val="BodyText"/>
        <w:spacing w:line="362" w:lineRule="auto" w:before="132"/>
        <w:ind w:left="340"/>
      </w:pPr>
      <w:r>
        <w:rPr/>
        <w:t>The</w:t>
      </w:r>
      <w:r>
        <w:rPr>
          <w:spacing w:val="-7"/>
        </w:rPr>
        <w:t> </w:t>
      </w:r>
      <w:r>
        <w:rPr/>
        <w:t>quick</w:t>
      </w:r>
      <w:r>
        <w:rPr>
          <w:spacing w:val="-5"/>
        </w:rPr>
        <w:t> </w:t>
      </w:r>
      <w:r>
        <w:rPr/>
        <w:t>ratio</w:t>
      </w:r>
      <w:r>
        <w:rPr>
          <w:spacing w:val="-1"/>
        </w:rPr>
        <w:t> </w:t>
      </w:r>
      <w:r>
        <w:rPr>
          <w:spacing w:val="-3"/>
        </w:rPr>
        <w:t>is</w:t>
      </w:r>
      <w:r>
        <w:rPr>
          <w:spacing w:val="-13"/>
        </w:rPr>
        <w:t> </w:t>
      </w:r>
      <w:r>
        <w:rPr/>
        <w:t>a</w:t>
      </w:r>
      <w:r>
        <w:rPr>
          <w:spacing w:val="-6"/>
        </w:rPr>
        <w:t> </w:t>
      </w:r>
      <w:r>
        <w:rPr/>
        <w:t>sum</w:t>
      </w:r>
      <w:r>
        <w:rPr>
          <w:spacing w:val="-14"/>
        </w:rPr>
        <w:t> </w:t>
      </w:r>
      <w:r>
        <w:rPr/>
        <w:t>of</w:t>
      </w:r>
      <w:r>
        <w:rPr>
          <w:spacing w:val="-14"/>
        </w:rPr>
        <w:t> </w:t>
      </w:r>
      <w:r>
        <w:rPr/>
        <w:t>how</w:t>
      </w:r>
      <w:r>
        <w:rPr>
          <w:spacing w:val="-6"/>
        </w:rPr>
        <w:t> </w:t>
      </w:r>
      <w:r>
        <w:rPr/>
        <w:t>well</w:t>
      </w:r>
      <w:r>
        <w:rPr>
          <w:spacing w:val="-14"/>
        </w:rPr>
        <w:t> </w:t>
      </w:r>
      <w:r>
        <w:rPr/>
        <w:t>an</w:t>
      </w:r>
      <w:r>
        <w:rPr>
          <w:spacing w:val="-11"/>
        </w:rPr>
        <w:t> </w:t>
      </w:r>
      <w:r>
        <w:rPr/>
        <w:t>organization</w:t>
      </w:r>
      <w:r>
        <w:rPr>
          <w:spacing w:val="-8"/>
        </w:rPr>
        <w:t> </w:t>
      </w:r>
      <w:r>
        <w:rPr/>
        <w:t>can</w:t>
      </w:r>
      <w:r>
        <w:rPr>
          <w:spacing w:val="-6"/>
        </w:rPr>
        <w:t> </w:t>
      </w:r>
      <w:r>
        <w:rPr/>
        <w:t>merger its</w:t>
      </w:r>
      <w:r>
        <w:rPr>
          <w:spacing w:val="-7"/>
        </w:rPr>
        <w:t> </w:t>
      </w:r>
      <w:r>
        <w:rPr/>
        <w:t>short-term</w:t>
      </w:r>
      <w:r>
        <w:rPr>
          <w:spacing w:val="-14"/>
        </w:rPr>
        <w:t> </w:t>
      </w:r>
      <w:r>
        <w:rPr/>
        <w:t>financial</w:t>
      </w:r>
      <w:r>
        <w:rPr>
          <w:spacing w:val="-9"/>
        </w:rPr>
        <w:t> </w:t>
      </w:r>
      <w:r>
        <w:rPr/>
        <w:t>liabilities. It’s </w:t>
      </w:r>
      <w:r>
        <w:rPr>
          <w:spacing w:val="-3"/>
        </w:rPr>
        <w:t>also </w:t>
      </w:r>
      <w:r>
        <w:rPr/>
        <w:t>known as Acid test</w:t>
      </w:r>
      <w:r>
        <w:rPr>
          <w:spacing w:val="10"/>
        </w:rPr>
        <w:t> </w:t>
      </w:r>
      <w:r>
        <w:rPr/>
        <w:t>ratio.</w:t>
      </w:r>
    </w:p>
    <w:p>
      <w:pPr>
        <w:pStyle w:val="Heading3"/>
        <w:spacing w:before="2"/>
      </w:pPr>
      <w:r>
        <w:rPr/>
        <w:t>Quick Ratio = Current assets - Inventory / Current liabilities (Amount in millions)</w:t>
      </w:r>
    </w:p>
    <w:p>
      <w:pPr>
        <w:pStyle w:val="BodyText"/>
        <w:spacing w:before="2"/>
        <w:rPr>
          <w:b/>
          <w:sz w:val="12"/>
        </w:rPr>
      </w:pPr>
    </w:p>
    <w:tbl>
      <w:tblPr>
        <w:tblW w:w="0" w:type="auto"/>
        <w:jc w:val="left"/>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30"/>
        <w:gridCol w:w="2819"/>
        <w:gridCol w:w="2824"/>
      </w:tblGrid>
      <w:tr>
        <w:trPr>
          <w:trHeight w:val="532" w:hRule="atLeast"/>
        </w:trPr>
        <w:tc>
          <w:tcPr>
            <w:tcW w:w="2930" w:type="dxa"/>
          </w:tcPr>
          <w:p>
            <w:pPr>
              <w:pStyle w:val="TableParagraph"/>
              <w:spacing w:line="268" w:lineRule="exact"/>
              <w:rPr>
                <w:sz w:val="24"/>
              </w:rPr>
            </w:pPr>
            <w:r>
              <w:rPr>
                <w:sz w:val="24"/>
              </w:rPr>
              <w:t>Year</w:t>
            </w:r>
          </w:p>
        </w:tc>
        <w:tc>
          <w:tcPr>
            <w:tcW w:w="2819" w:type="dxa"/>
          </w:tcPr>
          <w:p>
            <w:pPr>
              <w:pStyle w:val="TableParagraph"/>
              <w:spacing w:line="268" w:lineRule="exact"/>
              <w:ind w:left="109"/>
              <w:rPr>
                <w:sz w:val="24"/>
              </w:rPr>
            </w:pPr>
            <w:r>
              <w:rPr>
                <w:sz w:val="24"/>
              </w:rPr>
              <w:t>2019</w:t>
            </w:r>
          </w:p>
        </w:tc>
        <w:tc>
          <w:tcPr>
            <w:tcW w:w="2824" w:type="dxa"/>
          </w:tcPr>
          <w:p>
            <w:pPr>
              <w:pStyle w:val="TableParagraph"/>
              <w:spacing w:line="268" w:lineRule="exact"/>
              <w:ind w:left="109"/>
              <w:rPr>
                <w:sz w:val="24"/>
              </w:rPr>
            </w:pPr>
            <w:r>
              <w:rPr>
                <w:sz w:val="24"/>
              </w:rPr>
              <w:t>2018</w:t>
            </w:r>
          </w:p>
        </w:tc>
      </w:tr>
      <w:tr>
        <w:trPr>
          <w:trHeight w:val="504" w:hRule="atLeast"/>
        </w:trPr>
        <w:tc>
          <w:tcPr>
            <w:tcW w:w="2930" w:type="dxa"/>
          </w:tcPr>
          <w:p>
            <w:pPr>
              <w:pStyle w:val="TableParagraph"/>
              <w:rPr>
                <w:sz w:val="24"/>
              </w:rPr>
            </w:pPr>
            <w:r>
              <w:rPr>
                <w:sz w:val="24"/>
              </w:rPr>
              <w:t>Current assets</w:t>
            </w:r>
          </w:p>
        </w:tc>
        <w:tc>
          <w:tcPr>
            <w:tcW w:w="2819" w:type="dxa"/>
          </w:tcPr>
          <w:p>
            <w:pPr>
              <w:pStyle w:val="TableParagraph"/>
              <w:ind w:left="109"/>
              <w:rPr>
                <w:sz w:val="24"/>
              </w:rPr>
            </w:pPr>
            <w:r>
              <w:rPr>
                <w:sz w:val="24"/>
              </w:rPr>
              <w:t>239066.57</w:t>
            </w:r>
          </w:p>
        </w:tc>
        <w:tc>
          <w:tcPr>
            <w:tcW w:w="2824" w:type="dxa"/>
          </w:tcPr>
          <w:p>
            <w:pPr>
              <w:pStyle w:val="TableParagraph"/>
              <w:ind w:left="109"/>
              <w:rPr>
                <w:sz w:val="24"/>
              </w:rPr>
            </w:pPr>
            <w:r>
              <w:rPr>
                <w:sz w:val="24"/>
              </w:rPr>
              <w:t>209439.45</w:t>
            </w:r>
          </w:p>
        </w:tc>
      </w:tr>
      <w:tr>
        <w:trPr>
          <w:trHeight w:val="532" w:hRule="atLeast"/>
        </w:trPr>
        <w:tc>
          <w:tcPr>
            <w:tcW w:w="2930" w:type="dxa"/>
          </w:tcPr>
          <w:p>
            <w:pPr>
              <w:pStyle w:val="TableParagraph"/>
              <w:spacing w:line="268" w:lineRule="exact"/>
              <w:rPr>
                <w:sz w:val="24"/>
              </w:rPr>
            </w:pPr>
            <w:r>
              <w:rPr>
                <w:sz w:val="24"/>
              </w:rPr>
              <w:t>Inventory</w:t>
            </w:r>
          </w:p>
        </w:tc>
        <w:tc>
          <w:tcPr>
            <w:tcW w:w="2819" w:type="dxa"/>
          </w:tcPr>
          <w:p>
            <w:pPr>
              <w:pStyle w:val="TableParagraph"/>
              <w:spacing w:line="268" w:lineRule="exact"/>
              <w:ind w:left="109"/>
              <w:rPr>
                <w:sz w:val="24"/>
              </w:rPr>
            </w:pPr>
            <w:r>
              <w:rPr>
                <w:sz w:val="24"/>
              </w:rPr>
              <w:t>000</w:t>
            </w:r>
          </w:p>
        </w:tc>
        <w:tc>
          <w:tcPr>
            <w:tcW w:w="2824" w:type="dxa"/>
          </w:tcPr>
          <w:p>
            <w:pPr>
              <w:pStyle w:val="TableParagraph"/>
              <w:spacing w:line="268" w:lineRule="exact"/>
              <w:ind w:left="109"/>
              <w:rPr>
                <w:sz w:val="24"/>
              </w:rPr>
            </w:pPr>
            <w:r>
              <w:rPr>
                <w:sz w:val="24"/>
              </w:rPr>
              <w:t>000</w:t>
            </w:r>
          </w:p>
        </w:tc>
      </w:tr>
      <w:tr>
        <w:trPr>
          <w:trHeight w:val="498" w:hRule="atLeast"/>
        </w:trPr>
        <w:tc>
          <w:tcPr>
            <w:tcW w:w="2930" w:type="dxa"/>
          </w:tcPr>
          <w:p>
            <w:pPr>
              <w:pStyle w:val="TableParagraph"/>
              <w:spacing w:line="268" w:lineRule="exact"/>
              <w:rPr>
                <w:sz w:val="24"/>
              </w:rPr>
            </w:pPr>
            <w:r>
              <w:rPr>
                <w:sz w:val="24"/>
              </w:rPr>
              <w:t>Current liabilities</w:t>
            </w:r>
          </w:p>
        </w:tc>
        <w:tc>
          <w:tcPr>
            <w:tcW w:w="2819" w:type="dxa"/>
          </w:tcPr>
          <w:p>
            <w:pPr>
              <w:pStyle w:val="TableParagraph"/>
              <w:spacing w:line="268" w:lineRule="exact"/>
              <w:ind w:left="109"/>
              <w:rPr>
                <w:sz w:val="24"/>
              </w:rPr>
            </w:pPr>
            <w:r>
              <w:rPr>
                <w:sz w:val="24"/>
              </w:rPr>
              <w:t>227658.45</w:t>
            </w:r>
          </w:p>
        </w:tc>
        <w:tc>
          <w:tcPr>
            <w:tcW w:w="2824" w:type="dxa"/>
          </w:tcPr>
          <w:p>
            <w:pPr>
              <w:pStyle w:val="TableParagraph"/>
              <w:spacing w:line="268" w:lineRule="exact"/>
              <w:ind w:left="109"/>
              <w:rPr>
                <w:sz w:val="24"/>
              </w:rPr>
            </w:pPr>
            <w:r>
              <w:rPr>
                <w:sz w:val="24"/>
              </w:rPr>
              <w:t>199066.35</w:t>
            </w:r>
          </w:p>
        </w:tc>
      </w:tr>
      <w:tr>
        <w:trPr>
          <w:trHeight w:val="503" w:hRule="atLeast"/>
        </w:trPr>
        <w:tc>
          <w:tcPr>
            <w:tcW w:w="2930" w:type="dxa"/>
          </w:tcPr>
          <w:p>
            <w:pPr>
              <w:pStyle w:val="TableParagraph"/>
              <w:rPr>
                <w:sz w:val="24"/>
              </w:rPr>
            </w:pPr>
            <w:r>
              <w:rPr>
                <w:sz w:val="24"/>
              </w:rPr>
              <w:t>Quick Ratio</w:t>
            </w:r>
          </w:p>
        </w:tc>
        <w:tc>
          <w:tcPr>
            <w:tcW w:w="2819" w:type="dxa"/>
          </w:tcPr>
          <w:p>
            <w:pPr>
              <w:pStyle w:val="TableParagraph"/>
              <w:ind w:left="109"/>
              <w:rPr>
                <w:sz w:val="24"/>
              </w:rPr>
            </w:pPr>
            <w:r>
              <w:rPr>
                <w:sz w:val="24"/>
              </w:rPr>
              <w:t>1.050</w:t>
            </w:r>
          </w:p>
        </w:tc>
        <w:tc>
          <w:tcPr>
            <w:tcW w:w="2824" w:type="dxa"/>
          </w:tcPr>
          <w:p>
            <w:pPr>
              <w:pStyle w:val="TableParagraph"/>
              <w:ind w:left="109"/>
              <w:rPr>
                <w:sz w:val="24"/>
              </w:rPr>
            </w:pPr>
            <w:r>
              <w:rPr>
                <w:sz w:val="24"/>
              </w:rPr>
              <w:t>1.052</w:t>
            </w:r>
          </w:p>
        </w:tc>
      </w:tr>
    </w:tbl>
    <w:p>
      <w:pPr>
        <w:spacing w:before="204"/>
        <w:ind w:left="340" w:right="0" w:firstLine="0"/>
        <w:jc w:val="left"/>
        <w:rPr>
          <w:b/>
          <w:sz w:val="28"/>
        </w:rPr>
      </w:pPr>
      <w:r>
        <w:rPr/>
        <w:pict>
          <v:line style="position:absolute;mso-position-horizontal-relative:page;mso-position-vertical-relative:paragraph;z-index:-256136192" from="126.870003pt,108.500305pt" to="527.200003pt,108.500305pt" stroked="true" strokeweight=".75pt" strokecolor="#d9d9d9">
            <v:stroke dashstyle="solid"/>
            <w10:wrap type="none"/>
          </v:line>
        </w:pict>
      </w:r>
      <w:r>
        <w:rPr/>
        <w:pict>
          <v:line style="position:absolute;mso-position-horizontal-relative:page;mso-position-vertical-relative:paragraph;z-index:-256135168" from="126.870003pt,86.250305pt" to="527.200003pt,86.250305pt" stroked="true" strokeweight=".75pt" strokecolor="#d9d9d9">
            <v:stroke dashstyle="solid"/>
            <w10:wrap type="none"/>
          </v:line>
        </w:pict>
      </w:r>
      <w:r>
        <w:rPr/>
        <w:pict>
          <v:line style="position:absolute;mso-position-horizontal-relative:page;mso-position-vertical-relative:paragraph;z-index:-256134144" from="126.870003pt,75.150307pt" to="527.200003pt,75.150307pt" stroked="true" strokeweight=".75pt" strokecolor="#d9d9d9">
            <v:stroke dashstyle="solid"/>
            <w10:wrap type="none"/>
          </v:line>
        </w:pict>
      </w:r>
      <w:r>
        <w:rPr/>
        <w:pict>
          <v:line style="position:absolute;mso-position-horizontal-relative:page;mso-position-vertical-relative:paragraph;z-index:-256133120" from="126.870003pt,64.040306pt" to="527.200003pt,64.040306pt" stroked="true" strokeweight=".75pt" strokecolor="#d9d9d9">
            <v:stroke dashstyle="solid"/>
            <w10:wrap type="none"/>
          </v:line>
        </w:pict>
      </w:r>
      <w:r>
        <w:rPr/>
        <w:drawing>
          <wp:anchor distT="0" distB="0" distL="0" distR="0" allowOverlap="1" layoutInCell="1" locked="0" behindDoc="1" simplePos="0" relativeHeight="247187456">
            <wp:simplePos x="0" y="0"/>
            <wp:positionH relativeFrom="page">
              <wp:posOffset>3706367</wp:posOffset>
            </wp:positionH>
            <wp:positionV relativeFrom="paragraph">
              <wp:posOffset>550040</wp:posOffset>
            </wp:positionV>
            <wp:extent cx="555519" cy="138112"/>
            <wp:effectExtent l="0" t="0" r="0" b="0"/>
            <wp:wrapNone/>
            <wp:docPr id="5" name="image7.png"/>
            <wp:cNvGraphicFramePr>
              <a:graphicFrameLocks noChangeAspect="1"/>
            </wp:cNvGraphicFramePr>
            <a:graphic>
              <a:graphicData uri="http://schemas.openxmlformats.org/drawingml/2006/picture">
                <pic:pic>
                  <pic:nvPicPr>
                    <pic:cNvPr id="6" name="image7.png"/>
                    <pic:cNvPicPr/>
                  </pic:nvPicPr>
                  <pic:blipFill>
                    <a:blip r:embed="rId18" cstate="print"/>
                    <a:stretch>
                      <a:fillRect/>
                    </a:stretch>
                  </pic:blipFill>
                  <pic:spPr>
                    <a:xfrm>
                      <a:off x="0" y="0"/>
                      <a:ext cx="555519" cy="138112"/>
                    </a:xfrm>
                    <a:prstGeom prst="rect">
                      <a:avLst/>
                    </a:prstGeom>
                  </pic:spPr>
                </pic:pic>
              </a:graphicData>
            </a:graphic>
          </wp:anchor>
        </w:drawing>
      </w:r>
      <w:r>
        <w:rPr>
          <w:b/>
          <w:sz w:val="28"/>
        </w:rPr>
        <w:t>Graph chart</w:t>
      </w:r>
    </w:p>
    <w:p>
      <w:pPr>
        <w:pStyle w:val="BodyText"/>
        <w:spacing w:before="6"/>
        <w:rPr>
          <w:b/>
          <w:sz w:val="11"/>
        </w:rPr>
      </w:pPr>
      <w:r>
        <w:rPr/>
        <w:pict>
          <v:group style="position:absolute;margin-left:88.125pt;margin-top:8.636367pt;width:450.05pt;height:142.950pt;mso-position-horizontal-relative:page;mso-position-vertical-relative:paragraph;z-index:-251650048;mso-wrap-distance-left:0;mso-wrap-distance-right:0" coordorigin="1763,173" coordsize="9001,2859">
            <v:shape style="position:absolute;left:1896;top:690;width:504;height:1695" type="#_x0000_t75" stroked="false">
              <v:imagedata r:id="rId19" o:title=""/>
            </v:shape>
            <v:shape style="position:absolute;left:1770;top:180;width:8986;height:2844" type="#_x0000_t202" filled="false" stroked="true" strokeweight=".75pt" strokecolor="#d9d9d9">
              <v:textbox inset="0,0,0,0">
                <w:txbxContent>
                  <w:p>
                    <w:pPr>
                      <w:spacing w:before="114"/>
                      <w:ind w:left="4041" w:right="4211" w:firstLine="0"/>
                      <w:jc w:val="center"/>
                      <w:rPr>
                        <w:rFonts w:ascii="Calibri"/>
                        <w:sz w:val="28"/>
                      </w:rPr>
                    </w:pPr>
                    <w:r>
                      <w:rPr>
                        <w:rFonts w:ascii="Calibri"/>
                        <w:color w:val="575757"/>
                        <w:sz w:val="28"/>
                      </w:rPr>
                      <w:t>Series</w:t>
                    </w:r>
                  </w:p>
                  <w:p>
                    <w:pPr>
                      <w:spacing w:before="27"/>
                      <w:ind w:left="118" w:right="0" w:firstLine="0"/>
                      <w:jc w:val="left"/>
                      <w:rPr>
                        <w:rFonts w:ascii="Calibri"/>
                        <w:sz w:val="18"/>
                      </w:rPr>
                    </w:pPr>
                    <w:r>
                      <w:rPr>
                        <w:rFonts w:ascii="Calibri"/>
                        <w:color w:val="575757"/>
                        <w:sz w:val="18"/>
                      </w:rPr>
                      <w:t>1.0525</w:t>
                    </w:r>
                  </w:p>
                  <w:p>
                    <w:pPr>
                      <w:spacing w:before="54"/>
                      <w:ind w:left="210" w:right="0" w:firstLine="0"/>
                      <w:jc w:val="left"/>
                      <w:rPr>
                        <w:rFonts w:ascii="Calibri"/>
                        <w:sz w:val="18"/>
                      </w:rPr>
                    </w:pPr>
                    <w:r>
                      <w:rPr>
                        <w:rFonts w:ascii="Calibri"/>
                        <w:color w:val="575757"/>
                        <w:sz w:val="18"/>
                      </w:rPr>
                      <w:t>1.052</w:t>
                    </w:r>
                  </w:p>
                  <w:p>
                    <w:pPr>
                      <w:tabs>
                        <w:tab w:pos="8803" w:val="left" w:leader="none"/>
                      </w:tabs>
                      <w:spacing w:before="68"/>
                      <w:ind w:left="118" w:right="0" w:firstLine="0"/>
                      <w:jc w:val="left"/>
                      <w:rPr>
                        <w:rFonts w:ascii="Calibri"/>
                        <w:sz w:val="18"/>
                      </w:rPr>
                    </w:pPr>
                    <w:r>
                      <w:rPr>
                        <w:rFonts w:ascii="Calibri"/>
                        <w:color w:val="575757"/>
                        <w:sz w:val="18"/>
                      </w:rPr>
                      <w:t>1.0515  </w:t>
                    </w:r>
                    <w:r>
                      <w:rPr>
                        <w:rFonts w:ascii="Calibri"/>
                        <w:color w:val="575757"/>
                        <w:spacing w:val="11"/>
                        <w:sz w:val="18"/>
                      </w:rPr>
                      <w:t> </w:t>
                    </w:r>
                    <w:r>
                      <w:rPr>
                        <w:rFonts w:ascii="Calibri"/>
                        <w:color w:val="575757"/>
                        <w:w w:val="101"/>
                        <w:sz w:val="18"/>
                        <w:u w:val="single" w:color="D9D9D9"/>
                      </w:rPr>
                      <w:t> </w:t>
                    </w:r>
                    <w:r>
                      <w:rPr>
                        <w:rFonts w:ascii="Calibri"/>
                        <w:color w:val="575757"/>
                        <w:sz w:val="18"/>
                        <w:u w:val="single" w:color="D9D9D9"/>
                      </w:rPr>
                      <w:tab/>
                    </w:r>
                  </w:p>
                  <w:p>
                    <w:pPr>
                      <w:spacing w:before="69"/>
                      <w:ind w:left="210" w:right="0" w:firstLine="0"/>
                      <w:jc w:val="left"/>
                      <w:rPr>
                        <w:rFonts w:ascii="Calibri"/>
                        <w:sz w:val="18"/>
                      </w:rPr>
                    </w:pPr>
                    <w:r>
                      <w:rPr>
                        <w:rFonts w:ascii="Calibri"/>
                        <w:color w:val="575757"/>
                        <w:sz w:val="18"/>
                      </w:rPr>
                      <w:t>1.051</w:t>
                    </w:r>
                  </w:p>
                  <w:p>
                    <w:pPr>
                      <w:spacing w:before="68"/>
                      <w:ind w:left="118" w:right="0" w:firstLine="0"/>
                      <w:jc w:val="left"/>
                      <w:rPr>
                        <w:rFonts w:ascii="Calibri"/>
                        <w:sz w:val="18"/>
                      </w:rPr>
                    </w:pPr>
                    <w:r>
                      <w:rPr>
                        <w:rFonts w:ascii="Calibri"/>
                        <w:color w:val="575757"/>
                        <w:sz w:val="18"/>
                      </w:rPr>
                      <w:t>1.0505</w:t>
                    </w:r>
                  </w:p>
                  <w:p>
                    <w:pPr>
                      <w:tabs>
                        <w:tab w:pos="6591" w:val="left" w:leader="none"/>
                        <w:tab w:pos="8803" w:val="left" w:leader="none"/>
                      </w:tabs>
                      <w:spacing w:line="345" w:lineRule="auto" w:before="63"/>
                      <w:ind w:left="2587" w:right="165" w:hanging="2286"/>
                      <w:jc w:val="left"/>
                      <w:rPr>
                        <w:rFonts w:ascii="Calibri"/>
                        <w:sz w:val="18"/>
                      </w:rPr>
                    </w:pPr>
                    <w:r>
                      <w:rPr>
                        <w:rFonts w:ascii="Calibri"/>
                        <w:color w:val="575757"/>
                        <w:sz w:val="18"/>
                      </w:rPr>
                      <w:t>1.05</w:t>
                    </w:r>
                    <w:r>
                      <w:rPr>
                        <w:rFonts w:ascii="Calibri"/>
                        <w:color w:val="575757"/>
                        <w:sz w:val="18"/>
                        <w:u w:val="single" w:color="D9D9D9"/>
                      </w:rPr>
                      <w:tab/>
                      <w:tab/>
                      <w:tab/>
                    </w:r>
                    <w:r>
                      <w:rPr>
                        <w:rFonts w:ascii="Calibri"/>
                        <w:color w:val="575757"/>
                        <w:sz w:val="18"/>
                      </w:rPr>
                      <w:t> 2018</w:t>
                      <w:tab/>
                      <w:t>2019</w:t>
                    </w:r>
                  </w:p>
                  <w:p>
                    <w:pPr>
                      <w:spacing w:line="212" w:lineRule="exact" w:before="0"/>
                      <w:ind w:left="4450" w:right="0" w:firstLine="0"/>
                      <w:jc w:val="left"/>
                      <w:rPr>
                        <w:rFonts w:ascii="Calibri"/>
                        <w:sz w:val="18"/>
                      </w:rPr>
                    </w:pPr>
                    <w:r>
                      <w:rPr>
                        <w:rFonts w:ascii="Calibri"/>
                        <w:color w:val="575757"/>
                        <w:sz w:val="18"/>
                      </w:rPr>
                      <w:t>Series</w:t>
                    </w:r>
                  </w:p>
                </w:txbxContent>
              </v:textbox>
              <v:stroke dashstyle="solid"/>
              <w10:wrap type="none"/>
            </v:shape>
            <w10:wrap type="topAndBottom"/>
          </v:group>
        </w:pict>
      </w:r>
    </w:p>
    <w:p>
      <w:pPr>
        <w:spacing w:before="1"/>
        <w:ind w:left="340" w:right="0" w:firstLine="0"/>
        <w:jc w:val="left"/>
        <w:rPr>
          <w:b/>
          <w:sz w:val="24"/>
        </w:rPr>
      </w:pPr>
      <w:r>
        <w:rPr>
          <w:b/>
          <w:sz w:val="24"/>
        </w:rPr>
        <w:t>Interpretation:</w:t>
      </w:r>
    </w:p>
    <w:p>
      <w:pPr>
        <w:pStyle w:val="BodyText"/>
        <w:spacing w:before="132"/>
        <w:ind w:left="340"/>
      </w:pPr>
      <w:r>
        <w:rPr/>
        <w:pict>
          <v:line style="position:absolute;mso-position-horizontal-relative:page;mso-position-vertical-relative:paragraph;z-index:-256138240" from="126.870003pt,-62.476875pt" to="527.200003pt,-62.476875pt" stroked="true" strokeweight=".75pt" strokecolor="#d9d9d9">
            <v:stroke dashstyle="solid"/>
            <w10:wrap type="none"/>
          </v:line>
        </w:pict>
      </w:r>
      <w:r>
        <w:rPr/>
        <w:pict>
          <v:group style="position:absolute;margin-left:126.870003pt;margin-top:-74.711876pt;width:400.35pt;height:2.25pt;mso-position-horizontal-relative:page;mso-position-vertical-relative:paragraph;z-index:-256137216" coordorigin="2537,-1494" coordsize="8007,45">
            <v:line style="position:absolute" from="2537,-1471" to="10544,-1471" stroked="true" strokeweight=".75pt" strokecolor="#d9d9d9">
              <v:stroke dashstyle="solid"/>
            </v:line>
            <v:line style="position:absolute" from="4539,-1472" to="8542,-1472" stroked="true" strokeweight="2.25pt" strokecolor="#5b9bd3">
              <v:stroke dashstyle="solid"/>
            </v:line>
            <w10:wrap type="none"/>
          </v:group>
        </w:pict>
      </w:r>
      <w:r>
        <w:rPr/>
        <w:pict>
          <v:group style="position:absolute;margin-left:290.950012pt;margin-top:-30.126875pt;width:48.65pt;height:7pt;mso-position-horizontal-relative:page;mso-position-vertical-relative:paragraph;z-index:-256132096" coordorigin="5819,-603" coordsize="973,140">
            <v:line style="position:absolute" from="5819,-537" to="6188,-537" stroked="true" strokeweight="2.25pt" strokecolor="#5b9bd3">
              <v:stroke dashstyle="solid"/>
            </v:line>
            <v:shape style="position:absolute;left:6230;top:-603;width:562;height:140" type="#_x0000_t75" stroked="false">
              <v:imagedata r:id="rId20" o:title=""/>
            </v:shape>
            <w10:wrap type="none"/>
          </v:group>
        </w:pict>
      </w:r>
      <w:r>
        <w:rPr/>
        <w:drawing>
          <wp:anchor distT="0" distB="0" distL="0" distR="0" allowOverlap="1" layoutInCell="1" locked="0" behindDoc="1" simplePos="0" relativeHeight="247185408">
            <wp:simplePos x="0" y="0"/>
            <wp:positionH relativeFrom="page">
              <wp:posOffset>5312664</wp:posOffset>
            </wp:positionH>
            <wp:positionV relativeFrom="paragraph">
              <wp:posOffset>-577683</wp:posOffset>
            </wp:positionV>
            <wp:extent cx="235454" cy="88677"/>
            <wp:effectExtent l="0" t="0" r="0" b="0"/>
            <wp:wrapNone/>
            <wp:docPr id="7" name="image10.png"/>
            <wp:cNvGraphicFramePr>
              <a:graphicFrameLocks noChangeAspect="1"/>
            </wp:cNvGraphicFramePr>
            <a:graphic>
              <a:graphicData uri="http://schemas.openxmlformats.org/drawingml/2006/picture">
                <pic:pic>
                  <pic:nvPicPr>
                    <pic:cNvPr id="8" name="image10.png"/>
                    <pic:cNvPicPr/>
                  </pic:nvPicPr>
                  <pic:blipFill>
                    <a:blip r:embed="rId21" cstate="print"/>
                    <a:stretch>
                      <a:fillRect/>
                    </a:stretch>
                  </pic:blipFill>
                  <pic:spPr>
                    <a:xfrm>
                      <a:off x="0" y="0"/>
                      <a:ext cx="235454" cy="88677"/>
                    </a:xfrm>
                    <a:prstGeom prst="rect">
                      <a:avLst/>
                    </a:prstGeom>
                  </pic:spPr>
                </pic:pic>
              </a:graphicData>
            </a:graphic>
          </wp:anchor>
        </w:drawing>
      </w:r>
      <w:r>
        <w:rPr/>
        <w:drawing>
          <wp:anchor distT="0" distB="0" distL="0" distR="0" allowOverlap="1" layoutInCell="1" locked="0" behindDoc="1" simplePos="0" relativeHeight="247186432">
            <wp:simplePos x="0" y="0"/>
            <wp:positionH relativeFrom="page">
              <wp:posOffset>2770632</wp:posOffset>
            </wp:positionH>
            <wp:positionV relativeFrom="paragraph">
              <wp:posOffset>-577683</wp:posOffset>
            </wp:positionV>
            <wp:extent cx="235454" cy="88677"/>
            <wp:effectExtent l="0" t="0" r="0" b="0"/>
            <wp:wrapNone/>
            <wp:docPr id="9" name="image10.png"/>
            <wp:cNvGraphicFramePr>
              <a:graphicFrameLocks noChangeAspect="1"/>
            </wp:cNvGraphicFramePr>
            <a:graphic>
              <a:graphicData uri="http://schemas.openxmlformats.org/drawingml/2006/picture">
                <pic:pic>
                  <pic:nvPicPr>
                    <pic:cNvPr id="10" name="image10.png"/>
                    <pic:cNvPicPr/>
                  </pic:nvPicPr>
                  <pic:blipFill>
                    <a:blip r:embed="rId21" cstate="print"/>
                    <a:stretch>
                      <a:fillRect/>
                    </a:stretch>
                  </pic:blipFill>
                  <pic:spPr>
                    <a:xfrm>
                      <a:off x="0" y="0"/>
                      <a:ext cx="235454" cy="88677"/>
                    </a:xfrm>
                    <a:prstGeom prst="rect">
                      <a:avLst/>
                    </a:prstGeom>
                  </pic:spPr>
                </pic:pic>
              </a:graphicData>
            </a:graphic>
          </wp:anchor>
        </w:drawing>
      </w:r>
      <w:r>
        <w:rPr/>
        <w:t>Quick Ratio or Acid Test Ratio almost in 2018 &amp; 2019 is 1.050 &amp; 1.052.</w:t>
      </w:r>
    </w:p>
    <w:p>
      <w:pPr>
        <w:pStyle w:val="BodyText"/>
        <w:rPr>
          <w:sz w:val="26"/>
        </w:rPr>
      </w:pPr>
    </w:p>
    <w:p>
      <w:pPr>
        <w:pStyle w:val="BodyText"/>
        <w:spacing w:before="2"/>
        <w:rPr>
          <w:sz w:val="22"/>
        </w:rPr>
      </w:pPr>
    </w:p>
    <w:p>
      <w:pPr>
        <w:pStyle w:val="Heading3"/>
        <w:spacing w:before="1"/>
        <w:jc w:val="both"/>
      </w:pPr>
      <w:r>
        <w:rPr/>
        <w:t>Net Working Capital</w:t>
      </w:r>
    </w:p>
    <w:p>
      <w:pPr>
        <w:pStyle w:val="BodyText"/>
        <w:spacing w:line="360" w:lineRule="auto" w:before="136"/>
        <w:ind w:left="340" w:right="152"/>
        <w:jc w:val="both"/>
      </w:pPr>
      <w:r>
        <w:rPr/>
        <w:t>Working capital known as net working capital, its show difference between a company’s current assets and current liabilities. Current assets are cash, inventories of raw materials and finished goods, accounts receivable and Current Liabilities are accounts payable.</w:t>
      </w:r>
    </w:p>
    <w:p>
      <w:pPr>
        <w:spacing w:after="0" w:line="360" w:lineRule="auto"/>
        <w:jc w:val="both"/>
        <w:sectPr>
          <w:pgSz w:w="12240" w:h="15840"/>
          <w:pgMar w:header="0" w:footer="1039" w:top="1360" w:bottom="1220" w:left="1100" w:right="1300"/>
        </w:sectPr>
      </w:pPr>
    </w:p>
    <w:p>
      <w:pPr>
        <w:pStyle w:val="Heading3"/>
        <w:spacing w:line="360" w:lineRule="auto" w:before="77"/>
        <w:ind w:right="2143"/>
      </w:pPr>
      <w:r>
        <w:rPr/>
        <w:t>Net Working Capital = Total Current Assets – Total Current Liabilities (Amount in millions)</w:t>
      </w:r>
    </w:p>
    <w:tbl>
      <w:tblPr>
        <w:tblW w:w="0" w:type="auto"/>
        <w:jc w:val="left"/>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01"/>
        <w:gridCol w:w="2900"/>
        <w:gridCol w:w="2895"/>
      </w:tblGrid>
      <w:tr>
        <w:trPr>
          <w:trHeight w:val="705" w:hRule="atLeast"/>
        </w:trPr>
        <w:tc>
          <w:tcPr>
            <w:tcW w:w="2901" w:type="dxa"/>
          </w:tcPr>
          <w:p>
            <w:pPr>
              <w:pStyle w:val="TableParagraph"/>
              <w:spacing w:line="240" w:lineRule="auto" w:before="2"/>
              <w:rPr>
                <w:sz w:val="24"/>
              </w:rPr>
            </w:pPr>
            <w:r>
              <w:rPr>
                <w:sz w:val="24"/>
              </w:rPr>
              <w:t>Year</w:t>
            </w:r>
          </w:p>
        </w:tc>
        <w:tc>
          <w:tcPr>
            <w:tcW w:w="2900" w:type="dxa"/>
          </w:tcPr>
          <w:p>
            <w:pPr>
              <w:pStyle w:val="TableParagraph"/>
              <w:spacing w:line="240" w:lineRule="auto" w:before="2"/>
              <w:ind w:left="109"/>
              <w:rPr>
                <w:sz w:val="24"/>
              </w:rPr>
            </w:pPr>
            <w:r>
              <w:rPr>
                <w:sz w:val="24"/>
              </w:rPr>
              <w:t>2019</w:t>
            </w:r>
          </w:p>
        </w:tc>
        <w:tc>
          <w:tcPr>
            <w:tcW w:w="2895" w:type="dxa"/>
          </w:tcPr>
          <w:p>
            <w:pPr>
              <w:pStyle w:val="TableParagraph"/>
              <w:spacing w:line="240" w:lineRule="auto" w:before="2"/>
              <w:ind w:left="109"/>
              <w:rPr>
                <w:sz w:val="24"/>
              </w:rPr>
            </w:pPr>
            <w:r>
              <w:rPr>
                <w:sz w:val="24"/>
              </w:rPr>
              <w:t>2018</w:t>
            </w:r>
          </w:p>
        </w:tc>
      </w:tr>
      <w:tr>
        <w:trPr>
          <w:trHeight w:val="642" w:hRule="atLeast"/>
        </w:trPr>
        <w:tc>
          <w:tcPr>
            <w:tcW w:w="2901" w:type="dxa"/>
          </w:tcPr>
          <w:p>
            <w:pPr>
              <w:pStyle w:val="TableParagraph"/>
              <w:spacing w:line="240" w:lineRule="auto" w:before="1"/>
              <w:rPr>
                <w:sz w:val="24"/>
              </w:rPr>
            </w:pPr>
            <w:r>
              <w:rPr>
                <w:sz w:val="24"/>
              </w:rPr>
              <w:t>Total Current Assets</w:t>
            </w:r>
          </w:p>
        </w:tc>
        <w:tc>
          <w:tcPr>
            <w:tcW w:w="2900" w:type="dxa"/>
          </w:tcPr>
          <w:p>
            <w:pPr>
              <w:pStyle w:val="TableParagraph"/>
              <w:spacing w:line="240" w:lineRule="auto" w:before="1"/>
              <w:ind w:left="109"/>
              <w:rPr>
                <w:sz w:val="24"/>
              </w:rPr>
            </w:pPr>
            <w:r>
              <w:rPr>
                <w:sz w:val="24"/>
              </w:rPr>
              <w:t>239066.57</w:t>
            </w:r>
          </w:p>
        </w:tc>
        <w:tc>
          <w:tcPr>
            <w:tcW w:w="2895" w:type="dxa"/>
          </w:tcPr>
          <w:p>
            <w:pPr>
              <w:pStyle w:val="TableParagraph"/>
              <w:spacing w:line="240" w:lineRule="auto" w:before="1"/>
              <w:ind w:left="109"/>
              <w:rPr>
                <w:sz w:val="24"/>
              </w:rPr>
            </w:pPr>
            <w:r>
              <w:rPr>
                <w:sz w:val="24"/>
              </w:rPr>
              <w:t>209439.45</w:t>
            </w:r>
          </w:p>
        </w:tc>
      </w:tr>
      <w:tr>
        <w:trPr>
          <w:trHeight w:val="705" w:hRule="atLeast"/>
        </w:trPr>
        <w:tc>
          <w:tcPr>
            <w:tcW w:w="2901" w:type="dxa"/>
          </w:tcPr>
          <w:p>
            <w:pPr>
              <w:pStyle w:val="TableParagraph"/>
              <w:rPr>
                <w:sz w:val="24"/>
              </w:rPr>
            </w:pPr>
            <w:r>
              <w:rPr>
                <w:sz w:val="24"/>
              </w:rPr>
              <w:t>Total Current Liabilities</w:t>
            </w:r>
          </w:p>
        </w:tc>
        <w:tc>
          <w:tcPr>
            <w:tcW w:w="2900" w:type="dxa"/>
          </w:tcPr>
          <w:p>
            <w:pPr>
              <w:pStyle w:val="TableParagraph"/>
              <w:ind w:left="109"/>
              <w:rPr>
                <w:sz w:val="24"/>
              </w:rPr>
            </w:pPr>
            <w:r>
              <w:rPr>
                <w:sz w:val="24"/>
              </w:rPr>
              <w:t>227658.45</w:t>
            </w:r>
          </w:p>
        </w:tc>
        <w:tc>
          <w:tcPr>
            <w:tcW w:w="2895" w:type="dxa"/>
          </w:tcPr>
          <w:p>
            <w:pPr>
              <w:pStyle w:val="TableParagraph"/>
              <w:ind w:left="109"/>
              <w:rPr>
                <w:sz w:val="24"/>
              </w:rPr>
            </w:pPr>
            <w:r>
              <w:rPr>
                <w:sz w:val="24"/>
              </w:rPr>
              <w:t>199066.35</w:t>
            </w:r>
          </w:p>
        </w:tc>
      </w:tr>
      <w:tr>
        <w:trPr>
          <w:trHeight w:val="666" w:hRule="atLeast"/>
        </w:trPr>
        <w:tc>
          <w:tcPr>
            <w:tcW w:w="2901" w:type="dxa"/>
          </w:tcPr>
          <w:p>
            <w:pPr>
              <w:pStyle w:val="TableParagraph"/>
              <w:rPr>
                <w:sz w:val="24"/>
              </w:rPr>
            </w:pPr>
            <w:r>
              <w:rPr>
                <w:sz w:val="24"/>
              </w:rPr>
              <w:t>Net Working Capital</w:t>
            </w:r>
          </w:p>
        </w:tc>
        <w:tc>
          <w:tcPr>
            <w:tcW w:w="2900" w:type="dxa"/>
          </w:tcPr>
          <w:p>
            <w:pPr>
              <w:pStyle w:val="TableParagraph"/>
              <w:ind w:left="109"/>
              <w:rPr>
                <w:sz w:val="24"/>
              </w:rPr>
            </w:pPr>
            <w:r>
              <w:rPr>
                <w:sz w:val="24"/>
              </w:rPr>
              <w:t>10373.10</w:t>
            </w:r>
          </w:p>
        </w:tc>
        <w:tc>
          <w:tcPr>
            <w:tcW w:w="2895" w:type="dxa"/>
          </w:tcPr>
          <w:p>
            <w:pPr>
              <w:pStyle w:val="TableParagraph"/>
              <w:ind w:left="109"/>
              <w:rPr>
                <w:sz w:val="24"/>
              </w:rPr>
            </w:pPr>
            <w:r>
              <w:rPr>
                <w:sz w:val="24"/>
              </w:rPr>
              <w:t>10373.10</w:t>
            </w:r>
          </w:p>
        </w:tc>
      </w:tr>
    </w:tbl>
    <w:p>
      <w:pPr>
        <w:spacing w:before="204"/>
        <w:ind w:left="340" w:right="0" w:firstLine="0"/>
        <w:jc w:val="left"/>
        <w:rPr>
          <w:b/>
          <w:sz w:val="28"/>
        </w:rPr>
      </w:pPr>
      <w:r>
        <w:rPr>
          <w:b/>
          <w:sz w:val="28"/>
        </w:rPr>
        <w:t>Graph</w:t>
      </w:r>
      <w:r>
        <w:rPr>
          <w:b/>
          <w:spacing w:val="-8"/>
          <w:sz w:val="28"/>
        </w:rPr>
        <w:t> </w:t>
      </w:r>
      <w:r>
        <w:rPr>
          <w:b/>
          <w:sz w:val="28"/>
        </w:rPr>
        <w:t>chart</w:t>
      </w:r>
    </w:p>
    <w:p>
      <w:pPr>
        <w:pStyle w:val="BodyText"/>
        <w:spacing w:before="6"/>
        <w:rPr>
          <w:b/>
          <w:sz w:val="11"/>
        </w:rPr>
      </w:pPr>
      <w:r>
        <w:rPr/>
        <w:pict>
          <v:group style="position:absolute;margin-left:58.104pt;margin-top:8.981367pt;width:483.65pt;height:171.7pt;mso-position-horizontal-relative:page;mso-position-vertical-relative:paragraph;z-index:-251633664;mso-wrap-distance-left:0;mso-wrap-distance-right:0" coordorigin="1162,180" coordsize="9673,3434">
            <v:line style="position:absolute" from="2193,2137" to="10835,2137" stroked="true" strokeweight=".75pt" strokecolor="#d9d9d9">
              <v:stroke dashstyle="solid"/>
            </v:line>
            <v:line style="position:absolute" from="2193,1835" to="10835,1835" stroked="true" strokeweight=".75pt" strokecolor="#d9d9d9">
              <v:stroke dashstyle="solid"/>
            </v:line>
            <v:line style="position:absolute" from="2193,1531" to="10835,1531" stroked="true" strokeweight=".75pt" strokecolor="#d9d9d9">
              <v:stroke dashstyle="solid"/>
            </v:line>
            <v:line style="position:absolute" from="2193,1229" to="10835,1229" stroked="true" strokeweight=".75pt" strokecolor="#d9d9d9">
              <v:stroke dashstyle="solid"/>
            </v:line>
            <v:line style="position:absolute" from="4353,1172" to="8674,1172" stroked="true" strokeweight="2.25pt" strokecolor="#5b9bd3">
              <v:stroke dashstyle="solid"/>
            </v:line>
            <v:line style="position:absolute" from="2193,926" to="10835,926" stroked="true" strokeweight=".75pt" strokecolor="#d9d9d9">
              <v:stroke dashstyle="solid"/>
            </v:line>
            <v:line style="position:absolute" from="1176,187" to="10717,187" stroked="true" strokeweight=".72pt" strokecolor="#d9d9d9">
              <v:stroke dashstyle="solid"/>
            </v:line>
            <v:line style="position:absolute" from="1169,180" to="1169,3613" stroked="true" strokeweight=".72pt" strokecolor="#d9d9d9">
              <v:stroke dashstyle="solid"/>
            </v:line>
            <v:line style="position:absolute" from="1176,3606" to="10717,3606" stroked="true" strokeweight=".72pt" strokecolor="#d9d9d9">
              <v:stroke dashstyle="solid"/>
            </v:line>
            <v:line style="position:absolute" from="10725,180" to="10725,3613" stroked="true" strokeweight=".71997pt" strokecolor="#d9d9d9">
              <v:stroke dashstyle="solid"/>
            </v:line>
            <v:shape style="position:absolute;left:5512;top:393;width:901;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 1</w:t>
                    </w:r>
                  </w:p>
                </w:txbxContent>
              </v:textbox>
              <w10:wrap type="none"/>
            </v:shape>
            <v:shape style="position:absolute;left:1210;top:845;width:476;height:1998" type="#_x0000_t202" filled="false" stroked="false">
              <v:textbox inset="0,0,0,0">
                <w:txbxContent>
                  <w:p>
                    <w:pPr>
                      <w:spacing w:line="185" w:lineRule="exact" w:before="0"/>
                      <w:ind w:left="-1" w:right="18" w:firstLine="0"/>
                      <w:jc w:val="center"/>
                      <w:rPr>
                        <w:rFonts w:ascii="Calibri"/>
                        <w:sz w:val="18"/>
                      </w:rPr>
                    </w:pPr>
                    <w:r>
                      <w:rPr>
                        <w:rFonts w:ascii="Calibri"/>
                        <w:color w:val="575757"/>
                        <w:spacing w:val="-2"/>
                        <w:sz w:val="18"/>
                      </w:rPr>
                      <w:t>12000</w:t>
                    </w:r>
                  </w:p>
                  <w:p>
                    <w:pPr>
                      <w:spacing w:before="82"/>
                      <w:ind w:left="-1" w:right="18" w:firstLine="0"/>
                      <w:jc w:val="center"/>
                      <w:rPr>
                        <w:rFonts w:ascii="Calibri"/>
                        <w:sz w:val="18"/>
                      </w:rPr>
                    </w:pPr>
                    <w:r>
                      <w:rPr>
                        <w:rFonts w:ascii="Calibri"/>
                        <w:color w:val="575757"/>
                        <w:spacing w:val="-2"/>
                        <w:sz w:val="18"/>
                      </w:rPr>
                      <w:t>10000</w:t>
                    </w:r>
                  </w:p>
                  <w:p>
                    <w:pPr>
                      <w:spacing w:before="83"/>
                      <w:ind w:left="5" w:right="18" w:firstLine="0"/>
                      <w:jc w:val="center"/>
                      <w:rPr>
                        <w:rFonts w:ascii="Calibri"/>
                        <w:sz w:val="18"/>
                      </w:rPr>
                    </w:pPr>
                    <w:r>
                      <w:rPr>
                        <w:rFonts w:ascii="Calibri"/>
                        <w:color w:val="575757"/>
                        <w:sz w:val="18"/>
                      </w:rPr>
                      <w:t>8000</w:t>
                    </w:r>
                  </w:p>
                  <w:p>
                    <w:pPr>
                      <w:spacing w:before="83"/>
                      <w:ind w:left="5" w:right="18" w:firstLine="0"/>
                      <w:jc w:val="center"/>
                      <w:rPr>
                        <w:rFonts w:ascii="Calibri"/>
                        <w:sz w:val="18"/>
                      </w:rPr>
                    </w:pPr>
                    <w:r>
                      <w:rPr>
                        <w:rFonts w:ascii="Calibri"/>
                        <w:color w:val="575757"/>
                        <w:sz w:val="18"/>
                      </w:rPr>
                      <w:t>6000</w:t>
                    </w:r>
                  </w:p>
                  <w:p>
                    <w:pPr>
                      <w:spacing w:before="83"/>
                      <w:ind w:left="5" w:right="18" w:firstLine="0"/>
                      <w:jc w:val="center"/>
                      <w:rPr>
                        <w:rFonts w:ascii="Calibri"/>
                        <w:sz w:val="18"/>
                      </w:rPr>
                    </w:pPr>
                    <w:r>
                      <w:rPr>
                        <w:rFonts w:ascii="Calibri"/>
                        <w:color w:val="575757"/>
                        <w:sz w:val="18"/>
                      </w:rPr>
                      <w:t>4000</w:t>
                    </w:r>
                  </w:p>
                  <w:p>
                    <w:pPr>
                      <w:spacing w:before="82"/>
                      <w:ind w:left="5" w:right="18" w:firstLine="0"/>
                      <w:jc w:val="center"/>
                      <w:rPr>
                        <w:rFonts w:ascii="Calibri"/>
                        <w:sz w:val="18"/>
                      </w:rPr>
                    </w:pPr>
                    <w:r>
                      <w:rPr>
                        <w:rFonts w:ascii="Calibri"/>
                        <w:color w:val="575757"/>
                        <w:sz w:val="18"/>
                      </w:rPr>
                      <w:t>2000</w:t>
                    </w:r>
                  </w:p>
                  <w:p>
                    <w:pPr>
                      <w:spacing w:line="217" w:lineRule="exact" w:before="83"/>
                      <w:ind w:left="0" w:right="16" w:firstLine="0"/>
                      <w:jc w:val="center"/>
                      <w:rPr>
                        <w:rFonts w:ascii="Calibri"/>
                        <w:sz w:val="18"/>
                      </w:rPr>
                    </w:pPr>
                    <w:r>
                      <w:rPr>
                        <w:rFonts w:ascii="Calibri"/>
                        <w:color w:val="575757"/>
                        <w:w w:val="101"/>
                        <w:sz w:val="18"/>
                      </w:rPr>
                      <w:t>0</w:t>
                    </w:r>
                  </w:p>
                </w:txbxContent>
              </v:textbox>
              <w10:wrap type="none"/>
            </v:shape>
            <v:shape style="position:absolute;left:3875;top:2895;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2018</w:t>
                    </w:r>
                  </w:p>
                </w:txbxContent>
              </v:textbox>
              <w10:wrap type="none"/>
            </v:shape>
            <v:shape style="position:absolute;left:8201;top:2895;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2109</w:t>
                    </w:r>
                  </w:p>
                </w:txbxContent>
              </v:textbox>
              <w10:wrap type="none"/>
            </v:shape>
            <v:shape style="position:absolute;left:5916;top:3293;width:59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 1</w:t>
                    </w:r>
                  </w:p>
                </w:txbxContent>
              </v:textbox>
              <w10:wrap type="none"/>
            </v:shape>
            <w10:wrap type="topAndBottom"/>
          </v:group>
        </w:pict>
      </w:r>
    </w:p>
    <w:p>
      <w:pPr>
        <w:pStyle w:val="BodyText"/>
        <w:rPr>
          <w:b/>
          <w:sz w:val="25"/>
        </w:rPr>
      </w:pPr>
    </w:p>
    <w:p>
      <w:pPr>
        <w:spacing w:before="90"/>
        <w:ind w:left="340" w:right="0" w:firstLine="0"/>
        <w:jc w:val="left"/>
        <w:rPr>
          <w:b/>
          <w:sz w:val="24"/>
        </w:rPr>
      </w:pPr>
      <w:r>
        <w:rPr>
          <w:b/>
          <w:sz w:val="24"/>
        </w:rPr>
        <w:t>Interpretation</w:t>
      </w:r>
    </w:p>
    <w:p>
      <w:pPr>
        <w:pStyle w:val="BodyText"/>
        <w:spacing w:line="360" w:lineRule="auto" w:before="132"/>
        <w:ind w:left="340" w:right="263"/>
      </w:pPr>
      <w:r>
        <w:rPr>
          <w:spacing w:val="5"/>
        </w:rPr>
        <w:t>In </w:t>
      </w:r>
      <w:r>
        <w:rPr>
          <w:spacing w:val="8"/>
        </w:rPr>
        <w:t>there </w:t>
      </w:r>
      <w:r>
        <w:rPr>
          <w:spacing w:val="9"/>
        </w:rPr>
        <w:t>Working </w:t>
      </w:r>
      <w:r>
        <w:rPr>
          <w:spacing w:val="10"/>
        </w:rPr>
        <w:t>Capital </w:t>
      </w:r>
      <w:r>
        <w:rPr>
          <w:spacing w:val="7"/>
        </w:rPr>
        <w:t>ratio </w:t>
      </w:r>
      <w:r>
        <w:rPr>
          <w:spacing w:val="6"/>
        </w:rPr>
        <w:t>are </w:t>
      </w:r>
      <w:r>
        <w:rPr>
          <w:spacing w:val="5"/>
        </w:rPr>
        <w:t>same. </w:t>
      </w:r>
      <w:r>
        <w:rPr>
          <w:spacing w:val="8"/>
        </w:rPr>
        <w:t>There </w:t>
      </w:r>
      <w:r>
        <w:rPr>
          <w:spacing w:val="5"/>
        </w:rPr>
        <w:t>for </w:t>
      </w:r>
      <w:r>
        <w:rPr>
          <w:spacing w:val="6"/>
        </w:rPr>
        <w:t>the </w:t>
      </w:r>
      <w:r>
        <w:rPr>
          <w:spacing w:val="9"/>
        </w:rPr>
        <w:t>working capital </w:t>
      </w:r>
      <w:r>
        <w:rPr>
          <w:spacing w:val="7"/>
        </w:rPr>
        <w:t>of </w:t>
      </w:r>
      <w:r>
        <w:rPr>
          <w:spacing w:val="6"/>
        </w:rPr>
        <w:t>the </w:t>
      </w:r>
      <w:r>
        <w:rPr>
          <w:spacing w:val="5"/>
        </w:rPr>
        <w:t>bank </w:t>
      </w:r>
      <w:r>
        <w:rPr>
          <w:spacing w:val="2"/>
        </w:rPr>
        <w:t>is  </w:t>
      </w:r>
      <w:r>
        <w:rPr>
          <w:spacing w:val="9"/>
        </w:rPr>
        <w:t>level </w:t>
      </w:r>
      <w:r>
        <w:rPr>
          <w:spacing w:val="7"/>
        </w:rPr>
        <w:t>over </w:t>
      </w:r>
      <w:r>
        <w:rPr>
          <w:spacing w:val="6"/>
        </w:rPr>
        <w:t>the</w:t>
      </w:r>
      <w:r>
        <w:rPr>
          <w:spacing w:val="39"/>
        </w:rPr>
        <w:t> </w:t>
      </w:r>
      <w:r>
        <w:rPr>
          <w:spacing w:val="6"/>
        </w:rPr>
        <w:t>years.</w:t>
      </w:r>
    </w:p>
    <w:p>
      <w:pPr>
        <w:pStyle w:val="BodyText"/>
        <w:spacing w:before="6"/>
        <w:rPr>
          <w:sz w:val="36"/>
        </w:rPr>
      </w:pPr>
    </w:p>
    <w:p>
      <w:pPr>
        <w:pStyle w:val="Heading3"/>
        <w:numPr>
          <w:ilvl w:val="2"/>
          <w:numId w:val="14"/>
        </w:numPr>
        <w:tabs>
          <w:tab w:pos="883" w:val="left" w:leader="none"/>
        </w:tabs>
        <w:spacing w:line="240" w:lineRule="auto" w:before="0" w:after="0"/>
        <w:ind w:left="882" w:right="0" w:hanging="543"/>
        <w:jc w:val="both"/>
      </w:pPr>
      <w:r>
        <w:rPr/>
        <w:t>Leverage</w:t>
      </w:r>
      <w:r>
        <w:rPr>
          <w:spacing w:val="2"/>
        </w:rPr>
        <w:t> </w:t>
      </w:r>
      <w:r>
        <w:rPr/>
        <w:t>Ratio</w:t>
      </w:r>
    </w:p>
    <w:p>
      <w:pPr>
        <w:pStyle w:val="BodyText"/>
        <w:spacing w:line="360" w:lineRule="auto" w:before="132"/>
        <w:ind w:left="340" w:right="220"/>
        <w:jc w:val="both"/>
      </w:pPr>
      <w:r>
        <w:rPr>
          <w:spacing w:val="3"/>
        </w:rPr>
        <w:t>It </w:t>
      </w:r>
      <w:r>
        <w:rPr/>
        <w:t>is </w:t>
      </w:r>
      <w:r>
        <w:rPr>
          <w:spacing w:val="6"/>
        </w:rPr>
        <w:t>the </w:t>
      </w:r>
      <w:r>
        <w:rPr>
          <w:spacing w:val="10"/>
        </w:rPr>
        <w:t>combination </w:t>
      </w:r>
      <w:r>
        <w:rPr>
          <w:spacing w:val="4"/>
        </w:rPr>
        <w:t>of </w:t>
      </w:r>
      <w:r>
        <w:rPr>
          <w:spacing w:val="10"/>
        </w:rPr>
        <w:t>assets, </w:t>
      </w:r>
      <w:r>
        <w:rPr>
          <w:spacing w:val="7"/>
        </w:rPr>
        <w:t>debt, </w:t>
      </w:r>
      <w:r>
        <w:rPr>
          <w:spacing w:val="9"/>
        </w:rPr>
        <w:t>equity, </w:t>
      </w:r>
      <w:r>
        <w:rPr>
          <w:spacing w:val="2"/>
        </w:rPr>
        <w:t>and </w:t>
      </w:r>
      <w:r>
        <w:rPr>
          <w:spacing w:val="9"/>
        </w:rPr>
        <w:t>interest payments, leverage </w:t>
      </w:r>
      <w:r>
        <w:rPr>
          <w:spacing w:val="7"/>
        </w:rPr>
        <w:t>ratios </w:t>
      </w:r>
      <w:r>
        <w:rPr/>
        <w:t>a r e </w:t>
      </w:r>
      <w:r>
        <w:rPr>
          <w:spacing w:val="6"/>
        </w:rPr>
        <w:t>used </w:t>
      </w:r>
      <w:r>
        <w:rPr>
          <w:spacing w:val="4"/>
        </w:rPr>
        <w:t>to </w:t>
      </w:r>
      <w:r>
        <w:rPr>
          <w:spacing w:val="10"/>
        </w:rPr>
        <w:t>understand </w:t>
      </w:r>
      <w:r>
        <w:rPr/>
        <w:t>a </w:t>
      </w:r>
      <w:r>
        <w:rPr>
          <w:spacing w:val="9"/>
        </w:rPr>
        <w:t>company's ability </w:t>
      </w:r>
      <w:r>
        <w:rPr>
          <w:spacing w:val="4"/>
        </w:rPr>
        <w:t>to </w:t>
      </w:r>
      <w:r>
        <w:rPr>
          <w:spacing w:val="9"/>
        </w:rPr>
        <w:t>encounter </w:t>
      </w:r>
      <w:r>
        <w:rPr>
          <w:spacing w:val="-3"/>
        </w:rPr>
        <w:t>it </w:t>
      </w:r>
      <w:r>
        <w:rPr>
          <w:spacing w:val="5"/>
        </w:rPr>
        <w:t>long </w:t>
      </w:r>
      <w:r>
        <w:rPr>
          <w:spacing w:val="9"/>
        </w:rPr>
        <w:t>term </w:t>
      </w:r>
      <w:r>
        <w:rPr>
          <w:spacing w:val="10"/>
        </w:rPr>
        <w:t>financial</w:t>
      </w:r>
      <w:r>
        <w:rPr>
          <w:spacing w:val="74"/>
        </w:rPr>
        <w:t> </w:t>
      </w:r>
      <w:r>
        <w:rPr>
          <w:spacing w:val="9"/>
        </w:rPr>
        <w:t>liability.</w:t>
      </w:r>
    </w:p>
    <w:p>
      <w:pPr>
        <w:pStyle w:val="BodyText"/>
        <w:spacing w:line="360" w:lineRule="auto"/>
        <w:ind w:left="340" w:right="137"/>
        <w:jc w:val="both"/>
      </w:pPr>
      <w:r>
        <w:rPr/>
        <w:t>Its</w:t>
      </w:r>
      <w:r>
        <w:rPr>
          <w:spacing w:val="-8"/>
        </w:rPr>
        <w:t> </w:t>
      </w:r>
      <w:r>
        <w:rPr/>
        <w:t>measure</w:t>
      </w:r>
      <w:r>
        <w:rPr>
          <w:spacing w:val="-6"/>
        </w:rPr>
        <w:t> </w:t>
      </w:r>
      <w:r>
        <w:rPr/>
        <w:t>company's</w:t>
      </w:r>
      <w:r>
        <w:rPr>
          <w:spacing w:val="-3"/>
        </w:rPr>
        <w:t> </w:t>
      </w:r>
      <w:r>
        <w:rPr/>
        <w:t>degree</w:t>
      </w:r>
      <w:r>
        <w:rPr>
          <w:spacing w:val="-6"/>
        </w:rPr>
        <w:t> </w:t>
      </w:r>
      <w:r>
        <w:rPr/>
        <w:t>of</w:t>
      </w:r>
      <w:r>
        <w:rPr>
          <w:spacing w:val="-9"/>
        </w:rPr>
        <w:t> </w:t>
      </w:r>
      <w:r>
        <w:rPr/>
        <w:t>leverage</w:t>
      </w:r>
      <w:r>
        <w:rPr>
          <w:spacing w:val="-1"/>
        </w:rPr>
        <w:t> </w:t>
      </w:r>
      <w:r>
        <w:rPr>
          <w:spacing w:val="-3"/>
        </w:rPr>
        <w:t>is </w:t>
      </w:r>
      <w:r>
        <w:rPr/>
        <w:t>mostly</w:t>
      </w:r>
      <w:r>
        <w:rPr>
          <w:spacing w:val="-10"/>
        </w:rPr>
        <w:t> </w:t>
      </w:r>
      <w:r>
        <w:rPr/>
        <w:t>a</w:t>
      </w:r>
      <w:r>
        <w:rPr>
          <w:spacing w:val="-2"/>
        </w:rPr>
        <w:t> </w:t>
      </w:r>
      <w:r>
        <w:rPr/>
        <w:t>measure</w:t>
      </w:r>
      <w:r>
        <w:rPr>
          <w:spacing w:val="-7"/>
        </w:rPr>
        <w:t> </w:t>
      </w:r>
      <w:r>
        <w:rPr>
          <w:spacing w:val="4"/>
        </w:rPr>
        <w:t>of</w:t>
      </w:r>
      <w:r>
        <w:rPr>
          <w:spacing w:val="-13"/>
        </w:rPr>
        <w:t> </w:t>
      </w:r>
      <w:r>
        <w:rPr/>
        <w:t>risk.</w:t>
      </w:r>
      <w:r>
        <w:rPr>
          <w:spacing w:val="4"/>
        </w:rPr>
        <w:t> </w:t>
      </w:r>
      <w:r>
        <w:rPr/>
        <w:t>Leverage</w:t>
      </w:r>
      <w:r>
        <w:rPr>
          <w:spacing w:val="-6"/>
        </w:rPr>
        <w:t> </w:t>
      </w:r>
      <w:r>
        <w:rPr/>
        <w:t>ratio</w:t>
      </w:r>
      <w:r>
        <w:rPr>
          <w:spacing w:val="3"/>
        </w:rPr>
        <w:t> </w:t>
      </w:r>
      <w:r>
        <w:rPr>
          <w:spacing w:val="-5"/>
        </w:rPr>
        <w:t>is</w:t>
      </w:r>
      <w:r>
        <w:rPr>
          <w:spacing w:val="-7"/>
        </w:rPr>
        <w:t> </w:t>
      </w:r>
      <w:r>
        <w:rPr/>
        <w:t>protection of suppliers of </w:t>
      </w:r>
      <w:r>
        <w:rPr>
          <w:spacing w:val="-3"/>
        </w:rPr>
        <w:t>long </w:t>
      </w:r>
      <w:r>
        <w:rPr/>
        <w:t>term funds. The level </w:t>
      </w:r>
      <w:r>
        <w:rPr>
          <w:spacing w:val="4"/>
        </w:rPr>
        <w:t>of </w:t>
      </w:r>
      <w:r>
        <w:rPr/>
        <w:t>leverage depends on major factor such as strength of operating cash flow, availability of collateral and tax</w:t>
      </w:r>
      <w:r>
        <w:rPr>
          <w:spacing w:val="-13"/>
        </w:rPr>
        <w:t> </w:t>
      </w:r>
      <w:r>
        <w:rPr/>
        <w:t>treatments.</w:t>
      </w:r>
    </w:p>
    <w:p>
      <w:pPr>
        <w:spacing w:after="0" w:line="360" w:lineRule="auto"/>
        <w:jc w:val="both"/>
        <w:sectPr>
          <w:pgSz w:w="12240" w:h="15840"/>
          <w:pgMar w:header="0" w:footer="1039" w:top="1360" w:bottom="1220" w:left="1100" w:right="1300"/>
        </w:sectPr>
      </w:pPr>
    </w:p>
    <w:p>
      <w:pPr>
        <w:pStyle w:val="Heading3"/>
        <w:spacing w:before="77"/>
      </w:pPr>
      <w:r>
        <w:rPr/>
        <w:t>Debt Ratio</w:t>
      </w:r>
    </w:p>
    <w:p>
      <w:pPr>
        <w:spacing w:before="137"/>
        <w:ind w:left="340" w:right="0" w:firstLine="0"/>
        <w:jc w:val="left"/>
        <w:rPr>
          <w:b/>
          <w:sz w:val="24"/>
        </w:rPr>
      </w:pPr>
      <w:r>
        <w:rPr>
          <w:b/>
          <w:sz w:val="24"/>
        </w:rPr>
        <w:t>Debt Ratio = (Total Debt / Total Assets) (Amount in millions)</w:t>
      </w:r>
    </w:p>
    <w:p>
      <w:pPr>
        <w:pStyle w:val="BodyText"/>
        <w:rPr>
          <w:b/>
          <w:sz w:val="20"/>
        </w:rPr>
      </w:pPr>
    </w:p>
    <w:p>
      <w:pPr>
        <w:pStyle w:val="BodyText"/>
        <w:spacing w:before="8"/>
        <w:rPr>
          <w:b/>
          <w:sz w:val="22"/>
        </w:rPr>
      </w:pPr>
    </w:p>
    <w:tbl>
      <w:tblPr>
        <w:tblW w:w="0" w:type="auto"/>
        <w:jc w:val="left"/>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33"/>
        <w:gridCol w:w="3328"/>
        <w:gridCol w:w="2343"/>
      </w:tblGrid>
      <w:tr>
        <w:trPr>
          <w:trHeight w:val="590" w:hRule="atLeast"/>
        </w:trPr>
        <w:tc>
          <w:tcPr>
            <w:tcW w:w="3333" w:type="dxa"/>
          </w:tcPr>
          <w:p>
            <w:pPr>
              <w:pStyle w:val="TableParagraph"/>
              <w:rPr>
                <w:sz w:val="24"/>
              </w:rPr>
            </w:pPr>
            <w:r>
              <w:rPr>
                <w:sz w:val="24"/>
              </w:rPr>
              <w:t>Year</w:t>
            </w:r>
          </w:p>
        </w:tc>
        <w:tc>
          <w:tcPr>
            <w:tcW w:w="3328" w:type="dxa"/>
          </w:tcPr>
          <w:p>
            <w:pPr>
              <w:pStyle w:val="TableParagraph"/>
              <w:ind w:left="105"/>
              <w:rPr>
                <w:sz w:val="24"/>
              </w:rPr>
            </w:pPr>
            <w:r>
              <w:rPr>
                <w:sz w:val="24"/>
              </w:rPr>
              <w:t>2019</w:t>
            </w:r>
          </w:p>
        </w:tc>
        <w:tc>
          <w:tcPr>
            <w:tcW w:w="2343" w:type="dxa"/>
            <w:tcBorders>
              <w:right w:val="nil"/>
            </w:tcBorders>
          </w:tcPr>
          <w:p>
            <w:pPr>
              <w:pStyle w:val="TableParagraph"/>
              <w:ind w:left="109"/>
              <w:rPr>
                <w:sz w:val="24"/>
              </w:rPr>
            </w:pPr>
            <w:r>
              <w:rPr>
                <w:sz w:val="24"/>
              </w:rPr>
              <w:t>2018</w:t>
            </w:r>
          </w:p>
        </w:tc>
      </w:tr>
      <w:tr>
        <w:trPr>
          <w:trHeight w:val="585" w:hRule="atLeast"/>
        </w:trPr>
        <w:tc>
          <w:tcPr>
            <w:tcW w:w="3333" w:type="dxa"/>
          </w:tcPr>
          <w:p>
            <w:pPr>
              <w:pStyle w:val="TableParagraph"/>
              <w:rPr>
                <w:sz w:val="24"/>
              </w:rPr>
            </w:pPr>
            <w:r>
              <w:rPr>
                <w:sz w:val="24"/>
              </w:rPr>
              <w:t>Total Debt</w:t>
            </w:r>
          </w:p>
        </w:tc>
        <w:tc>
          <w:tcPr>
            <w:tcW w:w="3328" w:type="dxa"/>
          </w:tcPr>
          <w:p>
            <w:pPr>
              <w:pStyle w:val="TableParagraph"/>
              <w:ind w:left="105"/>
              <w:rPr>
                <w:sz w:val="24"/>
              </w:rPr>
            </w:pPr>
            <w:r>
              <w:rPr>
                <w:sz w:val="24"/>
              </w:rPr>
              <w:t>227658.45</w:t>
            </w:r>
          </w:p>
        </w:tc>
        <w:tc>
          <w:tcPr>
            <w:tcW w:w="2343" w:type="dxa"/>
            <w:tcBorders>
              <w:right w:val="nil"/>
            </w:tcBorders>
          </w:tcPr>
          <w:p>
            <w:pPr>
              <w:pStyle w:val="TableParagraph"/>
              <w:ind w:left="109"/>
              <w:rPr>
                <w:sz w:val="24"/>
              </w:rPr>
            </w:pPr>
            <w:r>
              <w:rPr>
                <w:sz w:val="24"/>
              </w:rPr>
              <w:t>199066.35</w:t>
            </w:r>
          </w:p>
        </w:tc>
      </w:tr>
      <w:tr>
        <w:trPr>
          <w:trHeight w:val="590" w:hRule="atLeast"/>
        </w:trPr>
        <w:tc>
          <w:tcPr>
            <w:tcW w:w="3333" w:type="dxa"/>
          </w:tcPr>
          <w:p>
            <w:pPr>
              <w:pStyle w:val="TableParagraph"/>
              <w:rPr>
                <w:sz w:val="24"/>
              </w:rPr>
            </w:pPr>
            <w:r>
              <w:rPr>
                <w:sz w:val="24"/>
              </w:rPr>
              <w:t>Total Assets</w:t>
            </w:r>
          </w:p>
        </w:tc>
        <w:tc>
          <w:tcPr>
            <w:tcW w:w="3328" w:type="dxa"/>
          </w:tcPr>
          <w:p>
            <w:pPr>
              <w:pStyle w:val="TableParagraph"/>
              <w:ind w:left="105"/>
              <w:rPr>
                <w:sz w:val="24"/>
              </w:rPr>
            </w:pPr>
            <w:r>
              <w:rPr>
                <w:sz w:val="24"/>
              </w:rPr>
              <w:t>239770.63</w:t>
            </w:r>
          </w:p>
        </w:tc>
        <w:tc>
          <w:tcPr>
            <w:tcW w:w="2343" w:type="dxa"/>
            <w:tcBorders>
              <w:right w:val="nil"/>
            </w:tcBorders>
          </w:tcPr>
          <w:p>
            <w:pPr>
              <w:pStyle w:val="TableParagraph"/>
              <w:ind w:left="109"/>
              <w:rPr>
                <w:sz w:val="24"/>
              </w:rPr>
            </w:pPr>
            <w:r>
              <w:rPr>
                <w:sz w:val="24"/>
              </w:rPr>
              <w:t>210241.52</w:t>
            </w:r>
          </w:p>
        </w:tc>
      </w:tr>
      <w:tr>
        <w:trPr>
          <w:trHeight w:val="585" w:hRule="atLeast"/>
        </w:trPr>
        <w:tc>
          <w:tcPr>
            <w:tcW w:w="3333" w:type="dxa"/>
          </w:tcPr>
          <w:p>
            <w:pPr>
              <w:pStyle w:val="TableParagraph"/>
              <w:rPr>
                <w:sz w:val="24"/>
              </w:rPr>
            </w:pPr>
            <w:r>
              <w:rPr>
                <w:sz w:val="24"/>
              </w:rPr>
              <w:t>Debt Ratio</w:t>
            </w:r>
          </w:p>
        </w:tc>
        <w:tc>
          <w:tcPr>
            <w:tcW w:w="3328" w:type="dxa"/>
          </w:tcPr>
          <w:p>
            <w:pPr>
              <w:pStyle w:val="TableParagraph"/>
              <w:ind w:left="105"/>
              <w:rPr>
                <w:sz w:val="24"/>
              </w:rPr>
            </w:pPr>
            <w:r>
              <w:rPr>
                <w:sz w:val="24"/>
              </w:rPr>
              <w:t>.949</w:t>
            </w:r>
          </w:p>
        </w:tc>
        <w:tc>
          <w:tcPr>
            <w:tcW w:w="2343" w:type="dxa"/>
            <w:tcBorders>
              <w:right w:val="nil"/>
            </w:tcBorders>
          </w:tcPr>
          <w:p>
            <w:pPr>
              <w:pStyle w:val="TableParagraph"/>
              <w:ind w:left="109"/>
              <w:rPr>
                <w:sz w:val="24"/>
              </w:rPr>
            </w:pPr>
            <w:r>
              <w:rPr>
                <w:sz w:val="24"/>
              </w:rPr>
              <w:t>.946</w:t>
            </w:r>
          </w:p>
        </w:tc>
      </w:tr>
    </w:tbl>
    <w:p>
      <w:pPr>
        <w:pStyle w:val="BodyText"/>
        <w:spacing w:before="8"/>
        <w:rPr>
          <w:b/>
          <w:sz w:val="27"/>
        </w:rPr>
      </w:pPr>
    </w:p>
    <w:p>
      <w:pPr>
        <w:spacing w:before="1"/>
        <w:ind w:left="700" w:right="0" w:firstLine="0"/>
        <w:jc w:val="left"/>
        <w:rPr>
          <w:b/>
          <w:sz w:val="28"/>
        </w:rPr>
      </w:pPr>
      <w:r>
        <w:rPr>
          <w:b/>
          <w:sz w:val="28"/>
        </w:rPr>
        <w:t>Graph chart</w:t>
      </w:r>
    </w:p>
    <w:p>
      <w:pPr>
        <w:pStyle w:val="BodyText"/>
        <w:spacing w:before="8"/>
        <w:rPr>
          <w:b/>
          <w:sz w:val="29"/>
        </w:rPr>
      </w:pPr>
      <w:r>
        <w:rPr/>
        <w:pict>
          <v:group style="position:absolute;margin-left:72.224998pt;margin-top:19.062685pt;width:445.25pt;height:147.75pt;mso-position-horizontal-relative:page;mso-position-vertical-relative:paragraph;z-index:-251627520;mso-wrap-distance-left:0;mso-wrap-distance-right:0" coordorigin="1444,381" coordsize="8905,2955">
            <v:line style="position:absolute" from="2131,1982" to="10130,1982" stroked="true" strokeweight=".75pt" strokecolor="#d9d9d9">
              <v:stroke dashstyle="solid"/>
            </v:line>
            <v:line style="position:absolute" from="2131,1557" to="10130,1557" stroked="true" strokeweight=".75pt" strokecolor="#d9d9d9">
              <v:stroke dashstyle="solid"/>
            </v:line>
            <v:line style="position:absolute" from="4131,1344" to="8130,1982" stroked="true" strokeweight="2.25pt" strokecolor="#5b9bd3">
              <v:stroke dashstyle="solid"/>
            </v:line>
            <v:line style="position:absolute" from="2131,1131" to="10130,1131" stroked="true" strokeweight=".75pt" strokecolor="#d9d9d9">
              <v:stroke dashstyle="solid"/>
            </v:line>
            <v:line style="position:absolute" from="2131,2408" to="10130,2408" stroked="true" strokeweight=".75pt" strokecolor="#d9d9d9">
              <v:stroke dashstyle="solid"/>
            </v:line>
            <v:line style="position:absolute" from="5454,3040" to="5822,3040" stroked="true" strokeweight="2.25pt" strokecolor="#5b9bd3">
              <v:stroke dashstyle="solid"/>
            </v:line>
            <v:rect style="position:absolute;left:1452;top:388;width:8890;height:2940" filled="false" stroked="true" strokeweight=".75pt" strokecolor="#d9d9d9">
              <v:stroke dashstyle="solid"/>
            </v:rect>
            <v:shape style="position:absolute;left:5860;top:2957;width:567;height:183" type="#_x0000_t75" stroked="false">
              <v:imagedata r:id="rId22" o:title=""/>
            </v:shape>
            <v:shape style="position:absolute;left:7958;top:2558;width:365;height:183" type="#_x0000_t75" stroked="false">
              <v:imagedata r:id="rId23" o:title=""/>
            </v:shape>
            <v:shape style="position:absolute;left:3955;top:2558;width:370;height:183" type="#_x0000_t75" stroked="false">
              <v:imagedata r:id="rId24" o:title=""/>
            </v:shape>
            <v:shape style="position:absolute;left:1579;top:1046;width:413;height:1460" type="#_x0000_t75" stroked="false">
              <v:imagedata r:id="rId25" o:title=""/>
            </v:shape>
            <v:shape style="position:absolute;left:5472;top:595;width:869;height:279" type="#_x0000_t75" stroked="false">
              <v:imagedata r:id="rId26" o:title=""/>
            </v:shape>
            <v:shape style="position:absolute;left:5863;top:2971;width:461;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w:t>
                    </w:r>
                  </w:p>
                </w:txbxContent>
              </v:textbox>
              <w10:wrap type="none"/>
            </v:shape>
            <v:shape style="position:absolute;left:7961;top:2573;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2019</w:t>
                    </w:r>
                  </w:p>
                </w:txbxContent>
              </v:textbox>
              <w10:wrap type="none"/>
            </v:shape>
            <v:shape style="position:absolute;left:3956;top:2573;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2018</w:t>
                    </w:r>
                  </w:p>
                </w:txbxContent>
              </v:textbox>
              <w10:wrap type="none"/>
            </v:shape>
            <v:shape style="position:absolute;left:1579;top:1060;width:434;height:1450" type="#_x0000_t202" filled="false" stroked="false">
              <v:textbox inset="0,0,0,0">
                <w:txbxContent>
                  <w:p>
                    <w:pPr>
                      <w:spacing w:line="185" w:lineRule="exact" w:before="0"/>
                      <w:ind w:left="91" w:right="0" w:firstLine="0"/>
                      <w:jc w:val="left"/>
                      <w:rPr>
                        <w:rFonts w:ascii="Calibri"/>
                        <w:sz w:val="18"/>
                      </w:rPr>
                    </w:pPr>
                    <w:r>
                      <w:rPr>
                        <w:rFonts w:ascii="Calibri"/>
                        <w:color w:val="575757"/>
                        <w:sz w:val="18"/>
                      </w:rPr>
                      <w:t>0.95</w:t>
                    </w:r>
                  </w:p>
                  <w:p>
                    <w:pPr>
                      <w:spacing w:line="240" w:lineRule="auto" w:before="9"/>
                      <w:rPr>
                        <w:b/>
                        <w:sz w:val="16"/>
                      </w:rPr>
                    </w:pPr>
                  </w:p>
                  <w:p>
                    <w:pPr>
                      <w:spacing w:before="0"/>
                      <w:ind w:left="0" w:right="0" w:firstLine="0"/>
                      <w:jc w:val="left"/>
                      <w:rPr>
                        <w:rFonts w:ascii="Calibri"/>
                        <w:sz w:val="18"/>
                      </w:rPr>
                    </w:pPr>
                    <w:r>
                      <w:rPr>
                        <w:rFonts w:ascii="Calibri"/>
                        <w:color w:val="575757"/>
                        <w:sz w:val="18"/>
                      </w:rPr>
                      <w:t>0.948</w:t>
                    </w:r>
                  </w:p>
                  <w:p>
                    <w:pPr>
                      <w:spacing w:line="240" w:lineRule="auto" w:before="0"/>
                      <w:rPr>
                        <w:b/>
                        <w:sz w:val="18"/>
                      </w:rPr>
                    </w:pPr>
                  </w:p>
                  <w:p>
                    <w:pPr>
                      <w:spacing w:before="1"/>
                      <w:ind w:left="0" w:right="0" w:firstLine="0"/>
                      <w:jc w:val="left"/>
                      <w:rPr>
                        <w:rFonts w:ascii="Calibri"/>
                        <w:sz w:val="18"/>
                      </w:rPr>
                    </w:pPr>
                    <w:r>
                      <w:rPr>
                        <w:rFonts w:ascii="Calibri"/>
                        <w:color w:val="575757"/>
                        <w:sz w:val="18"/>
                      </w:rPr>
                      <w:t>0.946</w:t>
                    </w:r>
                  </w:p>
                  <w:p>
                    <w:pPr>
                      <w:spacing w:line="240" w:lineRule="auto" w:before="0"/>
                      <w:rPr>
                        <w:b/>
                        <w:sz w:val="18"/>
                      </w:rPr>
                    </w:pPr>
                  </w:p>
                  <w:p>
                    <w:pPr>
                      <w:spacing w:line="217" w:lineRule="exact" w:before="0"/>
                      <w:ind w:left="0" w:right="0" w:firstLine="0"/>
                      <w:jc w:val="left"/>
                      <w:rPr>
                        <w:rFonts w:ascii="Calibri"/>
                        <w:sz w:val="18"/>
                      </w:rPr>
                    </w:pPr>
                    <w:r>
                      <w:rPr>
                        <w:rFonts w:ascii="Calibri"/>
                        <w:color w:val="575757"/>
                        <w:sz w:val="18"/>
                      </w:rPr>
                      <w:t>0.944</w:t>
                    </w:r>
                  </w:p>
                </w:txbxContent>
              </v:textbox>
              <w10:wrap type="none"/>
            </v:shape>
            <v:shape style="position:absolute;left:5474;top:614;width:695;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w:t>
                    </w:r>
                  </w:p>
                </w:txbxContent>
              </v:textbox>
              <w10:wrap type="none"/>
            </v:shape>
            <w10:wrap type="topAndBottom"/>
          </v:group>
        </w:pict>
      </w:r>
    </w:p>
    <w:p>
      <w:pPr>
        <w:pStyle w:val="BodyText"/>
        <w:spacing w:before="4"/>
        <w:rPr>
          <w:b/>
          <w:sz w:val="35"/>
        </w:rPr>
      </w:pPr>
    </w:p>
    <w:p>
      <w:pPr>
        <w:spacing w:before="0"/>
        <w:ind w:left="340" w:right="0" w:firstLine="0"/>
        <w:jc w:val="left"/>
        <w:rPr>
          <w:b/>
          <w:sz w:val="24"/>
        </w:rPr>
      </w:pPr>
      <w:r>
        <w:rPr>
          <w:b/>
          <w:sz w:val="24"/>
        </w:rPr>
        <w:t>Interpretation</w:t>
      </w:r>
    </w:p>
    <w:p>
      <w:pPr>
        <w:pStyle w:val="BodyText"/>
        <w:spacing w:line="360" w:lineRule="auto" w:before="132"/>
        <w:ind w:left="340"/>
      </w:pPr>
      <w:r>
        <w:rPr/>
        <w:t>Calculating the debt ratio, we have a tendency to come to visualize that this company is much leveraged one.</w:t>
      </w:r>
    </w:p>
    <w:p>
      <w:pPr>
        <w:pStyle w:val="BodyText"/>
        <w:spacing w:before="7"/>
        <w:rPr>
          <w:sz w:val="36"/>
        </w:rPr>
      </w:pPr>
    </w:p>
    <w:p>
      <w:pPr>
        <w:pStyle w:val="Heading3"/>
      </w:pPr>
      <w:r>
        <w:rPr/>
        <w:t>Debt to Equity Ratio</w:t>
      </w:r>
    </w:p>
    <w:p>
      <w:pPr>
        <w:pStyle w:val="BodyText"/>
        <w:spacing w:line="360" w:lineRule="auto" w:before="132"/>
        <w:ind w:left="340" w:right="135"/>
      </w:pPr>
      <w:r>
        <w:rPr/>
        <w:t>The</w:t>
      </w:r>
      <w:r>
        <w:rPr>
          <w:spacing w:val="-11"/>
        </w:rPr>
        <w:t> </w:t>
      </w:r>
      <w:r>
        <w:rPr/>
        <w:t>debt</w:t>
      </w:r>
      <w:r>
        <w:rPr>
          <w:spacing w:val="-9"/>
        </w:rPr>
        <w:t> </w:t>
      </w:r>
      <w:r>
        <w:rPr/>
        <w:t>to</w:t>
      </w:r>
      <w:r>
        <w:rPr>
          <w:spacing w:val="-6"/>
        </w:rPr>
        <w:t> </w:t>
      </w:r>
      <w:r>
        <w:rPr/>
        <w:t>equity</w:t>
      </w:r>
      <w:r>
        <w:rPr>
          <w:spacing w:val="-20"/>
        </w:rPr>
        <w:t> </w:t>
      </w:r>
      <w:r>
        <w:rPr/>
        <w:t>ratio</w:t>
      </w:r>
      <w:r>
        <w:rPr>
          <w:spacing w:val="-1"/>
        </w:rPr>
        <w:t> </w:t>
      </w:r>
      <w:r>
        <w:rPr>
          <w:spacing w:val="-5"/>
        </w:rPr>
        <w:t>is</w:t>
      </w:r>
      <w:r>
        <w:rPr>
          <w:spacing w:val="-8"/>
        </w:rPr>
        <w:t> </w:t>
      </w:r>
      <w:r>
        <w:rPr/>
        <w:t>a</w:t>
      </w:r>
      <w:r>
        <w:rPr>
          <w:spacing w:val="-7"/>
        </w:rPr>
        <w:t> </w:t>
      </w:r>
      <w:r>
        <w:rPr/>
        <w:t>liquidity</w:t>
      </w:r>
      <w:r>
        <w:rPr>
          <w:spacing w:val="-19"/>
        </w:rPr>
        <w:t> </w:t>
      </w:r>
      <w:r>
        <w:rPr/>
        <w:t>ratio,</w:t>
      </w:r>
      <w:r>
        <w:rPr>
          <w:spacing w:val="-8"/>
        </w:rPr>
        <w:t> </w:t>
      </w:r>
      <w:r>
        <w:rPr/>
        <w:t>financial</w:t>
      </w:r>
      <w:r>
        <w:rPr>
          <w:spacing w:val="-9"/>
        </w:rPr>
        <w:t> </w:t>
      </w:r>
      <w:r>
        <w:rPr/>
        <w:t>ratio</w:t>
      </w:r>
      <w:r>
        <w:rPr>
          <w:spacing w:val="-5"/>
        </w:rPr>
        <w:t> </w:t>
      </w:r>
      <w:r>
        <w:rPr/>
        <w:t>that</w:t>
      </w:r>
      <w:r>
        <w:rPr>
          <w:spacing w:val="-5"/>
        </w:rPr>
        <w:t> </w:t>
      </w:r>
      <w:r>
        <w:rPr/>
        <w:t>assimilate</w:t>
      </w:r>
      <w:r>
        <w:rPr>
          <w:spacing w:val="-11"/>
        </w:rPr>
        <w:t> </w:t>
      </w:r>
      <w:r>
        <w:rPr/>
        <w:t>the</w:t>
      </w:r>
      <w:r>
        <w:rPr>
          <w:spacing w:val="-11"/>
        </w:rPr>
        <w:t> </w:t>
      </w:r>
      <w:r>
        <w:rPr/>
        <w:t>organization</w:t>
      </w:r>
      <w:r>
        <w:rPr>
          <w:spacing w:val="-14"/>
        </w:rPr>
        <w:t> </w:t>
      </w:r>
      <w:r>
        <w:rPr/>
        <w:t>total</w:t>
      </w:r>
      <w:r>
        <w:rPr>
          <w:spacing w:val="-13"/>
        </w:rPr>
        <w:t> </w:t>
      </w:r>
      <w:r>
        <w:rPr/>
        <w:t>debt to total</w:t>
      </w:r>
      <w:r>
        <w:rPr>
          <w:spacing w:val="-9"/>
        </w:rPr>
        <w:t> </w:t>
      </w:r>
      <w:r>
        <w:rPr/>
        <w:t>equity.</w:t>
      </w:r>
    </w:p>
    <w:p>
      <w:pPr>
        <w:pStyle w:val="Heading3"/>
        <w:spacing w:before="8"/>
      </w:pPr>
      <w:r>
        <w:rPr/>
        <w:t>Debt to Equity Ratio = (Total debt / Total equity)</w:t>
      </w:r>
    </w:p>
    <w:p>
      <w:pPr>
        <w:spacing w:after="0"/>
        <w:sectPr>
          <w:pgSz w:w="12240" w:h="15840"/>
          <w:pgMar w:header="0" w:footer="1039" w:top="1360" w:bottom="1220" w:left="1100" w:right="1300"/>
        </w:sectPr>
      </w:pPr>
    </w:p>
    <w:p>
      <w:pPr>
        <w:pStyle w:val="BodyText"/>
        <w:spacing w:before="7"/>
        <w:rPr>
          <w:b/>
          <w:sz w:val="22"/>
        </w:rPr>
      </w:pPr>
    </w:p>
    <w:p>
      <w:pPr>
        <w:spacing w:before="90"/>
        <w:ind w:left="340" w:right="0" w:firstLine="0"/>
        <w:jc w:val="left"/>
        <w:rPr>
          <w:b/>
          <w:sz w:val="24"/>
        </w:rPr>
      </w:pPr>
      <w:r>
        <w:rPr>
          <w:b/>
          <w:sz w:val="24"/>
        </w:rPr>
        <w:t>(Amount in Million)</w:t>
      </w:r>
    </w:p>
    <w:p>
      <w:pPr>
        <w:pStyle w:val="BodyText"/>
        <w:spacing w:before="2"/>
        <w:rPr>
          <w:b/>
          <w:sz w:val="12"/>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9"/>
        <w:gridCol w:w="3068"/>
        <w:gridCol w:w="2780"/>
      </w:tblGrid>
      <w:tr>
        <w:trPr>
          <w:trHeight w:val="648" w:hRule="atLeast"/>
        </w:trPr>
        <w:tc>
          <w:tcPr>
            <w:tcW w:w="3069" w:type="dxa"/>
          </w:tcPr>
          <w:p>
            <w:pPr>
              <w:pStyle w:val="TableParagraph"/>
              <w:spacing w:line="240" w:lineRule="auto" w:before="2"/>
              <w:rPr>
                <w:sz w:val="24"/>
              </w:rPr>
            </w:pPr>
            <w:r>
              <w:rPr>
                <w:sz w:val="24"/>
              </w:rPr>
              <w:t>Year</w:t>
            </w:r>
          </w:p>
        </w:tc>
        <w:tc>
          <w:tcPr>
            <w:tcW w:w="3068" w:type="dxa"/>
          </w:tcPr>
          <w:p>
            <w:pPr>
              <w:pStyle w:val="TableParagraph"/>
              <w:spacing w:line="240" w:lineRule="auto" w:before="2"/>
              <w:ind w:left="109"/>
              <w:rPr>
                <w:sz w:val="24"/>
              </w:rPr>
            </w:pPr>
            <w:r>
              <w:rPr>
                <w:sz w:val="24"/>
              </w:rPr>
              <w:t>2019</w:t>
            </w:r>
          </w:p>
        </w:tc>
        <w:tc>
          <w:tcPr>
            <w:tcW w:w="2780" w:type="dxa"/>
          </w:tcPr>
          <w:p>
            <w:pPr>
              <w:pStyle w:val="TableParagraph"/>
              <w:spacing w:line="240" w:lineRule="auto" w:before="2"/>
              <w:ind w:left="109"/>
              <w:rPr>
                <w:sz w:val="24"/>
              </w:rPr>
            </w:pPr>
            <w:r>
              <w:rPr>
                <w:sz w:val="24"/>
              </w:rPr>
              <w:t>2018</w:t>
            </w:r>
          </w:p>
        </w:tc>
      </w:tr>
      <w:tr>
        <w:trPr>
          <w:trHeight w:val="609" w:hRule="atLeast"/>
        </w:trPr>
        <w:tc>
          <w:tcPr>
            <w:tcW w:w="3069" w:type="dxa"/>
          </w:tcPr>
          <w:p>
            <w:pPr>
              <w:pStyle w:val="TableParagraph"/>
              <w:rPr>
                <w:sz w:val="24"/>
              </w:rPr>
            </w:pPr>
            <w:r>
              <w:rPr>
                <w:sz w:val="24"/>
              </w:rPr>
              <w:t>Total debt</w:t>
            </w:r>
          </w:p>
        </w:tc>
        <w:tc>
          <w:tcPr>
            <w:tcW w:w="3068" w:type="dxa"/>
          </w:tcPr>
          <w:p>
            <w:pPr>
              <w:pStyle w:val="TableParagraph"/>
              <w:ind w:left="109"/>
              <w:rPr>
                <w:sz w:val="24"/>
              </w:rPr>
            </w:pPr>
            <w:r>
              <w:rPr>
                <w:sz w:val="24"/>
              </w:rPr>
              <w:t>227658.45</w:t>
            </w:r>
          </w:p>
        </w:tc>
        <w:tc>
          <w:tcPr>
            <w:tcW w:w="2780" w:type="dxa"/>
          </w:tcPr>
          <w:p>
            <w:pPr>
              <w:pStyle w:val="TableParagraph"/>
              <w:ind w:left="109"/>
              <w:rPr>
                <w:sz w:val="24"/>
              </w:rPr>
            </w:pPr>
            <w:r>
              <w:rPr>
                <w:sz w:val="24"/>
              </w:rPr>
              <w:t>199066.35</w:t>
            </w:r>
          </w:p>
        </w:tc>
      </w:tr>
      <w:tr>
        <w:trPr>
          <w:trHeight w:val="647" w:hRule="atLeast"/>
        </w:trPr>
        <w:tc>
          <w:tcPr>
            <w:tcW w:w="3069" w:type="dxa"/>
          </w:tcPr>
          <w:p>
            <w:pPr>
              <w:pStyle w:val="TableParagraph"/>
              <w:rPr>
                <w:sz w:val="24"/>
              </w:rPr>
            </w:pPr>
            <w:r>
              <w:rPr>
                <w:sz w:val="24"/>
              </w:rPr>
              <w:t>Total equity</w:t>
            </w:r>
          </w:p>
        </w:tc>
        <w:tc>
          <w:tcPr>
            <w:tcW w:w="3068" w:type="dxa"/>
          </w:tcPr>
          <w:p>
            <w:pPr>
              <w:pStyle w:val="TableParagraph"/>
              <w:ind w:left="109"/>
              <w:rPr>
                <w:sz w:val="24"/>
              </w:rPr>
            </w:pPr>
            <w:r>
              <w:rPr>
                <w:sz w:val="24"/>
              </w:rPr>
              <w:t>12112.18</w:t>
            </w:r>
          </w:p>
        </w:tc>
        <w:tc>
          <w:tcPr>
            <w:tcW w:w="2780" w:type="dxa"/>
          </w:tcPr>
          <w:p>
            <w:pPr>
              <w:pStyle w:val="TableParagraph"/>
              <w:ind w:left="109"/>
              <w:rPr>
                <w:sz w:val="24"/>
              </w:rPr>
            </w:pPr>
            <w:r>
              <w:rPr>
                <w:sz w:val="24"/>
              </w:rPr>
              <w:t>11175.16</w:t>
            </w:r>
          </w:p>
        </w:tc>
      </w:tr>
      <w:tr>
        <w:trPr>
          <w:trHeight w:val="609" w:hRule="atLeast"/>
        </w:trPr>
        <w:tc>
          <w:tcPr>
            <w:tcW w:w="3069" w:type="dxa"/>
          </w:tcPr>
          <w:p>
            <w:pPr>
              <w:pStyle w:val="TableParagraph"/>
              <w:rPr>
                <w:sz w:val="24"/>
              </w:rPr>
            </w:pPr>
            <w:r>
              <w:rPr>
                <w:sz w:val="24"/>
              </w:rPr>
              <w:t>Debt to Equity Ratio</w:t>
            </w:r>
          </w:p>
        </w:tc>
        <w:tc>
          <w:tcPr>
            <w:tcW w:w="3068" w:type="dxa"/>
          </w:tcPr>
          <w:p>
            <w:pPr>
              <w:pStyle w:val="TableParagraph"/>
              <w:ind w:left="109"/>
              <w:rPr>
                <w:sz w:val="24"/>
              </w:rPr>
            </w:pPr>
            <w:r>
              <w:rPr>
                <w:sz w:val="24"/>
              </w:rPr>
              <w:t>18.795</w:t>
            </w:r>
          </w:p>
        </w:tc>
        <w:tc>
          <w:tcPr>
            <w:tcW w:w="2780" w:type="dxa"/>
          </w:tcPr>
          <w:p>
            <w:pPr>
              <w:pStyle w:val="TableParagraph"/>
              <w:ind w:left="109"/>
              <w:rPr>
                <w:sz w:val="24"/>
              </w:rPr>
            </w:pPr>
            <w:r>
              <w:rPr>
                <w:sz w:val="24"/>
              </w:rPr>
              <w:t>17.813</w:t>
            </w:r>
          </w:p>
        </w:tc>
      </w:tr>
    </w:tbl>
    <w:p>
      <w:pPr>
        <w:pStyle w:val="BodyText"/>
        <w:spacing w:before="8"/>
        <w:rPr>
          <w:b/>
          <w:sz w:val="35"/>
        </w:rPr>
      </w:pPr>
    </w:p>
    <w:p>
      <w:pPr>
        <w:spacing w:before="0"/>
        <w:ind w:left="714" w:right="0" w:firstLine="0"/>
        <w:jc w:val="left"/>
        <w:rPr>
          <w:b/>
          <w:sz w:val="28"/>
        </w:rPr>
      </w:pPr>
      <w:r>
        <w:rPr/>
        <w:pict>
          <v:group style="position:absolute;margin-left:71.375pt;margin-top:17.725327pt;width:444.55pt;height:205.9pt;mso-position-horizontal-relative:page;mso-position-vertical-relative:paragraph;z-index:-251625472;mso-wrap-distance-left:0;mso-wrap-distance-right:0" coordorigin="1428,355" coordsize="8891,4118">
            <v:shape style="position:absolute;left:1569;top:898;width:351;height:2895" type="#_x0000_t75" stroked="false">
              <v:imagedata r:id="rId27" o:title=""/>
            </v:shape>
            <v:shape style="position:absolute;left:1435;top:362;width:8876;height:4103" type="#_x0000_t202" filled="false" stroked="true" strokeweight=".75pt" strokecolor="#d9d9d9">
              <v:textbox inset="0,0,0,0">
                <w:txbxContent>
                  <w:p>
                    <w:pPr>
                      <w:spacing w:before="125"/>
                      <w:ind w:left="3958" w:right="3978" w:firstLine="0"/>
                      <w:jc w:val="center"/>
                      <w:rPr>
                        <w:rFonts w:ascii="Calibri"/>
                        <w:sz w:val="28"/>
                      </w:rPr>
                    </w:pPr>
                    <w:r>
                      <w:rPr>
                        <w:rFonts w:ascii="Calibri"/>
                        <w:color w:val="575757"/>
                        <w:sz w:val="28"/>
                      </w:rPr>
                      <w:t>Series 1</w:t>
                    </w:r>
                  </w:p>
                  <w:p>
                    <w:pPr>
                      <w:spacing w:before="41"/>
                      <w:ind w:left="0" w:right="8400" w:firstLine="0"/>
                      <w:jc w:val="right"/>
                      <w:rPr>
                        <w:rFonts w:ascii="Calibri"/>
                        <w:sz w:val="18"/>
                      </w:rPr>
                    </w:pPr>
                    <w:r>
                      <w:rPr>
                        <w:rFonts w:ascii="Calibri"/>
                        <w:color w:val="575757"/>
                        <w:spacing w:val="-2"/>
                        <w:sz w:val="18"/>
                      </w:rPr>
                      <w:t>19</w:t>
                    </w:r>
                  </w:p>
                  <w:p>
                    <w:pPr>
                      <w:spacing w:before="140"/>
                      <w:ind w:left="0" w:right="8394" w:firstLine="0"/>
                      <w:jc w:val="right"/>
                      <w:rPr>
                        <w:rFonts w:ascii="Calibri"/>
                        <w:sz w:val="18"/>
                      </w:rPr>
                    </w:pPr>
                    <w:r>
                      <w:rPr>
                        <w:rFonts w:ascii="Calibri"/>
                        <w:color w:val="575757"/>
                        <w:spacing w:val="-1"/>
                        <w:sz w:val="18"/>
                      </w:rPr>
                      <w:t>18.8</w:t>
                    </w:r>
                  </w:p>
                  <w:p>
                    <w:pPr>
                      <w:spacing w:before="155"/>
                      <w:ind w:left="0" w:right="8394" w:firstLine="0"/>
                      <w:jc w:val="right"/>
                      <w:rPr>
                        <w:rFonts w:ascii="Calibri"/>
                        <w:sz w:val="18"/>
                      </w:rPr>
                    </w:pPr>
                    <w:r>
                      <w:rPr>
                        <w:rFonts w:ascii="Calibri"/>
                        <w:color w:val="575757"/>
                        <w:spacing w:val="-1"/>
                        <w:sz w:val="18"/>
                      </w:rPr>
                      <w:t>18.6</w:t>
                    </w:r>
                  </w:p>
                  <w:p>
                    <w:pPr>
                      <w:tabs>
                        <w:tab w:pos="8679" w:val="left" w:leader="none"/>
                      </w:tabs>
                      <w:spacing w:before="155"/>
                      <w:ind w:left="141" w:right="0" w:firstLine="0"/>
                      <w:jc w:val="left"/>
                      <w:rPr>
                        <w:rFonts w:ascii="Calibri"/>
                        <w:sz w:val="18"/>
                      </w:rPr>
                    </w:pPr>
                    <w:r>
                      <w:rPr>
                        <w:rFonts w:ascii="Calibri"/>
                        <w:color w:val="575757"/>
                        <w:sz w:val="18"/>
                      </w:rPr>
                      <w:t>18.4   </w:t>
                    </w:r>
                    <w:r>
                      <w:rPr>
                        <w:rFonts w:ascii="Calibri"/>
                        <w:color w:val="575757"/>
                        <w:spacing w:val="-3"/>
                        <w:sz w:val="18"/>
                      </w:rPr>
                      <w:t> </w:t>
                    </w:r>
                    <w:r>
                      <w:rPr>
                        <w:rFonts w:ascii="Calibri"/>
                        <w:color w:val="575757"/>
                        <w:w w:val="101"/>
                        <w:sz w:val="18"/>
                        <w:u w:val="single" w:color="D9D9D9"/>
                      </w:rPr>
                      <w:t> </w:t>
                    </w:r>
                    <w:r>
                      <w:rPr>
                        <w:rFonts w:ascii="Calibri"/>
                        <w:color w:val="575757"/>
                        <w:sz w:val="18"/>
                        <w:u w:val="single" w:color="D9D9D9"/>
                      </w:rPr>
                      <w:tab/>
                    </w:r>
                  </w:p>
                  <w:p>
                    <w:pPr>
                      <w:spacing w:before="155"/>
                      <w:ind w:left="0" w:right="8394" w:firstLine="0"/>
                      <w:jc w:val="right"/>
                      <w:rPr>
                        <w:rFonts w:ascii="Calibri"/>
                        <w:sz w:val="18"/>
                      </w:rPr>
                    </w:pPr>
                    <w:r>
                      <w:rPr>
                        <w:rFonts w:ascii="Calibri"/>
                        <w:color w:val="575757"/>
                        <w:spacing w:val="-1"/>
                        <w:sz w:val="18"/>
                      </w:rPr>
                      <w:t>18.2</w:t>
                    </w:r>
                  </w:p>
                  <w:p>
                    <w:pPr>
                      <w:spacing w:before="159"/>
                      <w:ind w:left="0" w:right="8400" w:firstLine="0"/>
                      <w:jc w:val="right"/>
                      <w:rPr>
                        <w:rFonts w:ascii="Calibri"/>
                        <w:sz w:val="18"/>
                      </w:rPr>
                    </w:pPr>
                    <w:r>
                      <w:rPr>
                        <w:rFonts w:ascii="Calibri"/>
                        <w:color w:val="575757"/>
                        <w:spacing w:val="-2"/>
                        <w:sz w:val="18"/>
                      </w:rPr>
                      <w:t>18</w:t>
                    </w:r>
                  </w:p>
                  <w:p>
                    <w:pPr>
                      <w:spacing w:before="155"/>
                      <w:ind w:left="141" w:right="0" w:firstLine="0"/>
                      <w:jc w:val="left"/>
                      <w:rPr>
                        <w:rFonts w:ascii="Calibri"/>
                        <w:sz w:val="18"/>
                      </w:rPr>
                    </w:pPr>
                    <w:r>
                      <w:rPr>
                        <w:rFonts w:ascii="Calibri"/>
                        <w:color w:val="575757"/>
                        <w:sz w:val="18"/>
                      </w:rPr>
                      <w:t>17.8</w:t>
                    </w:r>
                  </w:p>
                  <w:p>
                    <w:pPr>
                      <w:tabs>
                        <w:tab w:pos="6456" w:val="left" w:leader="none"/>
                        <w:tab w:pos="8679" w:val="left" w:leader="none"/>
                      </w:tabs>
                      <w:spacing w:line="362" w:lineRule="auto" w:before="155"/>
                      <w:ind w:left="2466" w:right="179" w:hanging="2325"/>
                      <w:jc w:val="left"/>
                      <w:rPr>
                        <w:rFonts w:ascii="Calibri"/>
                        <w:sz w:val="18"/>
                      </w:rPr>
                    </w:pPr>
                    <w:r>
                      <w:rPr>
                        <w:rFonts w:ascii="Calibri"/>
                        <w:color w:val="575757"/>
                        <w:sz w:val="18"/>
                      </w:rPr>
                      <w:t>17.6</w:t>
                    </w:r>
                    <w:r>
                      <w:rPr>
                        <w:rFonts w:ascii="Calibri"/>
                        <w:color w:val="575757"/>
                        <w:sz w:val="18"/>
                        <w:u w:val="single" w:color="D9D9D9"/>
                      </w:rPr>
                      <w:tab/>
                      <w:tab/>
                      <w:tab/>
                    </w:r>
                    <w:r>
                      <w:rPr>
                        <w:rFonts w:ascii="Calibri"/>
                        <w:color w:val="575757"/>
                        <w:sz w:val="18"/>
                      </w:rPr>
                      <w:t> 2018</w:t>
                      <w:tab/>
                    </w:r>
                    <w:r>
                      <w:rPr>
                        <w:rFonts w:ascii="Calibri"/>
                        <w:color w:val="575757"/>
                        <w:position w:val="1"/>
                        <w:sz w:val="18"/>
                      </w:rPr>
                      <w:t>2019</w:t>
                    </w:r>
                  </w:p>
                  <w:p>
                    <w:pPr>
                      <w:spacing w:line="199" w:lineRule="exact" w:before="0"/>
                      <w:ind w:left="4396" w:right="0" w:firstLine="0"/>
                      <w:jc w:val="left"/>
                      <w:rPr>
                        <w:rFonts w:ascii="Calibri"/>
                        <w:sz w:val="18"/>
                      </w:rPr>
                    </w:pPr>
                    <w:r>
                      <w:rPr>
                        <w:rFonts w:ascii="Calibri"/>
                        <w:color w:val="575757"/>
                        <w:sz w:val="18"/>
                      </w:rPr>
                      <w:t>Series 1</w:t>
                    </w:r>
                  </w:p>
                </w:txbxContent>
              </v:textbox>
              <v:stroke dashstyle="solid"/>
              <w10:wrap type="none"/>
            </v:shape>
            <w10:wrap type="topAndBottom"/>
          </v:group>
        </w:pict>
      </w:r>
      <w:r>
        <w:rPr/>
        <w:pict>
          <v:line style="position:absolute;mso-position-horizontal-relative:page;mso-position-vertical-relative:paragraph;z-index:-256110592" from="103.389999pt,124.670326pt" to="504.249999pt,124.670326pt" stroked="true" strokeweight=".75pt" strokecolor="#d9d9d9">
            <v:stroke dashstyle="solid"/>
            <w10:wrap type="none"/>
          </v:line>
        </w:pict>
      </w:r>
      <w:r>
        <w:rPr/>
        <w:pict>
          <v:line style="position:absolute;mso-position-horizontal-relative:page;mso-position-vertical-relative:paragraph;z-index:-256109568" from="103.389999pt,94.140327pt" to="504.249999pt,94.140327pt" stroked="true" strokeweight=".75pt" strokecolor="#d9d9d9">
            <v:stroke dashstyle="solid"/>
            <w10:wrap type="none"/>
          </v:line>
        </w:pict>
      </w:r>
      <w:r>
        <w:rPr/>
        <w:pict>
          <v:line style="position:absolute;mso-position-horizontal-relative:page;mso-position-vertical-relative:paragraph;z-index:-256108544" from="103.389999pt,78.880325pt" to="504.249999pt,78.880325pt" stroked="true" strokeweight=".75pt" strokecolor="#d9d9d9">
            <v:stroke dashstyle="solid"/>
            <w10:wrap type="none"/>
          </v:line>
        </w:pict>
      </w:r>
      <w:r>
        <w:rPr/>
        <w:pict>
          <v:line style="position:absolute;mso-position-horizontal-relative:page;mso-position-vertical-relative:paragraph;z-index:-256107520" from="103.389999pt,63.570328pt" to="504.249999pt,63.570328pt" stroked="true" strokeweight=".75pt" strokecolor="#d9d9d9">
            <v:stroke dashstyle="solid"/>
            <w10:wrap type="none"/>
          </v:line>
        </w:pict>
      </w:r>
      <w:r>
        <w:rPr/>
        <w:pict>
          <v:line style="position:absolute;mso-position-horizontal-relative:page;mso-position-vertical-relative:paragraph;z-index:-256106496" from="103.389999pt,48.310326pt" to="504.249999pt,48.310326pt" stroked="true" strokeweight=".75pt" strokecolor="#d9d9d9">
            <v:stroke dashstyle="solid"/>
            <w10:wrap type="none"/>
          </v:line>
        </w:pict>
      </w:r>
      <w:r>
        <w:rPr/>
        <w:drawing>
          <wp:anchor distT="0" distB="0" distL="0" distR="0" allowOverlap="1" layoutInCell="1" locked="0" behindDoc="1" simplePos="0" relativeHeight="247214080">
            <wp:simplePos x="0" y="0"/>
            <wp:positionH relativeFrom="page">
              <wp:posOffset>3441191</wp:posOffset>
            </wp:positionH>
            <wp:positionV relativeFrom="paragraph">
              <wp:posOffset>338840</wp:posOffset>
            </wp:positionV>
            <wp:extent cx="594130" cy="144684"/>
            <wp:effectExtent l="0" t="0" r="0" b="0"/>
            <wp:wrapNone/>
            <wp:docPr id="11" name="image17.png"/>
            <wp:cNvGraphicFramePr>
              <a:graphicFrameLocks noChangeAspect="1"/>
            </wp:cNvGraphicFramePr>
            <a:graphic>
              <a:graphicData uri="http://schemas.openxmlformats.org/drawingml/2006/picture">
                <pic:pic>
                  <pic:nvPicPr>
                    <pic:cNvPr id="12" name="image17.png"/>
                    <pic:cNvPicPr/>
                  </pic:nvPicPr>
                  <pic:blipFill>
                    <a:blip r:embed="rId28" cstate="print"/>
                    <a:stretch>
                      <a:fillRect/>
                    </a:stretch>
                  </pic:blipFill>
                  <pic:spPr>
                    <a:xfrm>
                      <a:off x="0" y="0"/>
                      <a:ext cx="594130" cy="144684"/>
                    </a:xfrm>
                    <a:prstGeom prst="rect">
                      <a:avLst/>
                    </a:prstGeom>
                  </pic:spPr>
                </pic:pic>
              </a:graphicData>
            </a:graphic>
          </wp:anchor>
        </w:drawing>
      </w:r>
      <w:r>
        <w:rPr>
          <w:b/>
          <w:sz w:val="28"/>
        </w:rPr>
        <w:t>Graph chart</w:t>
      </w:r>
    </w:p>
    <w:p>
      <w:pPr>
        <w:pStyle w:val="BodyText"/>
        <w:rPr>
          <w:b/>
          <w:sz w:val="28"/>
        </w:rPr>
      </w:pPr>
    </w:p>
    <w:p>
      <w:pPr>
        <w:spacing w:before="0"/>
        <w:ind w:left="340" w:right="0" w:firstLine="0"/>
        <w:jc w:val="left"/>
        <w:rPr>
          <w:b/>
          <w:sz w:val="24"/>
        </w:rPr>
      </w:pPr>
      <w:r>
        <w:rPr/>
        <w:pict>
          <v:line style="position:absolute;mso-position-horizontal-relative:page;mso-position-vertical-relative:paragraph;z-index:-256113664" from="103.389999pt,-70.716866pt" to="504.249999pt,-70.716866pt" stroked="true" strokeweight=".75pt" strokecolor="#d9d9d9">
            <v:stroke dashstyle="solid"/>
            <w10:wrap type="none"/>
          </v:line>
        </w:pict>
      </w:r>
      <w:r>
        <w:rPr/>
        <w:pict>
          <v:line style="position:absolute;mso-position-horizontal-relative:page;mso-position-vertical-relative:paragraph;z-index:-256112640" from="103.389999pt,-86.016869pt" to="504.249999pt,-86.016869pt" stroked="true" strokeweight=".75pt" strokecolor="#d9d9d9">
            <v:stroke dashstyle="solid"/>
            <w10:wrap type="none"/>
          </v:line>
        </w:pict>
      </w:r>
      <w:r>
        <w:rPr/>
        <w:pict>
          <v:group style="position:absolute;margin-left:103.389999pt;margin-top:-103.381866pt;width:400.9pt;height:2.550pt;mso-position-horizontal-relative:page;mso-position-vertical-relative:paragraph;z-index:-256111616" coordorigin="2068,-2068" coordsize="8018,51">
            <v:line style="position:absolute" from="2068,-2025" to="10085,-2025" stroked="true" strokeweight=".75pt" strokecolor="#d9d9d9">
              <v:stroke dashstyle="solid"/>
            </v:line>
            <v:line style="position:absolute" from="4072,-2045" to="8081,-2045" stroked="true" strokeweight="2.25pt" strokecolor="#5b9bd3">
              <v:stroke dashstyle="solid"/>
            </v:line>
            <w10:wrap type="none"/>
          </v:group>
        </w:pict>
      </w:r>
      <w:r>
        <w:rPr/>
        <w:pict>
          <v:group style="position:absolute;margin-left:269.970001pt;margin-top:-33.096867pt;width:52.15pt;height:7.45pt;mso-position-horizontal-relative:page;mso-position-vertical-relative:paragraph;z-index:-256105472" coordorigin="5399,-662" coordsize="1043,149">
            <v:line style="position:absolute" from="5399,-594" to="5794,-594" stroked="true" strokeweight="2.25pt" strokecolor="#5b9bd3">
              <v:stroke dashstyle="solid"/>
            </v:line>
            <v:shape style="position:absolute;left:5836;top:-662;width:605;height:149" type="#_x0000_t75" stroked="false">
              <v:imagedata r:id="rId29" o:title=""/>
            </v:shape>
            <w10:wrap type="none"/>
          </v:group>
        </w:pict>
      </w:r>
      <w:r>
        <w:rPr/>
        <w:drawing>
          <wp:anchor distT="0" distB="0" distL="0" distR="0" allowOverlap="1" layoutInCell="1" locked="0" behindDoc="1" simplePos="0" relativeHeight="247212032">
            <wp:simplePos x="0" y="0"/>
            <wp:positionH relativeFrom="page">
              <wp:posOffset>5013959</wp:posOffset>
            </wp:positionH>
            <wp:positionV relativeFrom="paragraph">
              <wp:posOffset>-624546</wp:posOffset>
            </wp:positionV>
            <wp:extent cx="249936" cy="91439"/>
            <wp:effectExtent l="0" t="0" r="0" b="0"/>
            <wp:wrapNone/>
            <wp:docPr id="13" name="image19.png"/>
            <wp:cNvGraphicFramePr>
              <a:graphicFrameLocks noChangeAspect="1"/>
            </wp:cNvGraphicFramePr>
            <a:graphic>
              <a:graphicData uri="http://schemas.openxmlformats.org/drawingml/2006/picture">
                <pic:pic>
                  <pic:nvPicPr>
                    <pic:cNvPr id="14" name="image19.png"/>
                    <pic:cNvPicPr/>
                  </pic:nvPicPr>
                  <pic:blipFill>
                    <a:blip r:embed="rId30" cstate="print"/>
                    <a:stretch>
                      <a:fillRect/>
                    </a:stretch>
                  </pic:blipFill>
                  <pic:spPr>
                    <a:xfrm>
                      <a:off x="0" y="0"/>
                      <a:ext cx="249936" cy="91439"/>
                    </a:xfrm>
                    <a:prstGeom prst="rect">
                      <a:avLst/>
                    </a:prstGeom>
                  </pic:spPr>
                </pic:pic>
              </a:graphicData>
            </a:graphic>
          </wp:anchor>
        </w:drawing>
      </w:r>
      <w:r>
        <w:rPr/>
        <w:drawing>
          <wp:anchor distT="0" distB="0" distL="0" distR="0" allowOverlap="1" layoutInCell="1" locked="0" behindDoc="1" simplePos="0" relativeHeight="247213056">
            <wp:simplePos x="0" y="0"/>
            <wp:positionH relativeFrom="page">
              <wp:posOffset>2481072</wp:posOffset>
            </wp:positionH>
            <wp:positionV relativeFrom="paragraph">
              <wp:posOffset>-618450</wp:posOffset>
            </wp:positionV>
            <wp:extent cx="251951" cy="95250"/>
            <wp:effectExtent l="0" t="0" r="0" b="0"/>
            <wp:wrapNone/>
            <wp:docPr id="15" name="image19.png"/>
            <wp:cNvGraphicFramePr>
              <a:graphicFrameLocks noChangeAspect="1"/>
            </wp:cNvGraphicFramePr>
            <a:graphic>
              <a:graphicData uri="http://schemas.openxmlformats.org/drawingml/2006/picture">
                <pic:pic>
                  <pic:nvPicPr>
                    <pic:cNvPr id="16" name="image19.png"/>
                    <pic:cNvPicPr/>
                  </pic:nvPicPr>
                  <pic:blipFill>
                    <a:blip r:embed="rId30" cstate="print"/>
                    <a:stretch>
                      <a:fillRect/>
                    </a:stretch>
                  </pic:blipFill>
                  <pic:spPr>
                    <a:xfrm>
                      <a:off x="0" y="0"/>
                      <a:ext cx="251951" cy="95250"/>
                    </a:xfrm>
                    <a:prstGeom prst="rect">
                      <a:avLst/>
                    </a:prstGeom>
                  </pic:spPr>
                </pic:pic>
              </a:graphicData>
            </a:graphic>
          </wp:anchor>
        </w:drawing>
      </w:r>
      <w:r>
        <w:rPr>
          <w:b/>
          <w:sz w:val="24"/>
        </w:rPr>
        <w:t>Interpretation</w:t>
      </w:r>
    </w:p>
    <w:p>
      <w:pPr>
        <w:pStyle w:val="BodyText"/>
        <w:spacing w:before="132"/>
        <w:ind w:left="340"/>
      </w:pPr>
      <w:r>
        <w:rPr>
          <w:spacing w:val="-3"/>
        </w:rPr>
        <w:t>We </w:t>
      </w:r>
      <w:r>
        <w:rPr/>
        <w:t>can see from the above calculations that this ratio continuously increasing </w:t>
      </w:r>
      <w:r>
        <w:rPr>
          <w:spacing w:val="-3"/>
        </w:rPr>
        <w:t>in </w:t>
      </w:r>
      <w:r>
        <w:rPr/>
        <w:t>the </w:t>
      </w:r>
      <w:r>
        <w:rPr>
          <w:spacing w:val="-3"/>
        </w:rPr>
        <w:t>last </w:t>
      </w:r>
      <w:r>
        <w:rPr/>
        <w:t>two </w:t>
      </w:r>
      <w:r>
        <w:rPr>
          <w:spacing w:val="-3"/>
        </w:rPr>
        <w:t>years.</w:t>
      </w:r>
    </w:p>
    <w:p>
      <w:pPr>
        <w:pStyle w:val="BodyText"/>
        <w:rPr>
          <w:sz w:val="26"/>
        </w:rPr>
      </w:pPr>
    </w:p>
    <w:p>
      <w:pPr>
        <w:pStyle w:val="BodyText"/>
        <w:spacing w:before="8"/>
        <w:rPr>
          <w:sz w:val="22"/>
        </w:rPr>
      </w:pPr>
    </w:p>
    <w:p>
      <w:pPr>
        <w:pStyle w:val="Heading3"/>
        <w:numPr>
          <w:ilvl w:val="2"/>
          <w:numId w:val="14"/>
        </w:numPr>
        <w:tabs>
          <w:tab w:pos="1061" w:val="left" w:leader="none"/>
        </w:tabs>
        <w:spacing w:line="240" w:lineRule="auto" w:before="0" w:after="0"/>
        <w:ind w:left="1061" w:right="0" w:hanging="721"/>
        <w:jc w:val="both"/>
      </w:pPr>
      <w:r>
        <w:rPr/>
        <w:t>Profitability</w:t>
      </w:r>
      <w:r>
        <w:rPr>
          <w:spacing w:val="1"/>
        </w:rPr>
        <w:t> </w:t>
      </w:r>
      <w:r>
        <w:rPr/>
        <w:t>Ratio</w:t>
      </w:r>
    </w:p>
    <w:p>
      <w:pPr>
        <w:pStyle w:val="BodyText"/>
        <w:spacing w:line="360" w:lineRule="auto" w:before="132"/>
        <w:ind w:left="340" w:right="139"/>
        <w:jc w:val="both"/>
      </w:pPr>
      <w:r>
        <w:rPr/>
        <w:t>Profitability ratios </w:t>
      </w:r>
      <w:r>
        <w:rPr>
          <w:spacing w:val="-5"/>
        </w:rPr>
        <w:t>is </w:t>
      </w:r>
      <w:r>
        <w:rPr/>
        <w:t>a group of financial metrics that are used to count a business's ability </w:t>
      </w:r>
      <w:r>
        <w:rPr>
          <w:spacing w:val="2"/>
        </w:rPr>
        <w:t>to </w:t>
      </w:r>
      <w:r>
        <w:rPr/>
        <w:t>occasion earnings relative </w:t>
      </w:r>
      <w:r>
        <w:rPr>
          <w:spacing w:val="2"/>
        </w:rPr>
        <w:t>to </w:t>
      </w:r>
      <w:r>
        <w:rPr/>
        <w:t>its associated expenses. Profitability ratios also showing the company’s financial performance and corporate profitability. These ratios are usually the operational</w:t>
      </w:r>
      <w:r>
        <w:rPr>
          <w:spacing w:val="-17"/>
        </w:rPr>
        <w:t> </w:t>
      </w:r>
      <w:r>
        <w:rPr/>
        <w:t>performance</w:t>
      </w:r>
      <w:r>
        <w:rPr>
          <w:spacing w:val="-15"/>
        </w:rPr>
        <w:t> </w:t>
      </w:r>
      <w:r>
        <w:rPr/>
        <w:t>ratios</w:t>
      </w:r>
      <w:r>
        <w:rPr>
          <w:spacing w:val="-16"/>
        </w:rPr>
        <w:t> </w:t>
      </w:r>
      <w:r>
        <w:rPr/>
        <w:t>that</w:t>
      </w:r>
      <w:r>
        <w:rPr>
          <w:spacing w:val="-8"/>
        </w:rPr>
        <w:t> </w:t>
      </w:r>
      <w:r>
        <w:rPr/>
        <w:t>give</w:t>
      </w:r>
      <w:r>
        <w:rPr>
          <w:spacing w:val="-15"/>
        </w:rPr>
        <w:t> </w:t>
      </w:r>
      <w:r>
        <w:rPr/>
        <w:t>a</w:t>
      </w:r>
      <w:r>
        <w:rPr>
          <w:spacing w:val="-15"/>
        </w:rPr>
        <w:t> </w:t>
      </w:r>
      <w:r>
        <w:rPr/>
        <w:t>good</w:t>
      </w:r>
      <w:r>
        <w:rPr>
          <w:spacing w:val="-14"/>
        </w:rPr>
        <w:t> </w:t>
      </w:r>
      <w:r>
        <w:rPr/>
        <w:t>understanding</w:t>
      </w:r>
      <w:r>
        <w:rPr>
          <w:spacing w:val="-13"/>
        </w:rPr>
        <w:t> </w:t>
      </w:r>
      <w:r>
        <w:rPr>
          <w:spacing w:val="2"/>
        </w:rPr>
        <w:t>to</w:t>
      </w:r>
      <w:r>
        <w:rPr>
          <w:spacing w:val="-11"/>
        </w:rPr>
        <w:t> </w:t>
      </w:r>
      <w:r>
        <w:rPr/>
        <w:t>utilize</w:t>
      </w:r>
      <w:r>
        <w:rPr>
          <w:spacing w:val="-15"/>
        </w:rPr>
        <w:t> </w:t>
      </w:r>
      <w:r>
        <w:rPr/>
        <w:t>the</w:t>
      </w:r>
      <w:r>
        <w:rPr>
          <w:spacing w:val="-10"/>
        </w:rPr>
        <w:t> </w:t>
      </w:r>
      <w:r>
        <w:rPr/>
        <w:t>resources</w:t>
      </w:r>
      <w:r>
        <w:rPr>
          <w:spacing w:val="-11"/>
        </w:rPr>
        <w:t> </w:t>
      </w:r>
      <w:r>
        <w:rPr>
          <w:spacing w:val="-3"/>
        </w:rPr>
        <w:t>in</w:t>
      </w:r>
      <w:r>
        <w:rPr>
          <w:spacing w:val="-19"/>
        </w:rPr>
        <w:t> </w:t>
      </w:r>
      <w:r>
        <w:rPr/>
        <w:t>generating profit and shareholder</w:t>
      </w:r>
      <w:r>
        <w:rPr>
          <w:spacing w:val="15"/>
        </w:rPr>
        <w:t> </w:t>
      </w:r>
      <w:r>
        <w:rPr/>
        <w:t>value.</w:t>
      </w:r>
    </w:p>
    <w:p>
      <w:pPr>
        <w:spacing w:after="0" w:line="360" w:lineRule="auto"/>
        <w:jc w:val="both"/>
        <w:sectPr>
          <w:pgSz w:w="12240" w:h="15840"/>
          <w:pgMar w:header="0" w:footer="1039" w:top="1500" w:bottom="1220" w:left="1100" w:right="1300"/>
        </w:sectPr>
      </w:pPr>
    </w:p>
    <w:p>
      <w:pPr>
        <w:pStyle w:val="Heading3"/>
        <w:spacing w:before="77"/>
      </w:pPr>
      <w:r>
        <w:rPr/>
        <w:t>Net Profit Margin:</w:t>
      </w:r>
    </w:p>
    <w:p>
      <w:pPr>
        <w:pStyle w:val="BodyText"/>
        <w:spacing w:line="360" w:lineRule="auto" w:before="132"/>
        <w:ind w:left="340"/>
      </w:pPr>
      <w:r>
        <w:rPr/>
        <w:t>Net</w:t>
      </w:r>
      <w:r>
        <w:rPr>
          <w:spacing w:val="-4"/>
        </w:rPr>
        <w:t> </w:t>
      </w:r>
      <w:r>
        <w:rPr>
          <w:spacing w:val="-3"/>
        </w:rPr>
        <w:t>Profit </w:t>
      </w:r>
      <w:r>
        <w:rPr/>
        <w:t>Margin</w:t>
      </w:r>
      <w:r>
        <w:rPr>
          <w:spacing w:val="-8"/>
        </w:rPr>
        <w:t> </w:t>
      </w:r>
      <w:r>
        <w:rPr/>
        <w:t>are</w:t>
      </w:r>
      <w:r>
        <w:rPr>
          <w:spacing w:val="-10"/>
        </w:rPr>
        <w:t> </w:t>
      </w:r>
      <w:r>
        <w:rPr/>
        <w:t>showing</w:t>
      </w:r>
      <w:r>
        <w:rPr>
          <w:spacing w:val="-8"/>
        </w:rPr>
        <w:t> </w:t>
      </w:r>
      <w:r>
        <w:rPr/>
        <w:t>the</w:t>
      </w:r>
      <w:r>
        <w:rPr>
          <w:spacing w:val="-5"/>
        </w:rPr>
        <w:t> </w:t>
      </w:r>
      <w:r>
        <w:rPr/>
        <w:t>between</w:t>
      </w:r>
      <w:r>
        <w:rPr>
          <w:spacing w:val="-4"/>
        </w:rPr>
        <w:t> </w:t>
      </w:r>
      <w:r>
        <w:rPr/>
        <w:t>net</w:t>
      </w:r>
      <w:r>
        <w:rPr>
          <w:spacing w:val="-4"/>
        </w:rPr>
        <w:t> </w:t>
      </w:r>
      <w:r>
        <w:rPr>
          <w:spacing w:val="-3"/>
        </w:rPr>
        <w:t>profit</w:t>
      </w:r>
      <w:r>
        <w:rPr>
          <w:spacing w:val="-4"/>
        </w:rPr>
        <w:t> </w:t>
      </w:r>
      <w:r>
        <w:rPr/>
        <w:t>and</w:t>
      </w:r>
      <w:r>
        <w:rPr>
          <w:spacing w:val="-8"/>
        </w:rPr>
        <w:t> </w:t>
      </w:r>
      <w:r>
        <w:rPr/>
        <w:t>sales</w:t>
      </w:r>
      <w:r>
        <w:rPr>
          <w:spacing w:val="-11"/>
        </w:rPr>
        <w:t> </w:t>
      </w:r>
      <w:r>
        <w:rPr>
          <w:spacing w:val="4"/>
        </w:rPr>
        <w:t>of</w:t>
      </w:r>
      <w:r>
        <w:rPr>
          <w:spacing w:val="-17"/>
        </w:rPr>
        <w:t> </w:t>
      </w:r>
      <w:r>
        <w:rPr/>
        <w:t>the</w:t>
      </w:r>
      <w:r>
        <w:rPr>
          <w:spacing w:val="-9"/>
        </w:rPr>
        <w:t> </w:t>
      </w:r>
      <w:r>
        <w:rPr/>
        <w:t>company.</w:t>
      </w:r>
      <w:r>
        <w:rPr>
          <w:spacing w:val="-6"/>
        </w:rPr>
        <w:t> </w:t>
      </w:r>
      <w:r>
        <w:rPr/>
        <w:t>Using</w:t>
      </w:r>
      <w:r>
        <w:rPr>
          <w:spacing w:val="-8"/>
        </w:rPr>
        <w:t> </w:t>
      </w:r>
      <w:r>
        <w:rPr/>
        <w:t>this</w:t>
      </w:r>
      <w:r>
        <w:rPr>
          <w:spacing w:val="-6"/>
        </w:rPr>
        <w:t> </w:t>
      </w:r>
      <w:r>
        <w:rPr/>
        <w:t>method measure how much </w:t>
      </w:r>
      <w:r>
        <w:rPr>
          <w:spacing w:val="2"/>
        </w:rPr>
        <w:t>percentage </w:t>
      </w:r>
      <w:r>
        <w:rPr/>
        <w:t>of </w:t>
      </w:r>
      <w:r>
        <w:rPr>
          <w:spacing w:val="2"/>
        </w:rPr>
        <w:t>revenue </w:t>
      </w:r>
      <w:r>
        <w:rPr/>
        <w:t>left after all </w:t>
      </w:r>
      <w:r>
        <w:rPr>
          <w:spacing w:val="2"/>
        </w:rPr>
        <w:t>expenses </w:t>
      </w:r>
      <w:r>
        <w:rPr/>
        <w:t>that </w:t>
      </w:r>
      <w:r>
        <w:rPr>
          <w:spacing w:val="2"/>
        </w:rPr>
        <w:t>deducted </w:t>
      </w:r>
      <w:r>
        <w:rPr/>
        <w:t>from</w:t>
      </w:r>
      <w:r>
        <w:rPr>
          <w:spacing w:val="59"/>
        </w:rPr>
        <w:t> </w:t>
      </w:r>
      <w:r>
        <w:rPr/>
        <w:t>sales.</w:t>
      </w:r>
    </w:p>
    <w:p>
      <w:pPr>
        <w:pStyle w:val="Heading3"/>
        <w:spacing w:line="360" w:lineRule="auto" w:before="8"/>
        <w:ind w:right="3461"/>
      </w:pPr>
      <w:r>
        <w:rPr/>
        <w:t>Net Profit margin = (Net income / Net Sales) × 100 (Amount in Millions)</w:t>
      </w: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7"/>
        <w:gridCol w:w="3121"/>
        <w:gridCol w:w="2848"/>
      </w:tblGrid>
      <w:tr>
        <w:trPr>
          <w:trHeight w:val="474" w:hRule="atLeast"/>
        </w:trPr>
        <w:tc>
          <w:tcPr>
            <w:tcW w:w="3117" w:type="dxa"/>
          </w:tcPr>
          <w:p>
            <w:pPr>
              <w:pStyle w:val="TableParagraph"/>
              <w:rPr>
                <w:sz w:val="24"/>
              </w:rPr>
            </w:pPr>
            <w:r>
              <w:rPr>
                <w:sz w:val="24"/>
              </w:rPr>
              <w:t>Year</w:t>
            </w:r>
          </w:p>
        </w:tc>
        <w:tc>
          <w:tcPr>
            <w:tcW w:w="3121" w:type="dxa"/>
          </w:tcPr>
          <w:p>
            <w:pPr>
              <w:pStyle w:val="TableParagraph"/>
              <w:ind w:left="114"/>
              <w:rPr>
                <w:sz w:val="24"/>
              </w:rPr>
            </w:pPr>
            <w:r>
              <w:rPr>
                <w:sz w:val="24"/>
              </w:rPr>
              <w:t>2019</w:t>
            </w:r>
          </w:p>
        </w:tc>
        <w:tc>
          <w:tcPr>
            <w:tcW w:w="2848" w:type="dxa"/>
          </w:tcPr>
          <w:p>
            <w:pPr>
              <w:pStyle w:val="TableParagraph"/>
              <w:ind w:left="109"/>
              <w:rPr>
                <w:sz w:val="24"/>
              </w:rPr>
            </w:pPr>
            <w:r>
              <w:rPr>
                <w:sz w:val="24"/>
              </w:rPr>
              <w:t>2018</w:t>
            </w:r>
          </w:p>
        </w:tc>
      </w:tr>
      <w:tr>
        <w:trPr>
          <w:trHeight w:val="532" w:hRule="atLeast"/>
        </w:trPr>
        <w:tc>
          <w:tcPr>
            <w:tcW w:w="3117" w:type="dxa"/>
          </w:tcPr>
          <w:p>
            <w:pPr>
              <w:pStyle w:val="TableParagraph"/>
              <w:rPr>
                <w:sz w:val="24"/>
              </w:rPr>
            </w:pPr>
            <w:r>
              <w:rPr>
                <w:sz w:val="24"/>
              </w:rPr>
              <w:t>Net income</w:t>
            </w:r>
          </w:p>
        </w:tc>
        <w:tc>
          <w:tcPr>
            <w:tcW w:w="3121" w:type="dxa"/>
          </w:tcPr>
          <w:p>
            <w:pPr>
              <w:pStyle w:val="TableParagraph"/>
              <w:ind w:left="114"/>
              <w:rPr>
                <w:sz w:val="24"/>
              </w:rPr>
            </w:pPr>
            <w:r>
              <w:rPr>
                <w:sz w:val="24"/>
              </w:rPr>
              <w:t>1729.61</w:t>
            </w:r>
          </w:p>
        </w:tc>
        <w:tc>
          <w:tcPr>
            <w:tcW w:w="2848" w:type="dxa"/>
          </w:tcPr>
          <w:p>
            <w:pPr>
              <w:pStyle w:val="TableParagraph"/>
              <w:ind w:left="109"/>
              <w:rPr>
                <w:sz w:val="24"/>
              </w:rPr>
            </w:pPr>
            <w:r>
              <w:rPr>
                <w:sz w:val="24"/>
              </w:rPr>
              <w:t>2008.84</w:t>
            </w:r>
          </w:p>
        </w:tc>
      </w:tr>
      <w:tr>
        <w:trPr>
          <w:trHeight w:val="474" w:hRule="atLeast"/>
        </w:trPr>
        <w:tc>
          <w:tcPr>
            <w:tcW w:w="3117" w:type="dxa"/>
          </w:tcPr>
          <w:p>
            <w:pPr>
              <w:pStyle w:val="TableParagraph"/>
              <w:rPr>
                <w:sz w:val="24"/>
              </w:rPr>
            </w:pPr>
            <w:r>
              <w:rPr>
                <w:sz w:val="24"/>
              </w:rPr>
              <w:t>Net Sales</w:t>
            </w:r>
          </w:p>
        </w:tc>
        <w:tc>
          <w:tcPr>
            <w:tcW w:w="3121" w:type="dxa"/>
          </w:tcPr>
          <w:p>
            <w:pPr>
              <w:pStyle w:val="TableParagraph"/>
              <w:spacing w:line="268" w:lineRule="exact"/>
              <w:ind w:left="114"/>
              <w:rPr>
                <w:sz w:val="24"/>
              </w:rPr>
            </w:pPr>
            <w:r>
              <w:rPr>
                <w:sz w:val="24"/>
              </w:rPr>
              <w:t>184910.70</w:t>
            </w:r>
          </w:p>
        </w:tc>
        <w:tc>
          <w:tcPr>
            <w:tcW w:w="2848" w:type="dxa"/>
          </w:tcPr>
          <w:p>
            <w:pPr>
              <w:pStyle w:val="TableParagraph"/>
              <w:spacing w:line="268" w:lineRule="exact"/>
              <w:ind w:left="109"/>
              <w:rPr>
                <w:sz w:val="24"/>
              </w:rPr>
            </w:pPr>
            <w:r>
              <w:rPr>
                <w:sz w:val="24"/>
              </w:rPr>
              <w:t>141987.43</w:t>
            </w:r>
          </w:p>
        </w:tc>
      </w:tr>
      <w:tr>
        <w:trPr>
          <w:trHeight w:val="474" w:hRule="atLeast"/>
        </w:trPr>
        <w:tc>
          <w:tcPr>
            <w:tcW w:w="3117" w:type="dxa"/>
          </w:tcPr>
          <w:p>
            <w:pPr>
              <w:pStyle w:val="TableParagraph"/>
              <w:rPr>
                <w:sz w:val="24"/>
              </w:rPr>
            </w:pPr>
            <w:r>
              <w:rPr>
                <w:sz w:val="24"/>
              </w:rPr>
              <w:t>Net Profit margin</w:t>
            </w:r>
          </w:p>
        </w:tc>
        <w:tc>
          <w:tcPr>
            <w:tcW w:w="3121" w:type="dxa"/>
          </w:tcPr>
          <w:p>
            <w:pPr>
              <w:pStyle w:val="TableParagraph"/>
              <w:ind w:left="114"/>
              <w:rPr>
                <w:sz w:val="24"/>
              </w:rPr>
            </w:pPr>
            <w:r>
              <w:rPr>
                <w:sz w:val="24"/>
              </w:rPr>
              <w:t>0.935%</w:t>
            </w:r>
          </w:p>
        </w:tc>
        <w:tc>
          <w:tcPr>
            <w:tcW w:w="2848" w:type="dxa"/>
          </w:tcPr>
          <w:p>
            <w:pPr>
              <w:pStyle w:val="TableParagraph"/>
              <w:ind w:left="109"/>
              <w:rPr>
                <w:sz w:val="24"/>
              </w:rPr>
            </w:pPr>
            <w:r>
              <w:rPr>
                <w:sz w:val="24"/>
              </w:rPr>
              <w:t>1.41%</w:t>
            </w:r>
          </w:p>
        </w:tc>
      </w:tr>
    </w:tbl>
    <w:p>
      <w:pPr>
        <w:pStyle w:val="BodyText"/>
        <w:spacing w:before="7"/>
        <w:rPr>
          <w:b/>
          <w:sz w:val="23"/>
        </w:rPr>
      </w:pPr>
    </w:p>
    <w:p>
      <w:pPr>
        <w:spacing w:before="0"/>
        <w:ind w:left="340" w:right="0" w:firstLine="0"/>
        <w:jc w:val="left"/>
        <w:rPr>
          <w:b/>
          <w:sz w:val="28"/>
        </w:rPr>
      </w:pPr>
      <w:r>
        <w:rPr/>
        <w:pict>
          <v:group style="position:absolute;margin-left:72.744003pt;margin-top:17.585312pt;width:448.5pt;height:196.25pt;mso-position-horizontal-relative:page;mso-position-vertical-relative:paragraph;z-index:-251607040;mso-wrap-distance-left:0;mso-wrap-distance-right:0" coordorigin="1455,352" coordsize="8970,3925">
            <v:line style="position:absolute" from="2247,3067" to="10185,3067" stroked="true" strokeweight=".75pt" strokecolor="#d9d9d9">
              <v:stroke dashstyle="solid"/>
            </v:line>
            <v:line style="position:absolute" from="2247,2786" to="10185,2786" stroked="true" strokeweight=".75pt" strokecolor="#d9d9d9">
              <v:stroke dashstyle="solid"/>
            </v:line>
            <v:line style="position:absolute" from="2247,2505" to="10185,2505" stroked="true" strokeweight=".75pt" strokecolor="#d9d9d9">
              <v:stroke dashstyle="solid"/>
            </v:line>
            <v:line style="position:absolute" from="2247,2225" to="10185,2225" stroked="true" strokeweight=".75pt" strokecolor="#d9d9d9">
              <v:stroke dashstyle="solid"/>
            </v:line>
            <v:line style="position:absolute" from="2247,1944" to="10185,1944" stroked="true" strokeweight=".75pt" strokecolor="#d9d9d9">
              <v:stroke dashstyle="solid"/>
            </v:line>
            <v:line style="position:absolute" from="2247,1663" to="10185,1663" stroked="true" strokeweight=".75pt" strokecolor="#d9d9d9">
              <v:stroke dashstyle="solid"/>
            </v:line>
            <v:line style="position:absolute" from="2247,1382" to="10185,1382" stroked="true" strokeweight=".75pt" strokecolor="#d9d9d9">
              <v:stroke dashstyle="solid"/>
            </v:line>
            <v:line style="position:absolute" from="4232,1368" to="8200,2035" stroked="true" strokeweight="2.25pt" strokecolor="#5b9bd3">
              <v:stroke dashstyle="solid"/>
            </v:line>
            <v:line style="position:absolute" from="2247,1102" to="10185,1102" stroked="true" strokeweight=".75pt" strokecolor="#d9d9d9">
              <v:stroke dashstyle="solid"/>
            </v:line>
            <v:line style="position:absolute" from="2247,3348" to="10185,3348" stroked="true" strokeweight=".75pt" strokecolor="#d9d9d9">
              <v:stroke dashstyle="solid"/>
            </v:line>
            <v:line style="position:absolute" from="5454,3981" to="5858,3981" stroked="true" strokeweight="2.25pt" strokecolor="#5b9bd3">
              <v:stroke dashstyle="solid"/>
            </v:line>
            <v:rect style="position:absolute;left:1462;top:359;width:8955;height:3910" filled="false" stroked="true" strokeweight=".75pt" strokecolor="#d9d9d9">
              <v:stroke dashstyle="solid"/>
            </v:rect>
            <v:shape style="position:absolute;left:5899;top:3897;width:620;height:183" type="#_x0000_t75" stroked="false">
              <v:imagedata r:id="rId14" o:title=""/>
            </v:shape>
            <v:shape style="position:absolute;left:8006;top:3499;width:408;height:183" type="#_x0000_t75" stroked="false">
              <v:imagedata r:id="rId15" o:title=""/>
            </v:shape>
            <v:shape style="position:absolute;left:4036;top:3499;width:408;height:183" type="#_x0000_t75" stroked="false">
              <v:imagedata r:id="rId15" o:title=""/>
            </v:shape>
            <v:shape style="position:absolute;left:1598;top:1017;width:495;height:2429" type="#_x0000_t75" stroked="false">
              <v:imagedata r:id="rId31" o:title=""/>
            </v:shape>
            <v:shape style="position:absolute;left:5472;top:566;width:956;height:284" type="#_x0000_t75" stroked="false">
              <v:imagedata r:id="rId32" o:title=""/>
            </v:shape>
            <v:shape style="position:absolute;left:5901;top:3912;width:59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 1</w:t>
                    </w:r>
                  </w:p>
                </w:txbxContent>
              </v:textbox>
              <w10:wrap type="none"/>
            </v:shape>
            <v:shape style="position:absolute;left:8009;top:3514;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2019</w:t>
                    </w:r>
                  </w:p>
                </w:txbxContent>
              </v:textbox>
              <w10:wrap type="none"/>
            </v:shape>
            <v:shape style="position:absolute;left:4038;top:3514;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2018</w:t>
                    </w:r>
                  </w:p>
                </w:txbxContent>
              </v:textbox>
              <w10:wrap type="none"/>
            </v:shape>
            <v:shape style="position:absolute;left:1598;top:1031;width:472;height:2420" type="#_x0000_t202" filled="false" stroked="false">
              <v:textbox inset="0,0,0,0">
                <w:txbxContent>
                  <w:p>
                    <w:pPr>
                      <w:spacing w:line="185" w:lineRule="exact" w:before="0"/>
                      <w:ind w:left="0" w:right="0" w:firstLine="0"/>
                      <w:jc w:val="left"/>
                      <w:rPr>
                        <w:rFonts w:ascii="Calibri"/>
                        <w:sz w:val="18"/>
                      </w:rPr>
                    </w:pPr>
                    <w:r>
                      <w:rPr>
                        <w:rFonts w:ascii="Calibri"/>
                        <w:color w:val="575757"/>
                        <w:sz w:val="18"/>
                      </w:rPr>
                      <w:t>1.60%</w:t>
                    </w:r>
                  </w:p>
                  <w:p>
                    <w:pPr>
                      <w:spacing w:before="44"/>
                      <w:ind w:left="0" w:right="0" w:firstLine="0"/>
                      <w:jc w:val="left"/>
                      <w:rPr>
                        <w:rFonts w:ascii="Calibri"/>
                        <w:sz w:val="18"/>
                      </w:rPr>
                    </w:pPr>
                    <w:r>
                      <w:rPr>
                        <w:rFonts w:ascii="Calibri"/>
                        <w:color w:val="575757"/>
                        <w:sz w:val="18"/>
                      </w:rPr>
                      <w:t>1.40%</w:t>
                    </w:r>
                  </w:p>
                  <w:p>
                    <w:pPr>
                      <w:spacing w:before="64"/>
                      <w:ind w:left="0" w:right="0" w:firstLine="0"/>
                      <w:jc w:val="left"/>
                      <w:rPr>
                        <w:rFonts w:ascii="Calibri"/>
                        <w:sz w:val="18"/>
                      </w:rPr>
                    </w:pPr>
                    <w:r>
                      <w:rPr>
                        <w:rFonts w:ascii="Calibri"/>
                        <w:color w:val="575757"/>
                        <w:sz w:val="18"/>
                      </w:rPr>
                      <w:t>1.20%</w:t>
                    </w:r>
                  </w:p>
                  <w:p>
                    <w:pPr>
                      <w:spacing w:before="59"/>
                      <w:ind w:left="0" w:right="0" w:firstLine="0"/>
                      <w:jc w:val="left"/>
                      <w:rPr>
                        <w:rFonts w:ascii="Calibri"/>
                        <w:sz w:val="18"/>
                      </w:rPr>
                    </w:pPr>
                    <w:r>
                      <w:rPr>
                        <w:rFonts w:ascii="Calibri"/>
                        <w:color w:val="575757"/>
                        <w:sz w:val="18"/>
                      </w:rPr>
                      <w:t>1.00%</w:t>
                    </w:r>
                  </w:p>
                  <w:p>
                    <w:pPr>
                      <w:spacing w:before="63"/>
                      <w:ind w:left="0" w:right="0" w:firstLine="0"/>
                      <w:jc w:val="left"/>
                      <w:rPr>
                        <w:rFonts w:ascii="Calibri"/>
                        <w:sz w:val="18"/>
                      </w:rPr>
                    </w:pPr>
                    <w:r>
                      <w:rPr>
                        <w:rFonts w:ascii="Calibri"/>
                        <w:color w:val="575757"/>
                        <w:sz w:val="18"/>
                      </w:rPr>
                      <w:t>0.80%</w:t>
                    </w:r>
                  </w:p>
                  <w:p>
                    <w:pPr>
                      <w:spacing w:before="59"/>
                      <w:ind w:left="0" w:right="0" w:firstLine="0"/>
                      <w:jc w:val="left"/>
                      <w:rPr>
                        <w:rFonts w:ascii="Calibri"/>
                        <w:sz w:val="18"/>
                      </w:rPr>
                    </w:pPr>
                    <w:r>
                      <w:rPr>
                        <w:rFonts w:ascii="Calibri"/>
                        <w:color w:val="575757"/>
                        <w:sz w:val="18"/>
                      </w:rPr>
                      <w:t>0.60%</w:t>
                    </w:r>
                  </w:p>
                  <w:p>
                    <w:pPr>
                      <w:spacing w:before="68"/>
                      <w:ind w:left="0" w:right="0" w:firstLine="0"/>
                      <w:jc w:val="left"/>
                      <w:rPr>
                        <w:rFonts w:ascii="Calibri"/>
                        <w:sz w:val="18"/>
                      </w:rPr>
                    </w:pPr>
                    <w:r>
                      <w:rPr>
                        <w:rFonts w:ascii="Calibri"/>
                        <w:color w:val="575757"/>
                        <w:sz w:val="18"/>
                      </w:rPr>
                      <w:t>0.40%</w:t>
                    </w:r>
                  </w:p>
                  <w:p>
                    <w:pPr>
                      <w:spacing w:before="59"/>
                      <w:ind w:left="0" w:right="0" w:firstLine="0"/>
                      <w:jc w:val="left"/>
                      <w:rPr>
                        <w:rFonts w:ascii="Calibri"/>
                        <w:sz w:val="18"/>
                      </w:rPr>
                    </w:pPr>
                    <w:r>
                      <w:rPr>
                        <w:rFonts w:ascii="Calibri"/>
                        <w:color w:val="575757"/>
                        <w:sz w:val="18"/>
                      </w:rPr>
                      <w:t>0.20%</w:t>
                    </w:r>
                  </w:p>
                  <w:p>
                    <w:pPr>
                      <w:spacing w:line="217" w:lineRule="exact" w:before="63"/>
                      <w:ind w:left="0" w:right="0" w:firstLine="0"/>
                      <w:jc w:val="left"/>
                      <w:rPr>
                        <w:rFonts w:ascii="Calibri"/>
                        <w:sz w:val="18"/>
                      </w:rPr>
                    </w:pPr>
                    <w:r>
                      <w:rPr>
                        <w:rFonts w:ascii="Calibri"/>
                        <w:color w:val="575757"/>
                        <w:sz w:val="18"/>
                      </w:rPr>
                      <w:t>0.00%</w:t>
                    </w:r>
                  </w:p>
                </w:txbxContent>
              </v:textbox>
              <w10:wrap type="none"/>
            </v:shape>
            <v:shape style="position:absolute;left:5474;top:580;width:901;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 1</w:t>
                    </w:r>
                  </w:p>
                </w:txbxContent>
              </v:textbox>
              <w10:wrap type="none"/>
            </v:shape>
            <w10:wrap type="topAndBottom"/>
          </v:group>
        </w:pict>
      </w:r>
      <w:r>
        <w:rPr>
          <w:b/>
          <w:sz w:val="28"/>
        </w:rPr>
        <w:t>Graph</w:t>
      </w:r>
      <w:r>
        <w:rPr>
          <w:b/>
          <w:spacing w:val="-8"/>
          <w:sz w:val="28"/>
        </w:rPr>
        <w:t> </w:t>
      </w:r>
      <w:r>
        <w:rPr>
          <w:b/>
          <w:sz w:val="28"/>
        </w:rPr>
        <w:t>chart</w:t>
      </w:r>
    </w:p>
    <w:p>
      <w:pPr>
        <w:pStyle w:val="BodyText"/>
        <w:spacing w:before="7"/>
        <w:rPr>
          <w:b/>
          <w:sz w:val="36"/>
        </w:rPr>
      </w:pPr>
    </w:p>
    <w:p>
      <w:pPr>
        <w:spacing w:before="0"/>
        <w:ind w:left="340" w:right="0" w:firstLine="0"/>
        <w:jc w:val="left"/>
        <w:rPr>
          <w:b/>
          <w:sz w:val="24"/>
        </w:rPr>
      </w:pPr>
      <w:r>
        <w:rPr>
          <w:b/>
          <w:sz w:val="24"/>
        </w:rPr>
        <w:t>Interpretation</w:t>
      </w:r>
    </w:p>
    <w:p>
      <w:pPr>
        <w:pStyle w:val="BodyText"/>
        <w:spacing w:before="133"/>
        <w:ind w:left="340"/>
      </w:pPr>
      <w:r>
        <w:rPr/>
        <w:t>Therefore, the Net Profit Margin was 1.41% in 2018 and its decrease to 0.935% in 2019.</w:t>
      </w:r>
    </w:p>
    <w:p>
      <w:pPr>
        <w:pStyle w:val="BodyText"/>
        <w:rPr>
          <w:sz w:val="26"/>
        </w:rPr>
      </w:pPr>
    </w:p>
    <w:p>
      <w:pPr>
        <w:pStyle w:val="BodyText"/>
        <w:spacing w:before="2"/>
        <w:rPr>
          <w:sz w:val="22"/>
        </w:rPr>
      </w:pPr>
    </w:p>
    <w:p>
      <w:pPr>
        <w:pStyle w:val="Heading3"/>
      </w:pPr>
      <w:r>
        <w:rPr/>
        <w:t>Return on Assets (ROA)</w:t>
      </w:r>
    </w:p>
    <w:p>
      <w:pPr>
        <w:pStyle w:val="BodyText"/>
        <w:spacing w:line="360" w:lineRule="auto" w:before="137"/>
        <w:ind w:left="340" w:right="55"/>
      </w:pPr>
      <w:r>
        <w:rPr/>
        <w:t>ROA</w:t>
      </w:r>
      <w:r>
        <w:rPr>
          <w:spacing w:val="-5"/>
        </w:rPr>
        <w:t> is </w:t>
      </w:r>
      <w:r>
        <w:rPr/>
        <w:t>the company return on assets, using that methods the overall effectiveness of management </w:t>
      </w:r>
      <w:r>
        <w:rPr>
          <w:spacing w:val="-3"/>
        </w:rPr>
        <w:t>in </w:t>
      </w:r>
      <w:r>
        <w:rPr/>
        <w:t>generating profits with its available asset.</w:t>
      </w:r>
    </w:p>
    <w:p>
      <w:pPr>
        <w:pStyle w:val="Heading3"/>
        <w:spacing w:before="3"/>
      </w:pPr>
      <w:r>
        <w:rPr/>
        <w:t>Return on Assets (ROA) = (Net profit after tax / Total assets) × 100</w:t>
      </w:r>
    </w:p>
    <w:p>
      <w:pPr>
        <w:spacing w:after="0"/>
        <w:sectPr>
          <w:pgSz w:w="12240" w:h="15840"/>
          <w:pgMar w:header="0" w:footer="1039" w:top="1360" w:bottom="1220" w:left="1100" w:right="1300"/>
        </w:sectPr>
      </w:pPr>
    </w:p>
    <w:p>
      <w:pPr>
        <w:spacing w:before="77"/>
        <w:ind w:left="340" w:right="0" w:firstLine="0"/>
        <w:jc w:val="left"/>
        <w:rPr>
          <w:b/>
          <w:sz w:val="24"/>
        </w:rPr>
      </w:pPr>
      <w:r>
        <w:rPr>
          <w:b/>
          <w:sz w:val="24"/>
        </w:rPr>
        <w:t>(Amount in Millions)</w:t>
      </w:r>
    </w:p>
    <w:p>
      <w:pPr>
        <w:pStyle w:val="BodyText"/>
        <w:spacing w:before="2"/>
        <w:rPr>
          <w:b/>
          <w:sz w:val="12"/>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6"/>
        <w:gridCol w:w="3120"/>
        <w:gridCol w:w="2746"/>
      </w:tblGrid>
      <w:tr>
        <w:trPr>
          <w:trHeight w:val="587" w:hRule="atLeast"/>
        </w:trPr>
        <w:tc>
          <w:tcPr>
            <w:tcW w:w="3126" w:type="dxa"/>
            <w:tcBorders>
              <w:bottom w:val="single" w:sz="6" w:space="0" w:color="000000"/>
            </w:tcBorders>
          </w:tcPr>
          <w:p>
            <w:pPr>
              <w:pStyle w:val="TableParagraph"/>
              <w:rPr>
                <w:sz w:val="24"/>
              </w:rPr>
            </w:pPr>
            <w:r>
              <w:rPr>
                <w:sz w:val="24"/>
              </w:rPr>
              <w:t>Year</w:t>
            </w:r>
          </w:p>
        </w:tc>
        <w:tc>
          <w:tcPr>
            <w:tcW w:w="3120" w:type="dxa"/>
            <w:tcBorders>
              <w:bottom w:val="single" w:sz="6" w:space="0" w:color="000000"/>
            </w:tcBorders>
          </w:tcPr>
          <w:p>
            <w:pPr>
              <w:pStyle w:val="TableParagraph"/>
              <w:rPr>
                <w:sz w:val="24"/>
              </w:rPr>
            </w:pPr>
            <w:r>
              <w:rPr>
                <w:sz w:val="24"/>
              </w:rPr>
              <w:t>2019</w:t>
            </w:r>
          </w:p>
        </w:tc>
        <w:tc>
          <w:tcPr>
            <w:tcW w:w="2746" w:type="dxa"/>
            <w:tcBorders>
              <w:bottom w:val="single" w:sz="6" w:space="0" w:color="000000"/>
            </w:tcBorders>
          </w:tcPr>
          <w:p>
            <w:pPr>
              <w:pStyle w:val="TableParagraph"/>
              <w:ind w:left="111"/>
              <w:rPr>
                <w:sz w:val="24"/>
              </w:rPr>
            </w:pPr>
            <w:r>
              <w:rPr>
                <w:sz w:val="24"/>
              </w:rPr>
              <w:t>2018</w:t>
            </w:r>
          </w:p>
        </w:tc>
      </w:tr>
      <w:tr>
        <w:trPr>
          <w:trHeight w:val="582" w:hRule="atLeast"/>
        </w:trPr>
        <w:tc>
          <w:tcPr>
            <w:tcW w:w="3126" w:type="dxa"/>
            <w:tcBorders>
              <w:top w:val="single" w:sz="6" w:space="0" w:color="000000"/>
            </w:tcBorders>
          </w:tcPr>
          <w:p>
            <w:pPr>
              <w:pStyle w:val="TableParagraph"/>
              <w:spacing w:line="270" w:lineRule="exact"/>
              <w:rPr>
                <w:sz w:val="24"/>
              </w:rPr>
            </w:pPr>
            <w:r>
              <w:rPr>
                <w:sz w:val="24"/>
              </w:rPr>
              <w:t>Net profit after tax</w:t>
            </w:r>
          </w:p>
        </w:tc>
        <w:tc>
          <w:tcPr>
            <w:tcW w:w="3120" w:type="dxa"/>
            <w:tcBorders>
              <w:top w:val="single" w:sz="6" w:space="0" w:color="000000"/>
            </w:tcBorders>
          </w:tcPr>
          <w:p>
            <w:pPr>
              <w:pStyle w:val="TableParagraph"/>
              <w:spacing w:line="270" w:lineRule="exact"/>
              <w:rPr>
                <w:sz w:val="24"/>
              </w:rPr>
            </w:pPr>
            <w:r>
              <w:rPr>
                <w:sz w:val="24"/>
              </w:rPr>
              <w:t>1729.61</w:t>
            </w:r>
          </w:p>
        </w:tc>
        <w:tc>
          <w:tcPr>
            <w:tcW w:w="2746" w:type="dxa"/>
            <w:tcBorders>
              <w:top w:val="single" w:sz="6" w:space="0" w:color="000000"/>
            </w:tcBorders>
          </w:tcPr>
          <w:p>
            <w:pPr>
              <w:pStyle w:val="TableParagraph"/>
              <w:spacing w:line="270" w:lineRule="exact"/>
              <w:ind w:left="111"/>
              <w:rPr>
                <w:sz w:val="24"/>
              </w:rPr>
            </w:pPr>
            <w:r>
              <w:rPr>
                <w:sz w:val="24"/>
              </w:rPr>
              <w:t>2008.84</w:t>
            </w:r>
          </w:p>
        </w:tc>
      </w:tr>
      <w:tr>
        <w:trPr>
          <w:trHeight w:val="719" w:hRule="atLeast"/>
        </w:trPr>
        <w:tc>
          <w:tcPr>
            <w:tcW w:w="3126" w:type="dxa"/>
          </w:tcPr>
          <w:p>
            <w:pPr>
              <w:pStyle w:val="TableParagraph"/>
              <w:rPr>
                <w:sz w:val="24"/>
              </w:rPr>
            </w:pPr>
            <w:r>
              <w:rPr>
                <w:sz w:val="24"/>
              </w:rPr>
              <w:t>Total assets</w:t>
            </w:r>
          </w:p>
        </w:tc>
        <w:tc>
          <w:tcPr>
            <w:tcW w:w="3120" w:type="dxa"/>
          </w:tcPr>
          <w:p>
            <w:pPr>
              <w:pStyle w:val="TableParagraph"/>
              <w:rPr>
                <w:sz w:val="24"/>
              </w:rPr>
            </w:pPr>
            <w:r>
              <w:rPr>
                <w:sz w:val="24"/>
              </w:rPr>
              <w:t>239770.63</w:t>
            </w:r>
          </w:p>
        </w:tc>
        <w:tc>
          <w:tcPr>
            <w:tcW w:w="2746" w:type="dxa"/>
          </w:tcPr>
          <w:p>
            <w:pPr>
              <w:pStyle w:val="TableParagraph"/>
              <w:ind w:left="111"/>
              <w:rPr>
                <w:sz w:val="24"/>
              </w:rPr>
            </w:pPr>
            <w:r>
              <w:rPr>
                <w:sz w:val="24"/>
              </w:rPr>
              <w:t>210241.52</w:t>
            </w:r>
          </w:p>
        </w:tc>
      </w:tr>
      <w:tr>
        <w:trPr>
          <w:trHeight w:val="590" w:hRule="atLeast"/>
        </w:trPr>
        <w:tc>
          <w:tcPr>
            <w:tcW w:w="3126" w:type="dxa"/>
          </w:tcPr>
          <w:p>
            <w:pPr>
              <w:pStyle w:val="TableParagraph"/>
              <w:rPr>
                <w:sz w:val="24"/>
              </w:rPr>
            </w:pPr>
            <w:r>
              <w:rPr>
                <w:sz w:val="24"/>
              </w:rPr>
              <w:t>ROA</w:t>
            </w:r>
          </w:p>
        </w:tc>
        <w:tc>
          <w:tcPr>
            <w:tcW w:w="3120" w:type="dxa"/>
          </w:tcPr>
          <w:p>
            <w:pPr>
              <w:pStyle w:val="TableParagraph"/>
              <w:rPr>
                <w:sz w:val="24"/>
              </w:rPr>
            </w:pPr>
            <w:r>
              <w:rPr>
                <w:sz w:val="24"/>
              </w:rPr>
              <w:t>0.72%</w:t>
            </w:r>
          </w:p>
        </w:tc>
        <w:tc>
          <w:tcPr>
            <w:tcW w:w="2746" w:type="dxa"/>
          </w:tcPr>
          <w:p>
            <w:pPr>
              <w:pStyle w:val="TableParagraph"/>
              <w:ind w:left="111"/>
              <w:rPr>
                <w:sz w:val="24"/>
              </w:rPr>
            </w:pPr>
            <w:r>
              <w:rPr>
                <w:sz w:val="24"/>
              </w:rPr>
              <w:t>0.96%</w:t>
            </w:r>
          </w:p>
        </w:tc>
      </w:tr>
    </w:tbl>
    <w:p>
      <w:pPr>
        <w:pStyle w:val="BodyText"/>
        <w:spacing w:before="6"/>
        <w:rPr>
          <w:b/>
          <w:sz w:val="23"/>
        </w:rPr>
      </w:pPr>
    </w:p>
    <w:p>
      <w:pPr>
        <w:spacing w:before="1"/>
        <w:ind w:left="340" w:right="0" w:firstLine="0"/>
        <w:jc w:val="left"/>
        <w:rPr>
          <w:b/>
          <w:sz w:val="28"/>
        </w:rPr>
      </w:pPr>
      <w:r>
        <w:rPr/>
        <w:pict>
          <v:group style="position:absolute;margin-left:86.967003pt;margin-top:17.525305pt;width:451.55pt;height:235.75pt;mso-position-horizontal-relative:page;mso-position-vertical-relative:paragraph;z-index:-251600896;mso-wrap-distance-left:0;mso-wrap-distance-right:0" coordorigin="1739,351" coordsize="9031,4715">
            <v:line style="position:absolute" from="2475,3631" to="10547,3631" stroked="true" strokeweight=".75pt" strokecolor="#d9d9d9">
              <v:stroke dashstyle="solid"/>
            </v:line>
            <v:line style="position:absolute" from="2475,3124" to="10547,3124" stroked="true" strokeweight=".75pt" strokecolor="#d9d9d9">
              <v:stroke dashstyle="solid"/>
            </v:line>
            <v:line style="position:absolute" from="2475,2619" to="10547,2619" stroked="true" strokeweight=".75pt" strokecolor="#d9d9d9">
              <v:stroke dashstyle="solid"/>
            </v:line>
            <v:line style="position:absolute" from="2475,2113" to="10547,2113" stroked="true" strokeweight=".75pt" strokecolor="#d9d9d9">
              <v:stroke dashstyle="solid"/>
            </v:line>
            <v:line style="position:absolute" from="4493,1707" to="8529,2315" stroked="true" strokeweight="2.25pt" strokecolor="#5b9bd3">
              <v:stroke dashstyle="solid"/>
            </v:line>
            <v:line style="position:absolute" from="2475,1606" to="10547,1606" stroked="true" strokeweight=".75pt" strokecolor="#d9d9d9">
              <v:stroke dashstyle="solid"/>
            </v:line>
            <v:line style="position:absolute" from="2475,1100" to="10547,1100" stroked="true" strokeweight=".75pt" strokecolor="#d9d9d9">
              <v:stroke dashstyle="solid"/>
            </v:line>
            <v:line style="position:absolute" from="2475,4137" to="10547,4137" stroked="true" strokeweight=".75pt" strokecolor="#d9d9d9">
              <v:stroke dashstyle="solid"/>
            </v:line>
            <v:line style="position:absolute" from="5804,4770" to="6179,4770" stroked="true" strokeweight="2.25pt" strokecolor="#5b9bd3">
              <v:stroke dashstyle="solid"/>
            </v:line>
            <v:rect style="position:absolute;left:1746;top:358;width:9016;height:4700" filled="false" stroked="true" strokeweight=".75pt" strokecolor="#d9d9d9">
              <v:stroke dashstyle="solid"/>
            </v:rect>
            <v:shape style="position:absolute;left:6216;top:4686;width:576;height:183" type="#_x0000_t75" stroked="false">
              <v:imagedata r:id="rId33" o:title=""/>
            </v:shape>
            <v:shape style="position:absolute;left:8352;top:4288;width:375;height:178" type="#_x0000_t75" stroked="false">
              <v:imagedata r:id="rId34" o:title=""/>
            </v:shape>
            <v:shape style="position:absolute;left:4315;top:4288;width:375;height:178" type="#_x0000_t75" stroked="false">
              <v:imagedata r:id="rId34" o:title=""/>
            </v:shape>
            <v:shape style="position:absolute;left:1872;top:1019;width:461;height:3216" type="#_x0000_t75" stroked="false">
              <v:imagedata r:id="rId35" o:title=""/>
            </v:shape>
            <v:shape style="position:absolute;left:5822;top:563;width:884;height:284" type="#_x0000_t75" stroked="false">
              <v:imagedata r:id="rId36" o:title=""/>
            </v:shape>
            <v:shape style="position:absolute;left:6218;top:4701;width:59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 1</w:t>
                    </w:r>
                  </w:p>
                </w:txbxContent>
              </v:textbox>
              <w10:wrap type="none"/>
            </v:shape>
            <v:shape style="position:absolute;left:8354;top:4297;width:387;height:183" type="#_x0000_t202" filled="false" stroked="false">
              <v:textbox inset="0,0,0,0">
                <w:txbxContent>
                  <w:p>
                    <w:pPr>
                      <w:spacing w:line="183" w:lineRule="exact" w:before="0"/>
                      <w:ind w:left="0" w:right="0" w:firstLine="0"/>
                      <w:jc w:val="left"/>
                      <w:rPr>
                        <w:rFonts w:ascii="Calibri"/>
                        <w:sz w:val="18"/>
                      </w:rPr>
                    </w:pPr>
                    <w:r>
                      <w:rPr>
                        <w:rFonts w:ascii="Calibri"/>
                        <w:color w:val="575757"/>
                        <w:sz w:val="18"/>
                      </w:rPr>
                      <w:t>2019</w:t>
                    </w:r>
                  </w:p>
                </w:txbxContent>
              </v:textbox>
              <w10:wrap type="none"/>
            </v:shape>
            <v:shape style="position:absolute;left:4316;top:4297;width:385;height:183" type="#_x0000_t202" filled="false" stroked="false">
              <v:textbox inset="0,0,0,0">
                <w:txbxContent>
                  <w:p>
                    <w:pPr>
                      <w:spacing w:line="183" w:lineRule="exact" w:before="0"/>
                      <w:ind w:left="0" w:right="0" w:firstLine="0"/>
                      <w:jc w:val="left"/>
                      <w:rPr>
                        <w:rFonts w:ascii="Calibri"/>
                        <w:sz w:val="18"/>
                      </w:rPr>
                    </w:pPr>
                    <w:r>
                      <w:rPr>
                        <w:rFonts w:ascii="Calibri"/>
                        <w:color w:val="575757"/>
                        <w:sz w:val="18"/>
                      </w:rPr>
                      <w:t>2018</w:t>
                    </w:r>
                  </w:p>
                </w:txbxContent>
              </v:textbox>
              <w10:wrap type="none"/>
            </v:shape>
            <v:shape style="position:absolute;left:1872;top:1033;width:474;height:3198" type="#_x0000_t202" filled="false" stroked="false">
              <v:textbox inset="0,0,0,0">
                <w:txbxContent>
                  <w:p>
                    <w:pPr>
                      <w:spacing w:line="185" w:lineRule="exact" w:before="0"/>
                      <w:ind w:left="0" w:right="0" w:firstLine="0"/>
                      <w:jc w:val="left"/>
                      <w:rPr>
                        <w:rFonts w:ascii="Calibri"/>
                        <w:sz w:val="18"/>
                      </w:rPr>
                    </w:pPr>
                    <w:r>
                      <w:rPr>
                        <w:rFonts w:ascii="Calibri"/>
                        <w:color w:val="575757"/>
                        <w:sz w:val="18"/>
                      </w:rPr>
                      <w:t>1.20%</w:t>
                    </w:r>
                  </w:p>
                  <w:p>
                    <w:pPr>
                      <w:spacing w:line="240" w:lineRule="auto" w:before="5"/>
                      <w:rPr>
                        <w:b/>
                        <w:sz w:val="23"/>
                      </w:rPr>
                    </w:pPr>
                  </w:p>
                  <w:p>
                    <w:pPr>
                      <w:spacing w:before="0"/>
                      <w:ind w:left="0" w:right="0" w:firstLine="0"/>
                      <w:jc w:val="left"/>
                      <w:rPr>
                        <w:rFonts w:ascii="Calibri"/>
                        <w:sz w:val="18"/>
                      </w:rPr>
                    </w:pPr>
                    <w:r>
                      <w:rPr>
                        <w:rFonts w:ascii="Calibri"/>
                        <w:color w:val="575757"/>
                        <w:sz w:val="18"/>
                      </w:rPr>
                      <w:t>1.00%</w:t>
                    </w:r>
                  </w:p>
                  <w:p>
                    <w:pPr>
                      <w:spacing w:line="240" w:lineRule="auto" w:before="2"/>
                      <w:rPr>
                        <w:b/>
                        <w:sz w:val="25"/>
                      </w:rPr>
                    </w:pPr>
                  </w:p>
                  <w:p>
                    <w:pPr>
                      <w:spacing w:before="0"/>
                      <w:ind w:left="0" w:right="0" w:firstLine="0"/>
                      <w:jc w:val="left"/>
                      <w:rPr>
                        <w:rFonts w:ascii="Calibri"/>
                        <w:sz w:val="18"/>
                      </w:rPr>
                    </w:pPr>
                    <w:r>
                      <w:rPr>
                        <w:rFonts w:ascii="Calibri"/>
                        <w:color w:val="575757"/>
                        <w:sz w:val="18"/>
                      </w:rPr>
                      <w:t>0.80%</w:t>
                    </w:r>
                  </w:p>
                  <w:p>
                    <w:pPr>
                      <w:spacing w:line="240" w:lineRule="auto" w:before="8"/>
                      <w:rPr>
                        <w:b/>
                        <w:sz w:val="24"/>
                      </w:rPr>
                    </w:pPr>
                  </w:p>
                  <w:p>
                    <w:pPr>
                      <w:spacing w:before="0"/>
                      <w:ind w:left="0" w:right="0" w:firstLine="0"/>
                      <w:jc w:val="left"/>
                      <w:rPr>
                        <w:rFonts w:ascii="Calibri"/>
                        <w:sz w:val="18"/>
                      </w:rPr>
                    </w:pPr>
                    <w:r>
                      <w:rPr>
                        <w:rFonts w:ascii="Calibri"/>
                        <w:color w:val="575757"/>
                        <w:sz w:val="18"/>
                      </w:rPr>
                      <w:t>0.60%</w:t>
                    </w:r>
                  </w:p>
                  <w:p>
                    <w:pPr>
                      <w:spacing w:line="240" w:lineRule="auto" w:before="8"/>
                      <w:rPr>
                        <w:b/>
                        <w:sz w:val="24"/>
                      </w:rPr>
                    </w:pPr>
                  </w:p>
                  <w:p>
                    <w:pPr>
                      <w:spacing w:before="1"/>
                      <w:ind w:left="0" w:right="0" w:firstLine="0"/>
                      <w:jc w:val="left"/>
                      <w:rPr>
                        <w:rFonts w:ascii="Calibri"/>
                        <w:sz w:val="18"/>
                      </w:rPr>
                    </w:pPr>
                    <w:r>
                      <w:rPr>
                        <w:rFonts w:ascii="Calibri"/>
                        <w:color w:val="575757"/>
                        <w:sz w:val="18"/>
                      </w:rPr>
                      <w:t>0.40%</w:t>
                    </w:r>
                  </w:p>
                  <w:p>
                    <w:pPr>
                      <w:spacing w:line="240" w:lineRule="auto" w:before="1"/>
                      <w:rPr>
                        <w:b/>
                        <w:sz w:val="25"/>
                      </w:rPr>
                    </w:pPr>
                  </w:p>
                  <w:p>
                    <w:pPr>
                      <w:spacing w:before="0"/>
                      <w:ind w:left="0" w:right="0" w:firstLine="0"/>
                      <w:jc w:val="left"/>
                      <w:rPr>
                        <w:rFonts w:ascii="Calibri"/>
                        <w:sz w:val="18"/>
                      </w:rPr>
                    </w:pPr>
                    <w:r>
                      <w:rPr>
                        <w:rFonts w:ascii="Calibri"/>
                        <w:color w:val="575757"/>
                        <w:sz w:val="18"/>
                      </w:rPr>
                      <w:t>0.20%</w:t>
                    </w:r>
                  </w:p>
                  <w:p>
                    <w:pPr>
                      <w:spacing w:line="240" w:lineRule="auto" w:before="4"/>
                      <w:rPr>
                        <w:b/>
                        <w:sz w:val="24"/>
                      </w:rPr>
                    </w:pPr>
                  </w:p>
                  <w:p>
                    <w:pPr>
                      <w:spacing w:line="217" w:lineRule="exact" w:before="0"/>
                      <w:ind w:left="0" w:right="0" w:firstLine="0"/>
                      <w:jc w:val="left"/>
                      <w:rPr>
                        <w:rFonts w:ascii="Calibri"/>
                        <w:sz w:val="18"/>
                      </w:rPr>
                    </w:pPr>
                    <w:r>
                      <w:rPr>
                        <w:rFonts w:ascii="Calibri"/>
                        <w:color w:val="575757"/>
                        <w:sz w:val="18"/>
                      </w:rPr>
                      <w:t>0.00%</w:t>
                    </w:r>
                  </w:p>
                </w:txbxContent>
              </v:textbox>
              <w10:wrap type="none"/>
            </v:shape>
            <v:shape style="position:absolute;left:5824;top:581;width:695;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w:t>
                    </w:r>
                  </w:p>
                </w:txbxContent>
              </v:textbox>
              <w10:wrap type="none"/>
            </v:shape>
            <w10:wrap type="topAndBottom"/>
          </v:group>
        </w:pict>
      </w:r>
      <w:r>
        <w:rPr>
          <w:b/>
          <w:sz w:val="28"/>
        </w:rPr>
        <w:t>Graph</w:t>
      </w:r>
      <w:r>
        <w:rPr>
          <w:b/>
          <w:spacing w:val="-8"/>
          <w:sz w:val="28"/>
        </w:rPr>
        <w:t> </w:t>
      </w:r>
      <w:r>
        <w:rPr>
          <w:b/>
          <w:sz w:val="28"/>
        </w:rPr>
        <w:t>chart</w:t>
      </w:r>
    </w:p>
    <w:p>
      <w:pPr>
        <w:pStyle w:val="BodyText"/>
        <w:spacing w:before="4"/>
        <w:rPr>
          <w:b/>
          <w:sz w:val="35"/>
        </w:rPr>
      </w:pPr>
    </w:p>
    <w:p>
      <w:pPr>
        <w:spacing w:before="0"/>
        <w:ind w:left="340" w:right="0" w:firstLine="0"/>
        <w:jc w:val="left"/>
        <w:rPr>
          <w:b/>
          <w:sz w:val="24"/>
        </w:rPr>
      </w:pPr>
      <w:r>
        <w:rPr>
          <w:b/>
          <w:sz w:val="24"/>
        </w:rPr>
        <w:t>Interpretation</w:t>
      </w:r>
    </w:p>
    <w:p>
      <w:pPr>
        <w:pStyle w:val="BodyText"/>
        <w:spacing w:line="360" w:lineRule="auto" w:before="137"/>
        <w:ind w:left="340" w:right="145"/>
        <w:jc w:val="both"/>
      </w:pPr>
      <w:r>
        <w:rPr>
          <w:spacing w:val="8"/>
        </w:rPr>
        <w:t>Return </w:t>
      </w:r>
      <w:r>
        <w:rPr>
          <w:spacing w:val="4"/>
        </w:rPr>
        <w:t>on </w:t>
      </w:r>
      <w:r>
        <w:rPr>
          <w:spacing w:val="11"/>
        </w:rPr>
        <w:t>assets </w:t>
      </w:r>
      <w:r>
        <w:rPr>
          <w:spacing w:val="10"/>
        </w:rPr>
        <w:t>decreased </w:t>
      </w:r>
      <w:r>
        <w:rPr/>
        <w:t>in </w:t>
      </w:r>
      <w:r>
        <w:rPr>
          <w:spacing w:val="6"/>
        </w:rPr>
        <w:t>2019 </w:t>
      </w:r>
      <w:r>
        <w:rPr>
          <w:spacing w:val="4"/>
        </w:rPr>
        <w:t>and </w:t>
      </w:r>
      <w:r>
        <w:rPr>
          <w:spacing w:val="-3"/>
        </w:rPr>
        <w:t>it </w:t>
      </w:r>
      <w:r>
        <w:rPr>
          <w:spacing w:val="4"/>
        </w:rPr>
        <w:t>had </w:t>
      </w:r>
      <w:r>
        <w:rPr>
          <w:spacing w:val="7"/>
        </w:rPr>
        <w:t>been </w:t>
      </w:r>
      <w:r>
        <w:rPr>
          <w:spacing w:val="5"/>
        </w:rPr>
        <w:t>most </w:t>
      </w:r>
      <w:r>
        <w:rPr/>
        <w:t>in </w:t>
      </w:r>
      <w:r>
        <w:rPr>
          <w:spacing w:val="6"/>
        </w:rPr>
        <w:t>the </w:t>
      </w:r>
      <w:r>
        <w:rPr>
          <w:spacing w:val="4"/>
        </w:rPr>
        <w:t>year </w:t>
      </w:r>
      <w:r>
        <w:rPr>
          <w:spacing w:val="10"/>
        </w:rPr>
        <w:t>2018.This </w:t>
      </w:r>
      <w:r>
        <w:rPr>
          <w:spacing w:val="4"/>
        </w:rPr>
        <w:t>may </w:t>
      </w:r>
      <w:r>
        <w:rPr>
          <w:spacing w:val="7"/>
        </w:rPr>
        <w:t>have </w:t>
      </w:r>
      <w:r>
        <w:rPr>
          <w:spacing w:val="10"/>
        </w:rPr>
        <w:t>occurred </w:t>
      </w:r>
      <w:r>
        <w:rPr/>
        <w:t>as a </w:t>
      </w:r>
      <w:r>
        <w:rPr>
          <w:spacing w:val="7"/>
        </w:rPr>
        <w:t>result of </w:t>
      </w:r>
      <w:r>
        <w:rPr>
          <w:spacing w:val="5"/>
        </w:rPr>
        <w:t>sq. </w:t>
      </w:r>
      <w:r>
        <w:rPr>
          <w:spacing w:val="6"/>
        </w:rPr>
        <w:t>used </w:t>
      </w:r>
      <w:r>
        <w:rPr/>
        <w:t>a </w:t>
      </w:r>
      <w:r>
        <w:rPr>
          <w:spacing w:val="4"/>
        </w:rPr>
        <w:t>lot of </w:t>
      </w:r>
      <w:r>
        <w:rPr>
          <w:spacing w:val="6"/>
        </w:rPr>
        <w:t>debt </w:t>
      </w:r>
      <w:r>
        <w:rPr>
          <w:spacing w:val="8"/>
        </w:rPr>
        <w:t>funding </w:t>
      </w:r>
      <w:r>
        <w:rPr/>
        <w:t>in </w:t>
      </w:r>
      <w:r>
        <w:rPr>
          <w:spacing w:val="8"/>
        </w:rPr>
        <w:t>2018 </w:t>
      </w:r>
      <w:r>
        <w:rPr>
          <w:spacing w:val="10"/>
        </w:rPr>
        <w:t>compared </w:t>
      </w:r>
      <w:r>
        <w:rPr>
          <w:spacing w:val="2"/>
        </w:rPr>
        <w:t>to </w:t>
      </w:r>
      <w:r>
        <w:rPr>
          <w:spacing w:val="6"/>
        </w:rPr>
        <w:t>2019 that </w:t>
      </w:r>
      <w:r>
        <w:rPr>
          <w:spacing w:val="10"/>
        </w:rPr>
        <w:t>resulted </w:t>
      </w:r>
      <w:r>
        <w:rPr/>
        <w:t>in </w:t>
      </w:r>
      <w:r>
        <w:rPr>
          <w:spacing w:val="11"/>
        </w:rPr>
        <w:t>additional </w:t>
      </w:r>
      <w:r>
        <w:rPr>
          <w:spacing w:val="9"/>
        </w:rPr>
        <w:t>interest </w:t>
      </w:r>
      <w:r>
        <w:rPr>
          <w:spacing w:val="6"/>
        </w:rPr>
        <w:t>price </w:t>
      </w:r>
      <w:r>
        <w:rPr>
          <w:spacing w:val="4"/>
        </w:rPr>
        <w:t>and </w:t>
      </w:r>
      <w:r>
        <w:rPr>
          <w:spacing w:val="9"/>
        </w:rPr>
        <w:t>brought </w:t>
      </w:r>
      <w:r>
        <w:rPr>
          <w:spacing w:val="5"/>
        </w:rPr>
        <w:t>cyber </w:t>
      </w:r>
      <w:r>
        <w:rPr>
          <w:spacing w:val="7"/>
        </w:rPr>
        <w:t>web </w:t>
      </w:r>
      <w:r>
        <w:rPr>
          <w:spacing w:val="10"/>
        </w:rPr>
        <w:t>financial </w:t>
      </w:r>
      <w:r>
        <w:rPr>
          <w:spacing w:val="8"/>
        </w:rPr>
        <w:t>gain</w:t>
      </w:r>
      <w:r>
        <w:rPr>
          <w:spacing w:val="-23"/>
        </w:rPr>
        <w:t> </w:t>
      </w:r>
      <w:r>
        <w:rPr>
          <w:spacing w:val="8"/>
        </w:rPr>
        <w:t>down.</w:t>
      </w:r>
    </w:p>
    <w:p>
      <w:pPr>
        <w:pStyle w:val="BodyText"/>
        <w:spacing w:before="6"/>
        <w:rPr>
          <w:sz w:val="36"/>
        </w:rPr>
      </w:pPr>
    </w:p>
    <w:p>
      <w:pPr>
        <w:pStyle w:val="Heading3"/>
      </w:pPr>
      <w:r>
        <w:rPr/>
        <w:t>Return on Equity</w:t>
      </w:r>
    </w:p>
    <w:p>
      <w:pPr>
        <w:pStyle w:val="BodyText"/>
        <w:spacing w:line="360" w:lineRule="auto" w:before="132"/>
        <w:ind w:left="340"/>
      </w:pPr>
      <w:r>
        <w:rPr/>
        <w:t>ROE</w:t>
      </w:r>
      <w:r>
        <w:rPr>
          <w:spacing w:val="-11"/>
        </w:rPr>
        <w:t> </w:t>
      </w:r>
      <w:r>
        <w:rPr/>
        <w:t>measure</w:t>
      </w:r>
      <w:r>
        <w:rPr>
          <w:spacing w:val="-16"/>
        </w:rPr>
        <w:t> </w:t>
      </w:r>
      <w:r>
        <w:rPr/>
        <w:t>the</w:t>
      </w:r>
      <w:r>
        <w:rPr>
          <w:spacing w:val="-13"/>
        </w:rPr>
        <w:t> </w:t>
      </w:r>
      <w:r>
        <w:rPr/>
        <w:t>financial</w:t>
      </w:r>
      <w:r>
        <w:rPr>
          <w:spacing w:val="-21"/>
        </w:rPr>
        <w:t> </w:t>
      </w:r>
      <w:r>
        <w:rPr/>
        <w:t>performance</w:t>
      </w:r>
      <w:r>
        <w:rPr>
          <w:spacing w:val="-16"/>
        </w:rPr>
        <w:t> </w:t>
      </w:r>
      <w:r>
        <w:rPr/>
        <w:t>calculated</w:t>
      </w:r>
      <w:r>
        <w:rPr>
          <w:spacing w:val="-16"/>
        </w:rPr>
        <w:t> </w:t>
      </w:r>
      <w:r>
        <w:rPr/>
        <w:t>by</w:t>
      </w:r>
      <w:r>
        <w:rPr>
          <w:spacing w:val="-21"/>
        </w:rPr>
        <w:t> </w:t>
      </w:r>
      <w:r>
        <w:rPr/>
        <w:t>dividing</w:t>
      </w:r>
      <w:r>
        <w:rPr>
          <w:spacing w:val="-12"/>
        </w:rPr>
        <w:t> </w:t>
      </w:r>
      <w:r>
        <w:rPr/>
        <w:t>net</w:t>
      </w:r>
      <w:r>
        <w:rPr>
          <w:spacing w:val="-11"/>
        </w:rPr>
        <w:t> </w:t>
      </w:r>
      <w:r>
        <w:rPr>
          <w:spacing w:val="-2"/>
        </w:rPr>
        <w:t>income</w:t>
      </w:r>
      <w:r>
        <w:rPr>
          <w:spacing w:val="-13"/>
        </w:rPr>
        <w:t> </w:t>
      </w:r>
      <w:r>
        <w:rPr/>
        <w:t>by</w:t>
      </w:r>
      <w:r>
        <w:rPr>
          <w:spacing w:val="-16"/>
        </w:rPr>
        <w:t> </w:t>
      </w:r>
      <w:r>
        <w:rPr/>
        <w:t>shareholders'</w:t>
      </w:r>
      <w:r>
        <w:rPr>
          <w:spacing w:val="-20"/>
        </w:rPr>
        <w:t> </w:t>
      </w:r>
      <w:r>
        <w:rPr/>
        <w:t>equity. The ratio showing the </w:t>
      </w:r>
      <w:r>
        <w:rPr>
          <w:spacing w:val="-3"/>
        </w:rPr>
        <w:t>profit </w:t>
      </w:r>
      <w:r>
        <w:rPr/>
        <w:t>earning ability </w:t>
      </w:r>
      <w:r>
        <w:rPr>
          <w:spacing w:val="4"/>
        </w:rPr>
        <w:t>of </w:t>
      </w:r>
      <w:r>
        <w:rPr/>
        <w:t>the company </w:t>
      </w:r>
      <w:r>
        <w:rPr>
          <w:spacing w:val="-3"/>
        </w:rPr>
        <w:t>in </w:t>
      </w:r>
      <w:r>
        <w:rPr/>
        <w:t>equity share</w:t>
      </w:r>
      <w:r>
        <w:rPr>
          <w:spacing w:val="-4"/>
        </w:rPr>
        <w:t> </w:t>
      </w:r>
      <w:r>
        <w:rPr/>
        <w:t>capital.</w:t>
      </w:r>
    </w:p>
    <w:p>
      <w:pPr>
        <w:pStyle w:val="Heading3"/>
        <w:spacing w:before="3"/>
      </w:pPr>
      <w:r>
        <w:rPr/>
        <w:t>Return on Equity (ROE) = (Net income / Shareholder equity) × 100</w:t>
      </w:r>
    </w:p>
    <w:p>
      <w:pPr>
        <w:spacing w:after="0"/>
        <w:sectPr>
          <w:pgSz w:w="12240" w:h="15840"/>
          <w:pgMar w:header="0" w:footer="1039" w:top="1360" w:bottom="1220" w:left="1100" w:right="1300"/>
        </w:sectPr>
      </w:pPr>
    </w:p>
    <w:p>
      <w:pPr>
        <w:spacing w:before="77"/>
        <w:ind w:left="340" w:right="0" w:firstLine="0"/>
        <w:jc w:val="left"/>
        <w:rPr>
          <w:b/>
          <w:sz w:val="24"/>
        </w:rPr>
      </w:pPr>
      <w:r>
        <w:rPr>
          <w:b/>
          <w:sz w:val="24"/>
        </w:rPr>
        <w:t>(Amount in Millions)</w:t>
      </w:r>
    </w:p>
    <w:p>
      <w:pPr>
        <w:pStyle w:val="BodyText"/>
        <w:spacing w:before="2"/>
        <w:rPr>
          <w:b/>
          <w:sz w:val="12"/>
        </w:rPr>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90"/>
        <w:gridCol w:w="2920"/>
        <w:gridCol w:w="2915"/>
      </w:tblGrid>
      <w:tr>
        <w:trPr>
          <w:trHeight w:val="441" w:hRule="atLeast"/>
        </w:trPr>
        <w:tc>
          <w:tcPr>
            <w:tcW w:w="3290" w:type="dxa"/>
          </w:tcPr>
          <w:p>
            <w:pPr>
              <w:pStyle w:val="TableParagraph"/>
              <w:spacing w:line="244" w:lineRule="exact"/>
              <w:rPr>
                <w:sz w:val="24"/>
              </w:rPr>
            </w:pPr>
            <w:r>
              <w:rPr>
                <w:sz w:val="24"/>
              </w:rPr>
              <w:t>Year</w:t>
            </w:r>
          </w:p>
        </w:tc>
        <w:tc>
          <w:tcPr>
            <w:tcW w:w="2920" w:type="dxa"/>
          </w:tcPr>
          <w:p>
            <w:pPr>
              <w:pStyle w:val="TableParagraph"/>
              <w:spacing w:line="244" w:lineRule="exact"/>
              <w:ind w:left="109"/>
              <w:rPr>
                <w:sz w:val="24"/>
              </w:rPr>
            </w:pPr>
            <w:r>
              <w:rPr>
                <w:sz w:val="24"/>
              </w:rPr>
              <w:t>2019</w:t>
            </w:r>
          </w:p>
        </w:tc>
        <w:tc>
          <w:tcPr>
            <w:tcW w:w="2915" w:type="dxa"/>
          </w:tcPr>
          <w:p>
            <w:pPr>
              <w:pStyle w:val="TableParagraph"/>
              <w:spacing w:line="244" w:lineRule="exact"/>
              <w:ind w:left="108"/>
              <w:rPr>
                <w:sz w:val="24"/>
              </w:rPr>
            </w:pPr>
            <w:r>
              <w:rPr>
                <w:sz w:val="24"/>
              </w:rPr>
              <w:t>2018</w:t>
            </w:r>
          </w:p>
        </w:tc>
      </w:tr>
      <w:tr>
        <w:trPr>
          <w:trHeight w:val="436" w:hRule="atLeast"/>
        </w:trPr>
        <w:tc>
          <w:tcPr>
            <w:tcW w:w="3290" w:type="dxa"/>
          </w:tcPr>
          <w:p>
            <w:pPr>
              <w:pStyle w:val="TableParagraph"/>
              <w:spacing w:line="244" w:lineRule="exact"/>
              <w:rPr>
                <w:sz w:val="24"/>
              </w:rPr>
            </w:pPr>
            <w:r>
              <w:rPr>
                <w:sz w:val="24"/>
              </w:rPr>
              <w:t>Net income</w:t>
            </w:r>
          </w:p>
        </w:tc>
        <w:tc>
          <w:tcPr>
            <w:tcW w:w="2920" w:type="dxa"/>
          </w:tcPr>
          <w:p>
            <w:pPr>
              <w:pStyle w:val="TableParagraph"/>
              <w:spacing w:line="244" w:lineRule="exact"/>
              <w:ind w:left="109"/>
              <w:rPr>
                <w:sz w:val="24"/>
              </w:rPr>
            </w:pPr>
            <w:r>
              <w:rPr>
                <w:sz w:val="24"/>
              </w:rPr>
              <w:t>1729.61</w:t>
            </w:r>
          </w:p>
        </w:tc>
        <w:tc>
          <w:tcPr>
            <w:tcW w:w="2915" w:type="dxa"/>
          </w:tcPr>
          <w:p>
            <w:pPr>
              <w:pStyle w:val="TableParagraph"/>
              <w:spacing w:line="244" w:lineRule="exact"/>
              <w:ind w:left="108"/>
              <w:rPr>
                <w:sz w:val="24"/>
              </w:rPr>
            </w:pPr>
            <w:r>
              <w:rPr>
                <w:sz w:val="24"/>
              </w:rPr>
              <w:t>2008.84</w:t>
            </w:r>
          </w:p>
        </w:tc>
      </w:tr>
      <w:tr>
        <w:trPr>
          <w:trHeight w:val="436" w:hRule="atLeast"/>
        </w:trPr>
        <w:tc>
          <w:tcPr>
            <w:tcW w:w="3290" w:type="dxa"/>
          </w:tcPr>
          <w:p>
            <w:pPr>
              <w:pStyle w:val="TableParagraph"/>
              <w:spacing w:line="244" w:lineRule="exact"/>
              <w:rPr>
                <w:sz w:val="24"/>
              </w:rPr>
            </w:pPr>
            <w:r>
              <w:rPr>
                <w:sz w:val="24"/>
              </w:rPr>
              <w:t>Shareholder equity</w:t>
            </w:r>
          </w:p>
        </w:tc>
        <w:tc>
          <w:tcPr>
            <w:tcW w:w="2920" w:type="dxa"/>
          </w:tcPr>
          <w:p>
            <w:pPr>
              <w:pStyle w:val="TableParagraph"/>
              <w:spacing w:line="244" w:lineRule="exact"/>
              <w:ind w:left="109"/>
              <w:rPr>
                <w:sz w:val="24"/>
              </w:rPr>
            </w:pPr>
            <w:r>
              <w:rPr>
                <w:sz w:val="24"/>
              </w:rPr>
              <w:t>12112.18</w:t>
            </w:r>
          </w:p>
        </w:tc>
        <w:tc>
          <w:tcPr>
            <w:tcW w:w="2915" w:type="dxa"/>
          </w:tcPr>
          <w:p>
            <w:pPr>
              <w:pStyle w:val="TableParagraph"/>
              <w:spacing w:line="244" w:lineRule="exact"/>
              <w:ind w:left="108"/>
              <w:rPr>
                <w:sz w:val="24"/>
              </w:rPr>
            </w:pPr>
            <w:r>
              <w:rPr>
                <w:sz w:val="24"/>
              </w:rPr>
              <w:t>11175.16</w:t>
            </w:r>
          </w:p>
        </w:tc>
      </w:tr>
      <w:tr>
        <w:trPr>
          <w:trHeight w:val="436" w:hRule="atLeast"/>
        </w:trPr>
        <w:tc>
          <w:tcPr>
            <w:tcW w:w="3290" w:type="dxa"/>
          </w:tcPr>
          <w:p>
            <w:pPr>
              <w:pStyle w:val="TableParagraph"/>
              <w:spacing w:line="244" w:lineRule="exact"/>
              <w:rPr>
                <w:sz w:val="24"/>
              </w:rPr>
            </w:pPr>
            <w:r>
              <w:rPr>
                <w:sz w:val="24"/>
              </w:rPr>
              <w:t>ROE</w:t>
            </w:r>
          </w:p>
        </w:tc>
        <w:tc>
          <w:tcPr>
            <w:tcW w:w="2920" w:type="dxa"/>
          </w:tcPr>
          <w:p>
            <w:pPr>
              <w:pStyle w:val="TableParagraph"/>
              <w:spacing w:line="244" w:lineRule="exact"/>
              <w:ind w:left="109"/>
              <w:rPr>
                <w:sz w:val="24"/>
              </w:rPr>
            </w:pPr>
            <w:r>
              <w:rPr>
                <w:sz w:val="24"/>
              </w:rPr>
              <w:t>14.28%</w:t>
            </w:r>
          </w:p>
        </w:tc>
        <w:tc>
          <w:tcPr>
            <w:tcW w:w="2915" w:type="dxa"/>
          </w:tcPr>
          <w:p>
            <w:pPr>
              <w:pStyle w:val="TableParagraph"/>
              <w:spacing w:line="244" w:lineRule="exact"/>
              <w:ind w:left="108"/>
              <w:rPr>
                <w:sz w:val="24"/>
              </w:rPr>
            </w:pPr>
            <w:r>
              <w:rPr>
                <w:sz w:val="24"/>
              </w:rPr>
              <w:t>17.98%</w:t>
            </w:r>
          </w:p>
        </w:tc>
      </w:tr>
    </w:tbl>
    <w:p>
      <w:pPr>
        <w:spacing w:before="209" w:after="22"/>
        <w:ind w:left="340" w:right="0" w:firstLine="0"/>
        <w:jc w:val="left"/>
        <w:rPr>
          <w:b/>
          <w:sz w:val="28"/>
        </w:rPr>
      </w:pPr>
      <w:r>
        <w:rPr>
          <w:b/>
          <w:sz w:val="28"/>
        </w:rPr>
        <w:t>Graph</w:t>
      </w:r>
      <w:r>
        <w:rPr>
          <w:b/>
          <w:spacing w:val="-8"/>
          <w:sz w:val="28"/>
        </w:rPr>
        <w:t> </w:t>
      </w:r>
      <w:r>
        <w:rPr>
          <w:b/>
          <w:sz w:val="28"/>
        </w:rPr>
        <w:t>chart</w:t>
      </w:r>
    </w:p>
    <w:p>
      <w:pPr>
        <w:pStyle w:val="BodyText"/>
        <w:ind w:left="662"/>
        <w:rPr>
          <w:sz w:val="20"/>
        </w:rPr>
      </w:pPr>
      <w:r>
        <w:rPr>
          <w:sz w:val="20"/>
        </w:rPr>
        <w:pict>
          <v:group style="width:450.75pt;height:179.25pt;mso-position-horizontal-relative:char;mso-position-vertical-relative:line" coordorigin="0,0" coordsize="9015,3585">
            <v:line style="position:absolute" from="903,2179" to="8772,2179" stroked="true" strokeweight=".75pt" strokecolor="#d9d9d9">
              <v:stroke dashstyle="solid"/>
            </v:line>
            <v:line style="position:absolute" from="903,1704" to="8772,1704" stroked="true" strokeweight=".75pt" strokecolor="#d9d9d9">
              <v:stroke dashstyle="solid"/>
            </v:line>
            <v:line style="position:absolute" from="903,1227" to="8772,1227" stroked="true" strokeweight=".75pt" strokecolor="#d9d9d9">
              <v:stroke dashstyle="solid"/>
            </v:line>
            <v:line style="position:absolute" from="2870,943" to="6805,1295" stroked="true" strokeweight="2.25pt" strokecolor="#5b9bd3">
              <v:stroke dashstyle="solid"/>
            </v:line>
            <v:line style="position:absolute" from="903,749" to="8772,749" stroked="true" strokeweight=".75pt" strokecolor="#d9d9d9">
              <v:stroke dashstyle="solid"/>
            </v:line>
            <v:line style="position:absolute" from="903,2656" to="8772,2656" stroked="true" strokeweight=".75pt" strokecolor="#d9d9d9">
              <v:stroke dashstyle="solid"/>
            </v:line>
            <v:line style="position:absolute" from="4014,3290" to="4425,3290" stroked="true" strokeweight="2.25pt" strokecolor="#5b9bd3">
              <v:stroke dashstyle="solid"/>
            </v:line>
            <v:rect style="position:absolute;left:7;top:7;width:9000;height:3570" filled="false" stroked="true" strokeweight=".75pt" strokecolor="#d9d9d9">
              <v:stroke dashstyle="solid"/>
            </v:rect>
            <v:shape style="position:absolute;left:4467;top:3208;width:629;height:178" type="#_x0000_t75" stroked="false">
              <v:imagedata r:id="rId37" o:title=""/>
            </v:shape>
            <v:shape style="position:absolute;left:6608;top:2805;width:413;height:183" type="#_x0000_t75" stroked="false">
              <v:imagedata r:id="rId38" o:title=""/>
            </v:shape>
            <v:shape style="position:absolute;left:2672;top:2805;width:413;height:183" type="#_x0000_t75" stroked="false">
              <v:imagedata r:id="rId38" o:title=""/>
            </v:shape>
            <v:shape style="position:absolute;left:147;top:664;width:600;height:2088" type="#_x0000_t75" stroked="false">
              <v:imagedata r:id="rId39" o:title=""/>
            </v:shape>
            <v:shape style="position:absolute;left:4035;top:213;width:965;height:284" type="#_x0000_t75" stroked="false">
              <v:imagedata r:id="rId40" o:title=""/>
            </v:shape>
            <v:shape style="position:absolute;left:4470;top:3218;width:59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 1</w:t>
                    </w:r>
                  </w:p>
                </w:txbxContent>
              </v:textbox>
              <w10:wrap type="none"/>
            </v:shape>
            <v:shape style="position:absolute;left:6611;top:2819;width:387;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2019</w:t>
                    </w:r>
                  </w:p>
                </w:txbxContent>
              </v:textbox>
              <w10:wrap type="none"/>
            </v:shape>
            <v:shape style="position:absolute;left:2674;top:2819;width:387;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2017</w:t>
                    </w:r>
                  </w:p>
                </w:txbxContent>
              </v:textbox>
              <w10:wrap type="none"/>
            </v:shape>
            <v:shape style="position:absolute;left:148;top:677;width:564;height:2079" type="#_x0000_t202" filled="false" stroked="false">
              <v:textbox inset="0,0,0,0">
                <w:txbxContent>
                  <w:p>
                    <w:pPr>
                      <w:spacing w:line="185" w:lineRule="exact" w:before="0"/>
                      <w:ind w:left="0" w:right="0" w:firstLine="0"/>
                      <w:jc w:val="left"/>
                      <w:rPr>
                        <w:rFonts w:ascii="Calibri"/>
                        <w:sz w:val="18"/>
                      </w:rPr>
                    </w:pPr>
                    <w:r>
                      <w:rPr>
                        <w:rFonts w:ascii="Calibri"/>
                        <w:color w:val="575757"/>
                        <w:sz w:val="18"/>
                      </w:rPr>
                      <w:t>20.00%</w:t>
                    </w:r>
                  </w:p>
                  <w:p>
                    <w:pPr>
                      <w:spacing w:line="240" w:lineRule="auto" w:before="4"/>
                      <w:rPr>
                        <w:b/>
                        <w:sz w:val="21"/>
                      </w:rPr>
                    </w:pPr>
                  </w:p>
                  <w:p>
                    <w:pPr>
                      <w:spacing w:before="0"/>
                      <w:ind w:left="0" w:right="0" w:firstLine="0"/>
                      <w:jc w:val="left"/>
                      <w:rPr>
                        <w:rFonts w:ascii="Calibri"/>
                        <w:sz w:val="18"/>
                      </w:rPr>
                    </w:pPr>
                    <w:r>
                      <w:rPr>
                        <w:rFonts w:ascii="Calibri"/>
                        <w:color w:val="575757"/>
                        <w:sz w:val="18"/>
                      </w:rPr>
                      <w:t>15.00%</w:t>
                    </w:r>
                  </w:p>
                  <w:p>
                    <w:pPr>
                      <w:spacing w:line="240" w:lineRule="auto" w:before="3"/>
                      <w:rPr>
                        <w:b/>
                        <w:sz w:val="22"/>
                      </w:rPr>
                    </w:pPr>
                  </w:p>
                  <w:p>
                    <w:pPr>
                      <w:spacing w:before="0"/>
                      <w:ind w:left="0" w:right="0" w:firstLine="0"/>
                      <w:jc w:val="left"/>
                      <w:rPr>
                        <w:rFonts w:ascii="Calibri"/>
                        <w:sz w:val="18"/>
                      </w:rPr>
                    </w:pPr>
                    <w:r>
                      <w:rPr>
                        <w:rFonts w:ascii="Calibri"/>
                        <w:color w:val="575757"/>
                        <w:sz w:val="18"/>
                      </w:rPr>
                      <w:t>10.00%</w:t>
                    </w:r>
                  </w:p>
                  <w:p>
                    <w:pPr>
                      <w:spacing w:line="240" w:lineRule="auto" w:before="2"/>
                      <w:rPr>
                        <w:b/>
                        <w:sz w:val="22"/>
                      </w:rPr>
                    </w:pPr>
                  </w:p>
                  <w:p>
                    <w:pPr>
                      <w:spacing w:before="1"/>
                      <w:ind w:left="91" w:right="0" w:firstLine="0"/>
                      <w:jc w:val="left"/>
                      <w:rPr>
                        <w:rFonts w:ascii="Calibri"/>
                        <w:sz w:val="18"/>
                      </w:rPr>
                    </w:pPr>
                    <w:r>
                      <w:rPr>
                        <w:rFonts w:ascii="Calibri"/>
                        <w:color w:val="575757"/>
                        <w:sz w:val="18"/>
                      </w:rPr>
                      <w:t>5.00%</w:t>
                    </w:r>
                  </w:p>
                  <w:p>
                    <w:pPr>
                      <w:spacing w:line="240" w:lineRule="auto" w:before="7"/>
                      <w:rPr>
                        <w:b/>
                        <w:sz w:val="22"/>
                      </w:rPr>
                    </w:pPr>
                  </w:p>
                  <w:p>
                    <w:pPr>
                      <w:spacing w:line="217" w:lineRule="exact" w:before="0"/>
                      <w:ind w:left="91" w:right="0" w:firstLine="0"/>
                      <w:jc w:val="left"/>
                      <w:rPr>
                        <w:rFonts w:ascii="Calibri"/>
                        <w:sz w:val="18"/>
                      </w:rPr>
                    </w:pPr>
                    <w:r>
                      <w:rPr>
                        <w:rFonts w:ascii="Calibri"/>
                        <w:color w:val="575757"/>
                        <w:sz w:val="18"/>
                      </w:rPr>
                      <w:t>0.00%</w:t>
                    </w:r>
                  </w:p>
                </w:txbxContent>
              </v:textbox>
              <w10:wrap type="none"/>
            </v:shape>
            <v:shape style="position:absolute;left:4038;top:226;width:901;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 1</w:t>
                    </w:r>
                  </w:p>
                </w:txbxContent>
              </v:textbox>
              <w10:wrap type="none"/>
            </v:shape>
          </v:group>
        </w:pict>
      </w:r>
      <w:r>
        <w:rPr>
          <w:sz w:val="20"/>
        </w:rPr>
      </w:r>
    </w:p>
    <w:p>
      <w:pPr>
        <w:pStyle w:val="BodyText"/>
        <w:spacing w:before="8"/>
        <w:rPr>
          <w:b/>
          <w:sz w:val="34"/>
        </w:rPr>
      </w:pPr>
    </w:p>
    <w:p>
      <w:pPr>
        <w:spacing w:before="0"/>
        <w:ind w:left="340" w:right="0" w:firstLine="0"/>
        <w:jc w:val="left"/>
        <w:rPr>
          <w:b/>
          <w:sz w:val="24"/>
        </w:rPr>
      </w:pPr>
      <w:r>
        <w:rPr>
          <w:b/>
          <w:sz w:val="24"/>
        </w:rPr>
        <w:t>Interpretation</w:t>
      </w:r>
    </w:p>
    <w:p>
      <w:pPr>
        <w:pStyle w:val="BodyText"/>
        <w:spacing w:line="360" w:lineRule="auto" w:before="137"/>
        <w:ind w:left="340"/>
      </w:pPr>
      <w:r>
        <w:rPr/>
        <w:t>The come-on Equity was most in 2018 however decreased in 2019.This might have happened because of the problem of more short term debt in 2019.</w:t>
      </w:r>
    </w:p>
    <w:p>
      <w:pPr>
        <w:pStyle w:val="BodyText"/>
        <w:spacing w:before="1"/>
        <w:rPr>
          <w:sz w:val="36"/>
        </w:rPr>
      </w:pPr>
    </w:p>
    <w:p>
      <w:pPr>
        <w:pStyle w:val="Heading3"/>
        <w:numPr>
          <w:ilvl w:val="2"/>
          <w:numId w:val="14"/>
        </w:numPr>
        <w:tabs>
          <w:tab w:pos="884" w:val="left" w:leader="none"/>
        </w:tabs>
        <w:spacing w:line="240" w:lineRule="auto" w:before="1" w:after="0"/>
        <w:ind w:left="883" w:right="0" w:hanging="544"/>
        <w:jc w:val="left"/>
      </w:pPr>
      <w:r>
        <w:rPr/>
        <w:t>Activity</w:t>
      </w:r>
      <w:r>
        <w:rPr>
          <w:spacing w:val="-3"/>
        </w:rPr>
        <w:t> </w:t>
      </w:r>
      <w:r>
        <w:rPr/>
        <w:t>Ratio</w:t>
      </w:r>
    </w:p>
    <w:p>
      <w:pPr>
        <w:pStyle w:val="BodyText"/>
        <w:spacing w:line="360" w:lineRule="auto" w:before="136"/>
        <w:ind w:left="340" w:right="263"/>
      </w:pPr>
      <w:r>
        <w:rPr/>
        <w:t>Activity ratios live the number of resources endowed in an exceedingly company's assortment and inventory management.</w:t>
      </w:r>
    </w:p>
    <w:p>
      <w:pPr>
        <w:pStyle w:val="BodyText"/>
        <w:spacing w:before="2"/>
        <w:rPr>
          <w:sz w:val="36"/>
        </w:rPr>
      </w:pPr>
    </w:p>
    <w:p>
      <w:pPr>
        <w:pStyle w:val="Heading3"/>
        <w:jc w:val="both"/>
      </w:pPr>
      <w:r>
        <w:rPr/>
        <w:t>Total Asset Turnover</w:t>
      </w:r>
    </w:p>
    <w:p>
      <w:pPr>
        <w:pStyle w:val="BodyText"/>
        <w:spacing w:line="360" w:lineRule="auto" w:before="137"/>
        <w:ind w:left="340" w:right="144"/>
        <w:jc w:val="both"/>
      </w:pPr>
      <w:r>
        <w:rPr/>
        <w:t>The plus turnover quantitative relation is associate degree potency quantitative relation that measures a company's ability to get sales from its assets by scrutiny income with average total assets.</w:t>
      </w:r>
    </w:p>
    <w:p>
      <w:pPr>
        <w:pStyle w:val="BodyText"/>
        <w:spacing w:line="362" w:lineRule="auto"/>
        <w:ind w:left="340" w:right="150"/>
        <w:jc w:val="both"/>
      </w:pPr>
      <w:r>
        <w:rPr/>
        <w:t>In</w:t>
      </w:r>
      <w:r>
        <w:rPr>
          <w:spacing w:val="-11"/>
        </w:rPr>
        <w:t> </w:t>
      </w:r>
      <w:r>
        <w:rPr/>
        <w:t>alternative</w:t>
      </w:r>
      <w:r>
        <w:rPr>
          <w:spacing w:val="-7"/>
        </w:rPr>
        <w:t> </w:t>
      </w:r>
      <w:r>
        <w:rPr/>
        <w:t>words,</w:t>
      </w:r>
      <w:r>
        <w:rPr>
          <w:spacing w:val="-8"/>
        </w:rPr>
        <w:t> </w:t>
      </w:r>
      <w:r>
        <w:rPr/>
        <w:t>this</w:t>
      </w:r>
      <w:r>
        <w:rPr>
          <w:spacing w:val="-8"/>
        </w:rPr>
        <w:t> </w:t>
      </w:r>
      <w:r>
        <w:rPr/>
        <w:t>quantitative</w:t>
      </w:r>
      <w:r>
        <w:rPr>
          <w:spacing w:val="-7"/>
        </w:rPr>
        <w:t> </w:t>
      </w:r>
      <w:r>
        <w:rPr/>
        <w:t>relation</w:t>
      </w:r>
      <w:r>
        <w:rPr>
          <w:spacing w:val="-10"/>
        </w:rPr>
        <w:t> </w:t>
      </w:r>
      <w:r>
        <w:rPr/>
        <w:t>shows</w:t>
      </w:r>
      <w:r>
        <w:rPr>
          <w:spacing w:val="-9"/>
        </w:rPr>
        <w:t> </w:t>
      </w:r>
      <w:r>
        <w:rPr/>
        <w:t>however</w:t>
      </w:r>
      <w:r>
        <w:rPr>
          <w:spacing w:val="-4"/>
        </w:rPr>
        <w:t> </w:t>
      </w:r>
      <w:r>
        <w:rPr/>
        <w:t>expeditiously</w:t>
      </w:r>
      <w:r>
        <w:rPr>
          <w:spacing w:val="-9"/>
        </w:rPr>
        <w:t> </w:t>
      </w:r>
      <w:r>
        <w:rPr/>
        <w:t>a</w:t>
      </w:r>
      <w:r>
        <w:rPr>
          <w:spacing w:val="-7"/>
        </w:rPr>
        <w:t> </w:t>
      </w:r>
      <w:r>
        <w:rPr/>
        <w:t>corporation</w:t>
      </w:r>
      <w:r>
        <w:rPr>
          <w:spacing w:val="-11"/>
        </w:rPr>
        <w:t> </w:t>
      </w:r>
      <w:r>
        <w:rPr/>
        <w:t>will</w:t>
      </w:r>
      <w:r>
        <w:rPr>
          <w:spacing w:val="-14"/>
        </w:rPr>
        <w:t> </w:t>
      </w:r>
      <w:r>
        <w:rPr/>
        <w:t>use its assets to get</w:t>
      </w:r>
      <w:r>
        <w:rPr>
          <w:spacing w:val="8"/>
        </w:rPr>
        <w:t> </w:t>
      </w:r>
      <w:r>
        <w:rPr>
          <w:spacing w:val="-3"/>
        </w:rPr>
        <w:t>sales.</w:t>
      </w:r>
    </w:p>
    <w:p>
      <w:pPr>
        <w:pStyle w:val="Heading3"/>
        <w:jc w:val="both"/>
      </w:pPr>
      <w:r>
        <w:rPr/>
        <w:t>Total Asset Turnover: Total Sales/Total Asset</w:t>
      </w:r>
    </w:p>
    <w:p>
      <w:pPr>
        <w:spacing w:after="0"/>
        <w:jc w:val="both"/>
        <w:sectPr>
          <w:pgSz w:w="12240" w:h="15840"/>
          <w:pgMar w:header="0" w:footer="1039" w:top="1360" w:bottom="1220" w:left="1100" w:right="1300"/>
        </w:sectPr>
      </w:pPr>
    </w:p>
    <w:p>
      <w:pPr>
        <w:spacing w:before="77"/>
        <w:ind w:left="340" w:right="0" w:firstLine="0"/>
        <w:jc w:val="left"/>
        <w:rPr>
          <w:b/>
          <w:sz w:val="24"/>
        </w:rPr>
      </w:pPr>
      <w:r>
        <w:rPr>
          <w:b/>
          <w:sz w:val="24"/>
        </w:rPr>
        <w:t>(Amount in Millions)</w:t>
      </w:r>
    </w:p>
    <w:p>
      <w:pPr>
        <w:pStyle w:val="BodyText"/>
        <w:spacing w:before="2"/>
        <w:rPr>
          <w:b/>
          <w:sz w:val="12"/>
        </w:r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0"/>
        <w:gridCol w:w="2891"/>
        <w:gridCol w:w="2848"/>
      </w:tblGrid>
      <w:tr>
        <w:trPr>
          <w:trHeight w:val="527" w:hRule="atLeast"/>
        </w:trPr>
        <w:tc>
          <w:tcPr>
            <w:tcW w:w="3170" w:type="dxa"/>
          </w:tcPr>
          <w:p>
            <w:pPr>
              <w:pStyle w:val="TableParagraph"/>
              <w:rPr>
                <w:sz w:val="24"/>
              </w:rPr>
            </w:pPr>
            <w:r>
              <w:rPr>
                <w:sz w:val="24"/>
              </w:rPr>
              <w:t>Year</w:t>
            </w:r>
          </w:p>
        </w:tc>
        <w:tc>
          <w:tcPr>
            <w:tcW w:w="2891" w:type="dxa"/>
          </w:tcPr>
          <w:p>
            <w:pPr>
              <w:pStyle w:val="TableParagraph"/>
              <w:ind w:left="109"/>
              <w:rPr>
                <w:sz w:val="24"/>
              </w:rPr>
            </w:pPr>
            <w:r>
              <w:rPr>
                <w:sz w:val="24"/>
              </w:rPr>
              <w:t>2019</w:t>
            </w:r>
          </w:p>
        </w:tc>
        <w:tc>
          <w:tcPr>
            <w:tcW w:w="2848" w:type="dxa"/>
          </w:tcPr>
          <w:p>
            <w:pPr>
              <w:pStyle w:val="TableParagraph"/>
              <w:ind w:left="109"/>
              <w:rPr>
                <w:sz w:val="24"/>
              </w:rPr>
            </w:pPr>
            <w:r>
              <w:rPr>
                <w:sz w:val="24"/>
              </w:rPr>
              <w:t>2018</w:t>
            </w:r>
          </w:p>
        </w:tc>
      </w:tr>
      <w:tr>
        <w:trPr>
          <w:trHeight w:val="475" w:hRule="atLeast"/>
        </w:trPr>
        <w:tc>
          <w:tcPr>
            <w:tcW w:w="3170" w:type="dxa"/>
          </w:tcPr>
          <w:p>
            <w:pPr>
              <w:pStyle w:val="TableParagraph"/>
              <w:rPr>
                <w:sz w:val="24"/>
              </w:rPr>
            </w:pPr>
            <w:r>
              <w:rPr>
                <w:sz w:val="24"/>
              </w:rPr>
              <w:t>Total Sales</w:t>
            </w:r>
          </w:p>
        </w:tc>
        <w:tc>
          <w:tcPr>
            <w:tcW w:w="2891" w:type="dxa"/>
          </w:tcPr>
          <w:p>
            <w:pPr>
              <w:pStyle w:val="TableParagraph"/>
              <w:ind w:left="109"/>
              <w:rPr>
                <w:sz w:val="24"/>
              </w:rPr>
            </w:pPr>
            <w:r>
              <w:rPr>
                <w:sz w:val="24"/>
              </w:rPr>
              <w:t>184910.70</w:t>
            </w:r>
          </w:p>
        </w:tc>
        <w:tc>
          <w:tcPr>
            <w:tcW w:w="2848" w:type="dxa"/>
          </w:tcPr>
          <w:p>
            <w:pPr>
              <w:pStyle w:val="TableParagraph"/>
              <w:ind w:left="109"/>
              <w:rPr>
                <w:sz w:val="24"/>
              </w:rPr>
            </w:pPr>
            <w:r>
              <w:rPr>
                <w:sz w:val="24"/>
              </w:rPr>
              <w:t>141987.43</w:t>
            </w:r>
          </w:p>
        </w:tc>
      </w:tr>
      <w:tr>
        <w:trPr>
          <w:trHeight w:val="527" w:hRule="atLeast"/>
        </w:trPr>
        <w:tc>
          <w:tcPr>
            <w:tcW w:w="3170" w:type="dxa"/>
          </w:tcPr>
          <w:p>
            <w:pPr>
              <w:pStyle w:val="TableParagraph"/>
              <w:rPr>
                <w:sz w:val="24"/>
              </w:rPr>
            </w:pPr>
            <w:r>
              <w:rPr>
                <w:sz w:val="24"/>
              </w:rPr>
              <w:t>Total Assets</w:t>
            </w:r>
          </w:p>
        </w:tc>
        <w:tc>
          <w:tcPr>
            <w:tcW w:w="2891" w:type="dxa"/>
          </w:tcPr>
          <w:p>
            <w:pPr>
              <w:pStyle w:val="TableParagraph"/>
              <w:ind w:left="109"/>
              <w:rPr>
                <w:sz w:val="24"/>
              </w:rPr>
            </w:pPr>
            <w:r>
              <w:rPr>
                <w:sz w:val="24"/>
              </w:rPr>
              <w:t>239770.63</w:t>
            </w:r>
          </w:p>
        </w:tc>
        <w:tc>
          <w:tcPr>
            <w:tcW w:w="2848" w:type="dxa"/>
          </w:tcPr>
          <w:p>
            <w:pPr>
              <w:pStyle w:val="TableParagraph"/>
              <w:ind w:left="109"/>
              <w:rPr>
                <w:sz w:val="24"/>
              </w:rPr>
            </w:pPr>
            <w:r>
              <w:rPr>
                <w:sz w:val="24"/>
              </w:rPr>
              <w:t>210241.52</w:t>
            </w:r>
          </w:p>
        </w:tc>
      </w:tr>
      <w:tr>
        <w:trPr>
          <w:trHeight w:val="508" w:hRule="atLeast"/>
        </w:trPr>
        <w:tc>
          <w:tcPr>
            <w:tcW w:w="3170" w:type="dxa"/>
          </w:tcPr>
          <w:p>
            <w:pPr>
              <w:pStyle w:val="TableParagraph"/>
              <w:rPr>
                <w:sz w:val="24"/>
              </w:rPr>
            </w:pPr>
            <w:r>
              <w:rPr>
                <w:sz w:val="24"/>
              </w:rPr>
              <w:t>Total Asset Turnover</w:t>
            </w:r>
          </w:p>
        </w:tc>
        <w:tc>
          <w:tcPr>
            <w:tcW w:w="2891" w:type="dxa"/>
          </w:tcPr>
          <w:p>
            <w:pPr>
              <w:pStyle w:val="TableParagraph"/>
              <w:ind w:left="109"/>
              <w:rPr>
                <w:sz w:val="24"/>
              </w:rPr>
            </w:pPr>
            <w:r>
              <w:rPr>
                <w:sz w:val="24"/>
              </w:rPr>
              <w:t>0.771</w:t>
            </w:r>
          </w:p>
        </w:tc>
        <w:tc>
          <w:tcPr>
            <w:tcW w:w="2848" w:type="dxa"/>
          </w:tcPr>
          <w:p>
            <w:pPr>
              <w:pStyle w:val="TableParagraph"/>
              <w:ind w:left="109"/>
              <w:rPr>
                <w:sz w:val="24"/>
              </w:rPr>
            </w:pPr>
            <w:r>
              <w:rPr>
                <w:sz w:val="24"/>
              </w:rPr>
              <w:t>0.675</w:t>
            </w:r>
          </w:p>
        </w:tc>
      </w:tr>
    </w:tbl>
    <w:p>
      <w:pPr>
        <w:pStyle w:val="BodyText"/>
        <w:rPr>
          <w:b/>
        </w:rPr>
      </w:pPr>
    </w:p>
    <w:p>
      <w:pPr>
        <w:spacing w:before="0"/>
        <w:ind w:left="340" w:right="0" w:firstLine="0"/>
        <w:jc w:val="left"/>
        <w:rPr>
          <w:b/>
          <w:sz w:val="28"/>
        </w:rPr>
      </w:pPr>
      <w:r>
        <w:rPr/>
        <w:pict>
          <v:group style="position:absolute;margin-left:88.125pt;margin-top:17.405323pt;width:450.05pt;height:158.25pt;mso-position-horizontal-relative:page;mso-position-vertical-relative:paragraph;z-index:-251588608;mso-wrap-distance-left:0;mso-wrap-distance-right:0" coordorigin="1763,348" coordsize="9001,3165">
            <v:line style="position:absolute" from="2360,2214" to="10545,2214" stroked="true" strokeweight=".75pt" strokecolor="#d9d9d9">
              <v:stroke dashstyle="solid"/>
            </v:line>
            <v:line style="position:absolute" from="2360,1842" to="10545,1842" stroked="true" strokeweight=".75pt" strokecolor="#d9d9d9">
              <v:stroke dashstyle="solid"/>
            </v:line>
            <v:line style="position:absolute" from="2360,1470" to="10545,1470" stroked="true" strokeweight=".75pt" strokecolor="#d9d9d9">
              <v:stroke dashstyle="solid"/>
            </v:line>
            <v:line style="position:absolute" from="4407,2028" to="8498,2028" stroked="true" strokeweight="2.25pt" strokecolor="#5b9bd3">
              <v:stroke dashstyle="solid"/>
            </v:line>
            <v:line style="position:absolute" from="2360,1099" to="10545,1099" stroked="true" strokeweight=".75pt" strokecolor="#d9d9d9">
              <v:stroke dashstyle="solid"/>
            </v:line>
            <v:line style="position:absolute" from="2360,2585" to="10545,2585" stroked="true" strokeweight=".75pt" strokecolor="#d9d9d9">
              <v:stroke dashstyle="solid"/>
            </v:line>
            <v:line style="position:absolute" from="5820,3218" to="6189,3218" stroked="true" strokeweight="2.25pt" strokecolor="#5b9bd3">
              <v:stroke dashstyle="solid"/>
            </v:line>
            <v:rect style="position:absolute;left:1770;top:355;width:8986;height:3150" filled="false" stroked="true" strokeweight=".75pt" strokecolor="#d9d9d9">
              <v:stroke dashstyle="solid"/>
            </v:rect>
            <v:shape style="position:absolute;left:6230;top:3135;width:562;height:178" type="#_x0000_t75" stroked="false">
              <v:imagedata r:id="rId41" o:title=""/>
            </v:shape>
            <v:shape style="position:absolute;left:8323;top:2736;width:370;height:178" type="#_x0000_t75" stroked="false">
              <v:imagedata r:id="rId42" o:title=""/>
            </v:shape>
            <v:shape style="position:absolute;left:4228;top:2736;width:370;height:178" type="#_x0000_t75" stroked="false">
              <v:imagedata r:id="rId42" o:title=""/>
            </v:shape>
            <v:shape style="position:absolute;left:1896;top:1013;width:327;height:1671" type="#_x0000_t75" stroked="false">
              <v:imagedata r:id="rId43" o:title=""/>
            </v:shape>
            <v:shape style="position:absolute;left:5841;top:562;width:864;height:284" type="#_x0000_t75" stroked="false">
              <v:imagedata r:id="rId44" o:title=""/>
            </v:shape>
            <v:shape style="position:absolute;left:6228;top:3144;width:461;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Series</w:t>
                    </w:r>
                  </w:p>
                </w:txbxContent>
              </v:textbox>
              <w10:wrap type="none"/>
            </v:shape>
            <v:shape style="position:absolute;left:8326;top:2746;width:387;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2019</w:t>
                    </w:r>
                  </w:p>
                </w:txbxContent>
              </v:textbox>
              <w10:wrap type="none"/>
            </v:shape>
            <v:shape style="position:absolute;left:4230;top:2746;width:385;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2018</w:t>
                    </w:r>
                  </w:p>
                </w:txbxContent>
              </v:textbox>
              <w10:wrap type="none"/>
            </v:shape>
            <v:shape style="position:absolute;left:1896;top:1027;width:345;height:1662" type="#_x0000_t202" filled="false" stroked="false">
              <v:textbox inset="0,0,0,0">
                <w:txbxContent>
                  <w:p>
                    <w:pPr>
                      <w:spacing w:line="185" w:lineRule="exact" w:before="0"/>
                      <w:ind w:left="91" w:right="0" w:firstLine="0"/>
                      <w:jc w:val="left"/>
                      <w:rPr>
                        <w:rFonts w:ascii="Calibri"/>
                        <w:sz w:val="18"/>
                      </w:rPr>
                    </w:pPr>
                    <w:r>
                      <w:rPr>
                        <w:rFonts w:ascii="Calibri"/>
                        <w:color w:val="575757"/>
                        <w:sz w:val="18"/>
                      </w:rPr>
                      <w:t>0.8</w:t>
                    </w:r>
                  </w:p>
                  <w:p>
                    <w:pPr>
                      <w:spacing w:before="140"/>
                      <w:ind w:left="0" w:right="0" w:firstLine="0"/>
                      <w:jc w:val="left"/>
                      <w:rPr>
                        <w:rFonts w:ascii="Calibri"/>
                        <w:sz w:val="18"/>
                      </w:rPr>
                    </w:pPr>
                    <w:r>
                      <w:rPr>
                        <w:rFonts w:ascii="Calibri"/>
                        <w:color w:val="575757"/>
                        <w:sz w:val="18"/>
                      </w:rPr>
                      <w:t>0.75</w:t>
                    </w:r>
                  </w:p>
                  <w:p>
                    <w:pPr>
                      <w:spacing w:before="150"/>
                      <w:ind w:left="91" w:right="0" w:firstLine="0"/>
                      <w:jc w:val="left"/>
                      <w:rPr>
                        <w:rFonts w:ascii="Calibri"/>
                        <w:sz w:val="18"/>
                      </w:rPr>
                    </w:pPr>
                    <w:r>
                      <w:rPr>
                        <w:rFonts w:ascii="Calibri"/>
                        <w:color w:val="575757"/>
                        <w:sz w:val="18"/>
                      </w:rPr>
                      <w:t>0.7</w:t>
                    </w:r>
                  </w:p>
                  <w:p>
                    <w:pPr>
                      <w:spacing w:before="150"/>
                      <w:ind w:left="0" w:right="0" w:firstLine="0"/>
                      <w:jc w:val="left"/>
                      <w:rPr>
                        <w:rFonts w:ascii="Calibri"/>
                        <w:sz w:val="18"/>
                      </w:rPr>
                    </w:pPr>
                    <w:r>
                      <w:rPr>
                        <w:rFonts w:ascii="Calibri"/>
                        <w:color w:val="575757"/>
                        <w:sz w:val="18"/>
                      </w:rPr>
                      <w:t>0.65</w:t>
                    </w:r>
                  </w:p>
                  <w:p>
                    <w:pPr>
                      <w:spacing w:line="217" w:lineRule="exact" w:before="160"/>
                      <w:ind w:left="91" w:right="0" w:firstLine="0"/>
                      <w:jc w:val="left"/>
                      <w:rPr>
                        <w:rFonts w:ascii="Calibri"/>
                        <w:sz w:val="18"/>
                      </w:rPr>
                    </w:pPr>
                    <w:r>
                      <w:rPr>
                        <w:rFonts w:ascii="Calibri"/>
                        <w:color w:val="575757"/>
                        <w:sz w:val="18"/>
                      </w:rPr>
                      <w:t>0.6</w:t>
                    </w:r>
                  </w:p>
                </w:txbxContent>
              </v:textbox>
              <w10:wrap type="none"/>
            </v:shape>
            <v:shape style="position:absolute;left:5844;top:580;width:695;height:279" type="#_x0000_t202" filled="false" stroked="false">
              <v:textbox inset="0,0,0,0">
                <w:txbxContent>
                  <w:p>
                    <w:pPr>
                      <w:spacing w:line="278" w:lineRule="exact" w:before="0"/>
                      <w:ind w:left="0" w:right="0" w:firstLine="0"/>
                      <w:jc w:val="left"/>
                      <w:rPr>
                        <w:rFonts w:ascii="Calibri"/>
                        <w:sz w:val="28"/>
                      </w:rPr>
                    </w:pPr>
                    <w:r>
                      <w:rPr>
                        <w:rFonts w:ascii="Calibri"/>
                        <w:color w:val="575757"/>
                        <w:sz w:val="28"/>
                      </w:rPr>
                      <w:t>Series</w:t>
                    </w:r>
                  </w:p>
                </w:txbxContent>
              </v:textbox>
              <w10:wrap type="none"/>
            </v:shape>
            <w10:wrap type="topAndBottom"/>
          </v:group>
        </w:pict>
      </w:r>
      <w:r>
        <w:rPr>
          <w:b/>
          <w:sz w:val="28"/>
        </w:rPr>
        <w:t>Graph</w:t>
      </w:r>
      <w:r>
        <w:rPr>
          <w:b/>
          <w:spacing w:val="-8"/>
          <w:sz w:val="28"/>
        </w:rPr>
        <w:t> </w:t>
      </w:r>
      <w:r>
        <w:rPr>
          <w:b/>
          <w:sz w:val="28"/>
        </w:rPr>
        <w:t>chart</w:t>
      </w:r>
    </w:p>
    <w:p>
      <w:pPr>
        <w:pStyle w:val="BodyText"/>
        <w:spacing w:before="5"/>
        <w:rPr>
          <w:b/>
          <w:sz w:val="35"/>
        </w:rPr>
      </w:pPr>
    </w:p>
    <w:p>
      <w:pPr>
        <w:spacing w:before="0"/>
        <w:ind w:left="340" w:right="0" w:firstLine="0"/>
        <w:jc w:val="left"/>
        <w:rPr>
          <w:b/>
          <w:sz w:val="24"/>
        </w:rPr>
      </w:pPr>
      <w:r>
        <w:rPr>
          <w:b/>
          <w:sz w:val="24"/>
        </w:rPr>
        <w:t>Interpretation</w:t>
      </w:r>
    </w:p>
    <w:p>
      <w:pPr>
        <w:pStyle w:val="BodyText"/>
        <w:spacing w:before="132"/>
        <w:ind w:left="340"/>
      </w:pPr>
      <w:r>
        <w:rPr/>
        <w:t>Total Asset Turnover are almost same in 2019 &amp; 2018. In 2019 it ’s slowly increased.</w:t>
      </w:r>
    </w:p>
    <w:p>
      <w:pPr>
        <w:pStyle w:val="BodyText"/>
        <w:rPr>
          <w:sz w:val="26"/>
        </w:rPr>
      </w:pPr>
    </w:p>
    <w:p>
      <w:pPr>
        <w:pStyle w:val="BodyText"/>
        <w:spacing w:before="4"/>
        <w:rPr>
          <w:sz w:val="22"/>
        </w:rPr>
      </w:pPr>
    </w:p>
    <w:p>
      <w:pPr>
        <w:pStyle w:val="Heading2"/>
        <w:numPr>
          <w:ilvl w:val="1"/>
          <w:numId w:val="14"/>
        </w:numPr>
        <w:tabs>
          <w:tab w:pos="763" w:val="left" w:leader="none"/>
        </w:tabs>
        <w:spacing w:line="240" w:lineRule="auto" w:before="0" w:after="0"/>
        <w:ind w:left="762" w:right="0" w:hanging="423"/>
        <w:jc w:val="left"/>
      </w:pPr>
      <w:r>
        <w:rPr/>
        <w:t>Financial Performance Analysis </w:t>
      </w:r>
      <w:r>
        <w:rPr>
          <w:spacing w:val="-3"/>
        </w:rPr>
        <w:t>of </w:t>
      </w:r>
      <w:r>
        <w:rPr/>
        <w:t>Jamuna Bank</w:t>
      </w:r>
      <w:r>
        <w:rPr>
          <w:spacing w:val="2"/>
        </w:rPr>
        <w:t> </w:t>
      </w:r>
      <w:r>
        <w:rPr/>
        <w:t>Limited</w:t>
      </w:r>
    </w:p>
    <w:p>
      <w:pPr>
        <w:pStyle w:val="Heading3"/>
        <w:spacing w:before="162"/>
      </w:pPr>
      <w:r>
        <w:rPr/>
        <w:t>Current Ratio</w:t>
      </w:r>
    </w:p>
    <w:p>
      <w:pPr>
        <w:pStyle w:val="BodyText"/>
        <w:spacing w:before="2"/>
        <w:rPr>
          <w:b/>
          <w:sz w:val="12"/>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3789"/>
      </w:tblGrid>
      <w:tr>
        <w:trPr>
          <w:trHeight w:val="494" w:hRule="atLeast"/>
        </w:trPr>
        <w:tc>
          <w:tcPr>
            <w:tcW w:w="2075" w:type="dxa"/>
          </w:tcPr>
          <w:p>
            <w:pPr>
              <w:pStyle w:val="TableParagraph"/>
              <w:spacing w:line="249" w:lineRule="exact"/>
              <w:ind w:left="710" w:right="691"/>
              <w:jc w:val="center"/>
              <w:rPr>
                <w:b/>
                <w:sz w:val="22"/>
              </w:rPr>
            </w:pPr>
            <w:r>
              <w:rPr>
                <w:b/>
                <w:sz w:val="22"/>
              </w:rPr>
              <w:t>YEAR</w:t>
            </w:r>
          </w:p>
        </w:tc>
        <w:tc>
          <w:tcPr>
            <w:tcW w:w="3789" w:type="dxa"/>
          </w:tcPr>
          <w:p>
            <w:pPr>
              <w:pStyle w:val="TableParagraph"/>
              <w:spacing w:line="249" w:lineRule="exact"/>
              <w:ind w:left="1127" w:right="1120"/>
              <w:jc w:val="center"/>
              <w:rPr>
                <w:b/>
                <w:sz w:val="22"/>
              </w:rPr>
            </w:pPr>
            <w:r>
              <w:rPr>
                <w:b/>
                <w:sz w:val="22"/>
              </w:rPr>
              <w:t>PROPORTION</w:t>
            </w:r>
          </w:p>
        </w:tc>
      </w:tr>
      <w:tr>
        <w:trPr>
          <w:trHeight w:val="489" w:hRule="atLeast"/>
        </w:trPr>
        <w:tc>
          <w:tcPr>
            <w:tcW w:w="2075" w:type="dxa"/>
          </w:tcPr>
          <w:p>
            <w:pPr>
              <w:pStyle w:val="TableParagraph"/>
              <w:spacing w:line="250" w:lineRule="exact"/>
              <w:ind w:left="709" w:right="691"/>
              <w:jc w:val="center"/>
              <w:rPr>
                <w:b/>
                <w:sz w:val="22"/>
              </w:rPr>
            </w:pPr>
            <w:r>
              <w:rPr>
                <w:b/>
                <w:sz w:val="22"/>
              </w:rPr>
              <w:t>2019</w:t>
            </w:r>
          </w:p>
        </w:tc>
        <w:tc>
          <w:tcPr>
            <w:tcW w:w="3789" w:type="dxa"/>
          </w:tcPr>
          <w:p>
            <w:pPr>
              <w:pStyle w:val="TableParagraph"/>
              <w:spacing w:line="250" w:lineRule="exact"/>
              <w:ind w:left="1127" w:right="1115"/>
              <w:jc w:val="center"/>
              <w:rPr>
                <w:b/>
                <w:sz w:val="22"/>
              </w:rPr>
            </w:pPr>
            <w:r>
              <w:rPr>
                <w:b/>
                <w:sz w:val="22"/>
              </w:rPr>
              <w:t>0.695:1</w:t>
            </w:r>
          </w:p>
        </w:tc>
      </w:tr>
      <w:tr>
        <w:trPr>
          <w:trHeight w:val="489" w:hRule="atLeast"/>
        </w:trPr>
        <w:tc>
          <w:tcPr>
            <w:tcW w:w="2075" w:type="dxa"/>
          </w:tcPr>
          <w:p>
            <w:pPr>
              <w:pStyle w:val="TableParagraph"/>
              <w:spacing w:line="249" w:lineRule="exact"/>
              <w:ind w:left="709" w:right="691"/>
              <w:jc w:val="center"/>
              <w:rPr>
                <w:b/>
                <w:sz w:val="22"/>
              </w:rPr>
            </w:pPr>
            <w:r>
              <w:rPr>
                <w:b/>
                <w:sz w:val="22"/>
              </w:rPr>
              <w:t>2018</w:t>
            </w:r>
          </w:p>
        </w:tc>
        <w:tc>
          <w:tcPr>
            <w:tcW w:w="3789" w:type="dxa"/>
          </w:tcPr>
          <w:p>
            <w:pPr>
              <w:pStyle w:val="TableParagraph"/>
              <w:spacing w:line="249" w:lineRule="exact"/>
              <w:ind w:left="1127" w:right="1115"/>
              <w:jc w:val="center"/>
              <w:rPr>
                <w:b/>
                <w:sz w:val="22"/>
              </w:rPr>
            </w:pPr>
            <w:r>
              <w:rPr>
                <w:b/>
                <w:sz w:val="22"/>
              </w:rPr>
              <w:t>0.492:1</w:t>
            </w:r>
          </w:p>
        </w:tc>
      </w:tr>
      <w:tr>
        <w:trPr>
          <w:trHeight w:val="489" w:hRule="atLeast"/>
        </w:trPr>
        <w:tc>
          <w:tcPr>
            <w:tcW w:w="2075" w:type="dxa"/>
          </w:tcPr>
          <w:p>
            <w:pPr>
              <w:pStyle w:val="TableParagraph"/>
              <w:spacing w:line="240" w:lineRule="auto" w:before="1"/>
              <w:ind w:left="709" w:right="691"/>
              <w:jc w:val="center"/>
              <w:rPr>
                <w:b/>
                <w:sz w:val="22"/>
              </w:rPr>
            </w:pPr>
            <w:r>
              <w:rPr>
                <w:b/>
                <w:sz w:val="22"/>
              </w:rPr>
              <w:t>2017</w:t>
            </w:r>
          </w:p>
        </w:tc>
        <w:tc>
          <w:tcPr>
            <w:tcW w:w="3789" w:type="dxa"/>
          </w:tcPr>
          <w:p>
            <w:pPr>
              <w:pStyle w:val="TableParagraph"/>
              <w:spacing w:line="240" w:lineRule="auto" w:before="1"/>
              <w:ind w:left="1127" w:right="1115"/>
              <w:jc w:val="center"/>
              <w:rPr>
                <w:b/>
                <w:sz w:val="22"/>
              </w:rPr>
            </w:pPr>
            <w:r>
              <w:rPr>
                <w:b/>
                <w:sz w:val="22"/>
              </w:rPr>
              <w:t>0.996:1</w:t>
            </w:r>
          </w:p>
        </w:tc>
      </w:tr>
      <w:tr>
        <w:trPr>
          <w:trHeight w:val="489" w:hRule="atLeast"/>
        </w:trPr>
        <w:tc>
          <w:tcPr>
            <w:tcW w:w="2075" w:type="dxa"/>
          </w:tcPr>
          <w:p>
            <w:pPr>
              <w:pStyle w:val="TableParagraph"/>
              <w:spacing w:line="249" w:lineRule="exact"/>
              <w:ind w:left="709" w:right="691"/>
              <w:jc w:val="center"/>
              <w:rPr>
                <w:b/>
                <w:sz w:val="22"/>
              </w:rPr>
            </w:pPr>
            <w:r>
              <w:rPr>
                <w:b/>
                <w:sz w:val="22"/>
              </w:rPr>
              <w:t>2016</w:t>
            </w:r>
          </w:p>
        </w:tc>
        <w:tc>
          <w:tcPr>
            <w:tcW w:w="3789" w:type="dxa"/>
          </w:tcPr>
          <w:p>
            <w:pPr>
              <w:pStyle w:val="TableParagraph"/>
              <w:spacing w:line="249" w:lineRule="exact"/>
              <w:ind w:left="1127" w:right="1115"/>
              <w:jc w:val="center"/>
              <w:rPr>
                <w:b/>
                <w:sz w:val="22"/>
              </w:rPr>
            </w:pPr>
            <w:r>
              <w:rPr>
                <w:b/>
                <w:sz w:val="22"/>
              </w:rPr>
              <w:t>0.747:1</w:t>
            </w:r>
          </w:p>
        </w:tc>
      </w:tr>
      <w:tr>
        <w:trPr>
          <w:trHeight w:val="493" w:hRule="atLeast"/>
        </w:trPr>
        <w:tc>
          <w:tcPr>
            <w:tcW w:w="2075" w:type="dxa"/>
          </w:tcPr>
          <w:p>
            <w:pPr>
              <w:pStyle w:val="TableParagraph"/>
              <w:spacing w:line="240" w:lineRule="auto" w:before="1"/>
              <w:ind w:left="709" w:right="691"/>
              <w:jc w:val="center"/>
              <w:rPr>
                <w:b/>
                <w:sz w:val="22"/>
              </w:rPr>
            </w:pPr>
            <w:r>
              <w:rPr>
                <w:b/>
                <w:sz w:val="22"/>
              </w:rPr>
              <w:t>2015</w:t>
            </w:r>
          </w:p>
        </w:tc>
        <w:tc>
          <w:tcPr>
            <w:tcW w:w="3789" w:type="dxa"/>
          </w:tcPr>
          <w:p>
            <w:pPr>
              <w:pStyle w:val="TableParagraph"/>
              <w:spacing w:line="240" w:lineRule="auto" w:before="1"/>
              <w:ind w:left="1127" w:right="1110"/>
              <w:jc w:val="center"/>
              <w:rPr>
                <w:b/>
                <w:sz w:val="22"/>
              </w:rPr>
            </w:pPr>
            <w:r>
              <w:rPr>
                <w:b/>
                <w:sz w:val="22"/>
              </w:rPr>
              <w:t>1.07:1</w:t>
            </w:r>
          </w:p>
        </w:tc>
      </w:tr>
    </w:tbl>
    <w:p>
      <w:pPr>
        <w:spacing w:after="0" w:line="240" w:lineRule="auto"/>
        <w:jc w:val="center"/>
        <w:rPr>
          <w:sz w:val="22"/>
        </w:rPr>
        <w:sectPr>
          <w:pgSz w:w="12240" w:h="15840"/>
          <w:pgMar w:header="0" w:footer="1039" w:top="1360" w:bottom="1220" w:left="1100" w:right="1300"/>
        </w:sectPr>
      </w:pPr>
    </w:p>
    <w:p>
      <w:pPr>
        <w:pStyle w:val="BodyText"/>
        <w:rPr>
          <w:b/>
          <w:sz w:val="20"/>
        </w:rPr>
      </w:pPr>
    </w:p>
    <w:p>
      <w:pPr>
        <w:pStyle w:val="BodyText"/>
        <w:spacing w:before="3"/>
        <w:rPr>
          <w:b/>
          <w:sz w:val="11"/>
        </w:rPr>
      </w:pPr>
    </w:p>
    <w:p>
      <w:pPr>
        <w:pStyle w:val="BodyText"/>
        <w:ind w:left="673"/>
        <w:rPr>
          <w:sz w:val="20"/>
        </w:rPr>
      </w:pPr>
      <w:r>
        <w:rPr>
          <w:sz w:val="20"/>
        </w:rPr>
        <w:pict>
          <v:group style="width:451pt;height:145.85pt;mso-position-horizontal-relative:char;mso-position-vertical-relative:line" coordorigin="0,0" coordsize="9020,2917">
            <v:line style="position:absolute" from="998,2034" to="1318,2034" stroked="true" strokeweight=".72pt" strokecolor="#858585">
              <v:stroke dashstyle="solid"/>
            </v:line>
            <v:line style="position:absolute" from="1744,2034" to="2387,2034" stroked="true" strokeweight=".72pt" strokecolor="#858585">
              <v:stroke dashstyle="solid"/>
            </v:line>
            <v:line style="position:absolute" from="998,1792" to="1318,1792" stroked="true" strokeweight=".72pt" strokecolor="#858585">
              <v:stroke dashstyle="solid"/>
            </v:line>
            <v:line style="position:absolute" from="1744,1792" to="2387,1792" stroked="true" strokeweight=".72pt" strokecolor="#858585">
              <v:stroke dashstyle="solid"/>
            </v:line>
            <v:line style="position:absolute" from="998,1550" to="1318,1550" stroked="true" strokeweight=".72pt" strokecolor="#858585">
              <v:stroke dashstyle="solid"/>
            </v:line>
            <v:line style="position:absolute" from="1744,1550" to="3456,1550" stroked="true" strokeweight=".72pt" strokecolor="#858585">
              <v:stroke dashstyle="solid"/>
            </v:line>
            <v:rect style="position:absolute;left:1317;top:1435;width:428;height:843" filled="true" fillcolor="#4f81bb" stroked="false">
              <v:fill type="solid"/>
            </v:rect>
            <v:line style="position:absolute" from="2815,2035" to="3457,2035" stroked="true" strokeweight=".72pt" strokecolor="#858585">
              <v:stroke dashstyle="solid"/>
            </v:line>
            <v:line style="position:absolute" from="2815,1793" to="3457,1793" stroked="true" strokeweight=".72pt" strokecolor="#858585">
              <v:stroke dashstyle="solid"/>
            </v:line>
            <v:rect style="position:absolute;left:2386;top:1681;width:428;height:597" filled="true" fillcolor="#4f81bb" stroked="false">
              <v:fill type="solid"/>
            </v:rect>
            <v:line style="position:absolute" from="3880,2035" to="4521,2035" stroked="true" strokeweight=".72pt" strokecolor="#858585">
              <v:stroke dashstyle="solid"/>
            </v:line>
            <v:line style="position:absolute" from="3880,1793" to="4521,1793" stroked="true" strokeweight=".72pt" strokecolor="#858585">
              <v:stroke dashstyle="solid"/>
            </v:line>
            <v:line style="position:absolute" from="3880,1551" to="4521,1551" stroked="true" strokeweight=".72pt" strokecolor="#858585">
              <v:stroke dashstyle="solid"/>
            </v:line>
            <v:line style="position:absolute" from="998,1308" to="3455,1308" stroked="true" strokeweight=".72pt" strokecolor="#858585">
              <v:stroke dashstyle="solid"/>
            </v:line>
            <v:line style="position:absolute" from="3880,1308" to="5590,1308" stroked="true" strokeweight=".72pt" strokecolor="#858585">
              <v:stroke dashstyle="solid"/>
            </v:line>
            <v:line style="position:absolute" from="998,1071" to="5590,1071" stroked="true" strokeweight=".24024pt" strokecolor="#858585">
              <v:stroke dashstyle="solid"/>
            </v:line>
            <v:line style="position:absolute" from="998,1064" to="5590,1064" stroked="true" strokeweight=".24024pt" strokecolor="#858585">
              <v:stroke dashstyle="solid"/>
            </v:line>
            <v:rect style="position:absolute;left:3455;top:1070;width:427;height:1208" filled="true" fillcolor="#4f81bb" stroked="false">
              <v:fill type="solid"/>
            </v:rect>
            <v:line style="position:absolute" from="4950,2034" to="5591,2034" stroked="true" strokeweight=".72pt" strokecolor="#858585">
              <v:stroke dashstyle="solid"/>
            </v:line>
            <v:line style="position:absolute" from="4950,1792" to="5591,1792" stroked="true" strokeweight=".72pt" strokecolor="#858585">
              <v:stroke dashstyle="solid"/>
            </v:line>
            <v:line style="position:absolute" from="4950,1550" to="5591,1550" stroked="true" strokeweight=".72pt" strokecolor="#858585">
              <v:stroke dashstyle="solid"/>
            </v:line>
            <v:rect style="position:absolute;left:4522;top:1373;width:428;height:905" filled="true" fillcolor="#4f81bb" stroked="false">
              <v:fill type="solid"/>
            </v:rect>
            <v:line style="position:absolute" from="6019,2035" to="6339,2035" stroked="true" strokeweight=".72pt" strokecolor="#858585">
              <v:stroke dashstyle="solid"/>
            </v:line>
            <v:line style="position:absolute" from="6019,1793" to="6339,1793" stroked="true" strokeweight=".72pt" strokecolor="#858585">
              <v:stroke dashstyle="solid"/>
            </v:line>
            <v:line style="position:absolute" from="6019,1551" to="6339,1551" stroked="true" strokeweight=".72pt" strokecolor="#858585">
              <v:stroke dashstyle="solid"/>
            </v:line>
            <v:line style="position:absolute" from="6019,1308" to="6339,1308" stroked="true" strokeweight=".72pt" strokecolor="#858585">
              <v:stroke dashstyle="solid"/>
            </v:line>
            <v:line style="position:absolute" from="6019,1071" to="6339,1071" stroked="true" strokeweight=".24024pt" strokecolor="#858585">
              <v:stroke dashstyle="solid"/>
            </v:line>
            <v:line style="position:absolute" from="6019,1064" to="6339,1064" stroked="true" strokeweight=".24024pt" strokecolor="#858585">
              <v:stroke dashstyle="solid"/>
            </v:line>
            <v:rect style="position:absolute;left:5591;top:980;width:428;height:1298" filled="true" fillcolor="#4f81bb" stroked="false">
              <v:fill type="solid"/>
            </v:rect>
            <v:line style="position:absolute" from="998,823" to="6337,823" stroked="true" strokeweight=".72pt" strokecolor="#858585">
              <v:stroke dashstyle="solid"/>
            </v:line>
            <v:line style="position:absolute" from="998,2278" to="998,823" stroked="true" strokeweight=".72pt" strokecolor="#858585">
              <v:stroke dashstyle="solid"/>
            </v:line>
            <v:line style="position:absolute" from="908,2278" to="998,2278" stroked="true" strokeweight=".72pt" strokecolor="#858585">
              <v:stroke dashstyle="solid"/>
            </v:line>
            <v:line style="position:absolute" from="908,2035" to="998,2035" stroked="true" strokeweight=".72pt" strokecolor="#858585">
              <v:stroke dashstyle="solid"/>
            </v:line>
            <v:line style="position:absolute" from="908,1793" to="998,1793" stroked="true" strokeweight=".72pt" strokecolor="#858585">
              <v:stroke dashstyle="solid"/>
            </v:line>
            <v:line style="position:absolute" from="908,1551" to="998,1551" stroked="true" strokeweight=".72pt" strokecolor="#858585">
              <v:stroke dashstyle="solid"/>
            </v:line>
            <v:line style="position:absolute" from="908,1308" to="998,1308" stroked="true" strokeweight=".72pt" strokecolor="#858585">
              <v:stroke dashstyle="solid"/>
            </v:line>
            <v:line style="position:absolute" from="908,1066" to="998,1066" stroked="true" strokeweight=".72pt" strokecolor="#858585">
              <v:stroke dashstyle="solid"/>
            </v:line>
            <v:line style="position:absolute" from="908,823" to="998,823" stroked="true" strokeweight=".72pt" strokecolor="#858585">
              <v:stroke dashstyle="solid"/>
            </v:line>
            <v:line style="position:absolute" from="998,2278" to="6337,2278" stroked="true" strokeweight=".72pt" strokecolor="#858585">
              <v:stroke dashstyle="solid"/>
            </v:line>
            <v:line style="position:absolute" from="998,2278" to="998,2337" stroked="true" strokeweight=".72pt" strokecolor="#858585">
              <v:stroke dashstyle="solid"/>
            </v:line>
            <v:line style="position:absolute" from="2067,2278" to="2067,2337" stroked="true" strokeweight=".72pt" strokecolor="#858585">
              <v:stroke dashstyle="solid"/>
            </v:line>
            <v:line style="position:absolute" from="3133,2278" to="3133,2337" stroked="true" strokeweight=".72pt" strokecolor="#858585">
              <v:stroke dashstyle="solid"/>
            </v:line>
            <v:line style="position:absolute" from="4201,2278" to="4201,2337" stroked="true" strokeweight=".72pt" strokecolor="#858585">
              <v:stroke dashstyle="solid"/>
            </v:line>
            <v:line style="position:absolute" from="5269,2278" to="5269,2337" stroked="true" strokeweight=".72pt" strokecolor="#858585">
              <v:stroke dashstyle="solid"/>
            </v:line>
            <v:line style="position:absolute" from="6338,2278" to="6338,2337" stroked="true" strokeweight=".72pt" strokecolor="#858585">
              <v:stroke dashstyle="solid"/>
            </v:line>
            <v:line style="position:absolute" from="6819,1755" to="6971,1755" stroked="true" strokeweight="5pt" strokecolor="#4f81bb">
              <v:stroke dashstyle="solid"/>
            </v:line>
            <v:rect style="position:absolute;left:10;top:10;width:9000;height:2897" filled="false" stroked="true" strokeweight="1pt" strokecolor="#858585">
              <v:stroke dashstyle="solid"/>
            </v:rect>
            <v:shape style="position:absolute;left:2848;top:175;width:3356;height:399" type="#_x0000_t75" stroked="false">
              <v:imagedata r:id="rId45" o:title=""/>
            </v:shape>
            <v:shape style="position:absolute;left:343;top:712;width:418;height:1676" type="#_x0000_t75" stroked="false">
              <v:imagedata r:id="rId46" o:title=""/>
            </v:shape>
            <v:shape style="position:absolute;left:7034;top:1648;width:1700;height:221" type="#_x0000_t75" stroked="false">
              <v:imagedata r:id="rId47" o:title=""/>
            </v:shape>
            <v:shape style="position:absolute;left:1226;top:2464;width:4920;height:226" type="#_x0000_t75" stroked="false">
              <v:imagedata r:id="rId48" o:title=""/>
            </v:shape>
            <v:shape style="position:absolute;left:1227;top:2459;width:3233;height:224" type="#_x0000_t202" filled="false" stroked="false">
              <v:textbox inset="0,0,0,0">
                <w:txbxContent>
                  <w:p>
                    <w:pPr>
                      <w:tabs>
                        <w:tab w:pos="701" w:val="left" w:leader="none"/>
                        <w:tab w:pos="1401" w:val="left" w:leader="none"/>
                        <w:tab w:pos="2108" w:val="left" w:leader="none"/>
                        <w:tab w:pos="2809" w:val="left" w:leader="none"/>
                      </w:tabs>
                      <w:spacing w:line="223" w:lineRule="exact" w:before="0"/>
                      <w:ind w:left="0" w:right="0" w:firstLine="0"/>
                      <w:jc w:val="left"/>
                      <w:rPr>
                        <w:sz w:val="20"/>
                      </w:rPr>
                    </w:pPr>
                    <w:r>
                      <w:rPr>
                        <w:sz w:val="20"/>
                      </w:rPr>
                      <w:t>2019</w:t>
                      <w:tab/>
                      <w:t>2018</w:t>
                      <w:tab/>
                      <w:t>2017</w:t>
                      <w:tab/>
                      <w:t>2016</w:t>
                      <w:tab/>
                      <w:t>2015</w:t>
                    </w:r>
                  </w:p>
                </w:txbxContent>
              </v:textbox>
              <w10:wrap type="none"/>
            </v:shape>
            <v:shape style="position:absolute;left:7037;top:1647;width:1119;height:224" type="#_x0000_t202" filled="false" stroked="false">
              <v:textbox inset="0,0,0,0">
                <w:txbxContent>
                  <w:p>
                    <w:pPr>
                      <w:spacing w:line="223" w:lineRule="exact" w:before="0"/>
                      <w:ind w:left="0" w:right="0" w:firstLine="0"/>
                      <w:jc w:val="left"/>
                      <w:rPr>
                        <w:sz w:val="20"/>
                      </w:rPr>
                    </w:pPr>
                    <w:r>
                      <w:rPr>
                        <w:sz w:val="20"/>
                      </w:rPr>
                      <w:t>Current Ratio</w:t>
                    </w:r>
                  </w:p>
                </w:txbxContent>
              </v:textbox>
              <w10:wrap type="none"/>
            </v:shape>
            <v:shape style="position:absolute;left:492;top:711;width:275;height:1674" type="#_x0000_t202" filled="false" stroked="false">
              <v:textbox inset="0,0,0,0">
                <w:txbxContent>
                  <w:p>
                    <w:pPr>
                      <w:spacing w:line="223" w:lineRule="exact" w:before="0"/>
                      <w:ind w:left="0" w:right="18" w:firstLine="0"/>
                      <w:jc w:val="right"/>
                      <w:rPr>
                        <w:sz w:val="20"/>
                      </w:rPr>
                    </w:pPr>
                    <w:r>
                      <w:rPr>
                        <w:sz w:val="20"/>
                      </w:rPr>
                      <w:t>1.2</w:t>
                    </w:r>
                  </w:p>
                  <w:p>
                    <w:pPr>
                      <w:spacing w:before="5"/>
                      <w:ind w:left="0" w:right="22" w:firstLine="0"/>
                      <w:jc w:val="right"/>
                      <w:rPr>
                        <w:sz w:val="20"/>
                      </w:rPr>
                    </w:pPr>
                    <w:r>
                      <w:rPr>
                        <w:w w:val="100"/>
                        <w:sz w:val="20"/>
                      </w:rPr>
                      <w:t>1</w:t>
                    </w:r>
                  </w:p>
                  <w:p>
                    <w:pPr>
                      <w:spacing w:before="15"/>
                      <w:ind w:left="0" w:right="18" w:firstLine="0"/>
                      <w:jc w:val="right"/>
                      <w:rPr>
                        <w:sz w:val="20"/>
                      </w:rPr>
                    </w:pPr>
                    <w:r>
                      <w:rPr>
                        <w:sz w:val="20"/>
                      </w:rPr>
                      <w:t>0.8</w:t>
                    </w:r>
                  </w:p>
                  <w:p>
                    <w:pPr>
                      <w:spacing w:before="10"/>
                      <w:ind w:left="0" w:right="18" w:firstLine="0"/>
                      <w:jc w:val="right"/>
                      <w:rPr>
                        <w:sz w:val="20"/>
                      </w:rPr>
                    </w:pPr>
                    <w:r>
                      <w:rPr>
                        <w:sz w:val="20"/>
                      </w:rPr>
                      <w:t>0.6</w:t>
                    </w:r>
                  </w:p>
                  <w:p>
                    <w:pPr>
                      <w:spacing w:before="15"/>
                      <w:ind w:left="0" w:right="18" w:firstLine="0"/>
                      <w:jc w:val="right"/>
                      <w:rPr>
                        <w:sz w:val="20"/>
                      </w:rPr>
                    </w:pPr>
                    <w:r>
                      <w:rPr>
                        <w:sz w:val="20"/>
                      </w:rPr>
                      <w:t>0.4</w:t>
                    </w:r>
                  </w:p>
                  <w:p>
                    <w:pPr>
                      <w:spacing w:before="10"/>
                      <w:ind w:left="0" w:right="18" w:firstLine="0"/>
                      <w:jc w:val="right"/>
                      <w:rPr>
                        <w:sz w:val="20"/>
                      </w:rPr>
                    </w:pPr>
                    <w:r>
                      <w:rPr>
                        <w:sz w:val="20"/>
                      </w:rPr>
                      <w:t>0.2</w:t>
                    </w:r>
                  </w:p>
                  <w:p>
                    <w:pPr>
                      <w:spacing w:before="15"/>
                      <w:ind w:left="0" w:right="22" w:firstLine="0"/>
                      <w:jc w:val="right"/>
                      <w:rPr>
                        <w:sz w:val="20"/>
                      </w:rPr>
                    </w:pPr>
                    <w:r>
                      <w:rPr>
                        <w:w w:val="100"/>
                        <w:sz w:val="20"/>
                      </w:rPr>
                      <w:t>0</w:t>
                    </w:r>
                  </w:p>
                </w:txbxContent>
              </v:textbox>
              <w10:wrap type="none"/>
            </v:shape>
            <v:shape style="position:absolute;left:2850;top:175;width:2206;height:400" type="#_x0000_t202" filled="false" stroked="false">
              <v:textbox inset="0,0,0,0">
                <w:txbxContent>
                  <w:p>
                    <w:pPr>
                      <w:spacing w:line="399" w:lineRule="exact" w:before="0"/>
                      <w:ind w:left="0" w:right="0" w:firstLine="0"/>
                      <w:jc w:val="left"/>
                      <w:rPr>
                        <w:b/>
                        <w:sz w:val="36"/>
                      </w:rPr>
                    </w:pPr>
                    <w:r>
                      <w:rPr>
                        <w:b/>
                        <w:sz w:val="36"/>
                      </w:rPr>
                      <w:t>Current Ratio</w:t>
                    </w:r>
                  </w:p>
                </w:txbxContent>
              </v:textbox>
              <w10:wrap type="none"/>
            </v:shape>
          </v:group>
        </w:pict>
      </w:r>
      <w:r>
        <w:rPr>
          <w:sz w:val="20"/>
        </w:rPr>
      </w:r>
    </w:p>
    <w:p>
      <w:pPr>
        <w:pStyle w:val="BodyText"/>
        <w:spacing w:before="5"/>
        <w:rPr>
          <w:b/>
          <w:sz w:val="27"/>
        </w:rPr>
      </w:pPr>
    </w:p>
    <w:p>
      <w:pPr>
        <w:pStyle w:val="BodyText"/>
        <w:spacing w:line="362" w:lineRule="auto" w:before="90"/>
        <w:ind w:left="340" w:right="135"/>
        <w:jc w:val="both"/>
      </w:pPr>
      <w:r>
        <w:rPr>
          <w:b/>
        </w:rPr>
        <w:t>Interpretation</w:t>
      </w:r>
      <w:r>
        <w:rPr/>
        <w:t>: The standard ratio is 2:1. But the current ratio of Jamuna Bank Limited is lower than the standard. Current ratio of Jamuna Bank Limited in the year 2019 is 0.695:1 whereas in 2018 was 0.492:1.</w:t>
      </w:r>
    </w:p>
    <w:p>
      <w:pPr>
        <w:pStyle w:val="Heading3"/>
        <w:spacing w:line="274" w:lineRule="exact"/>
        <w:jc w:val="both"/>
      </w:pPr>
      <w:r>
        <w:rPr/>
        <w:t>Acid Test Ratio</w:t>
      </w:r>
    </w:p>
    <w:p>
      <w:pPr>
        <w:pStyle w:val="BodyText"/>
        <w:spacing w:before="2"/>
        <w:rPr>
          <w:b/>
          <w:sz w:val="12"/>
        </w:rPr>
      </w:pPr>
    </w:p>
    <w:tbl>
      <w:tblPr>
        <w:tblW w:w="0" w:type="auto"/>
        <w:jc w:val="left"/>
        <w:tblInd w:w="2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90"/>
        <w:gridCol w:w="2843"/>
      </w:tblGrid>
      <w:tr>
        <w:trPr>
          <w:trHeight w:val="493" w:hRule="atLeast"/>
        </w:trPr>
        <w:tc>
          <w:tcPr>
            <w:tcW w:w="3390" w:type="dxa"/>
          </w:tcPr>
          <w:p>
            <w:pPr>
              <w:pStyle w:val="TableParagraph"/>
              <w:spacing w:line="249" w:lineRule="exact"/>
              <w:ind w:left="1363" w:right="1353"/>
              <w:jc w:val="center"/>
              <w:rPr>
                <w:b/>
                <w:sz w:val="22"/>
              </w:rPr>
            </w:pPr>
            <w:r>
              <w:rPr>
                <w:b/>
                <w:sz w:val="22"/>
              </w:rPr>
              <w:t>YEAR</w:t>
            </w:r>
          </w:p>
        </w:tc>
        <w:tc>
          <w:tcPr>
            <w:tcW w:w="2843" w:type="dxa"/>
          </w:tcPr>
          <w:p>
            <w:pPr>
              <w:pStyle w:val="TableParagraph"/>
              <w:spacing w:line="249" w:lineRule="exact"/>
              <w:ind w:left="1041" w:right="1030"/>
              <w:jc w:val="center"/>
              <w:rPr>
                <w:b/>
                <w:sz w:val="22"/>
              </w:rPr>
            </w:pPr>
            <w:r>
              <w:rPr>
                <w:b/>
                <w:sz w:val="22"/>
              </w:rPr>
              <w:t>RATIO</w:t>
            </w:r>
          </w:p>
        </w:tc>
      </w:tr>
      <w:tr>
        <w:trPr>
          <w:trHeight w:val="489" w:hRule="atLeast"/>
        </w:trPr>
        <w:tc>
          <w:tcPr>
            <w:tcW w:w="3390" w:type="dxa"/>
          </w:tcPr>
          <w:p>
            <w:pPr>
              <w:pStyle w:val="TableParagraph"/>
              <w:spacing w:line="249" w:lineRule="exact"/>
              <w:ind w:left="1362" w:right="1353"/>
              <w:jc w:val="center"/>
              <w:rPr>
                <w:b/>
                <w:sz w:val="22"/>
              </w:rPr>
            </w:pPr>
            <w:r>
              <w:rPr>
                <w:b/>
                <w:sz w:val="22"/>
              </w:rPr>
              <w:t>2019</w:t>
            </w:r>
          </w:p>
        </w:tc>
        <w:tc>
          <w:tcPr>
            <w:tcW w:w="2843" w:type="dxa"/>
          </w:tcPr>
          <w:p>
            <w:pPr>
              <w:pStyle w:val="TableParagraph"/>
              <w:spacing w:line="249" w:lineRule="exact"/>
              <w:ind w:left="1041" w:right="1028"/>
              <w:jc w:val="center"/>
              <w:rPr>
                <w:b/>
                <w:sz w:val="22"/>
              </w:rPr>
            </w:pPr>
            <w:r>
              <w:rPr>
                <w:b/>
                <w:sz w:val="22"/>
              </w:rPr>
              <w:t>0.34</w:t>
            </w:r>
          </w:p>
        </w:tc>
      </w:tr>
      <w:tr>
        <w:trPr>
          <w:trHeight w:val="489" w:hRule="atLeast"/>
        </w:trPr>
        <w:tc>
          <w:tcPr>
            <w:tcW w:w="3390" w:type="dxa"/>
          </w:tcPr>
          <w:p>
            <w:pPr>
              <w:pStyle w:val="TableParagraph"/>
              <w:spacing w:line="249" w:lineRule="exact"/>
              <w:ind w:left="1362" w:right="1353"/>
              <w:jc w:val="center"/>
              <w:rPr>
                <w:b/>
                <w:sz w:val="22"/>
              </w:rPr>
            </w:pPr>
            <w:r>
              <w:rPr>
                <w:b/>
                <w:sz w:val="22"/>
              </w:rPr>
              <w:t>2018</w:t>
            </w:r>
          </w:p>
        </w:tc>
        <w:tc>
          <w:tcPr>
            <w:tcW w:w="2843" w:type="dxa"/>
          </w:tcPr>
          <w:p>
            <w:pPr>
              <w:pStyle w:val="TableParagraph"/>
              <w:spacing w:line="249" w:lineRule="exact"/>
              <w:ind w:left="1041" w:right="1028"/>
              <w:jc w:val="center"/>
              <w:rPr>
                <w:b/>
                <w:sz w:val="22"/>
              </w:rPr>
            </w:pPr>
            <w:r>
              <w:rPr>
                <w:b/>
                <w:sz w:val="22"/>
              </w:rPr>
              <w:t>0.29</w:t>
            </w:r>
          </w:p>
        </w:tc>
      </w:tr>
      <w:tr>
        <w:trPr>
          <w:trHeight w:val="489" w:hRule="atLeast"/>
        </w:trPr>
        <w:tc>
          <w:tcPr>
            <w:tcW w:w="3390" w:type="dxa"/>
          </w:tcPr>
          <w:p>
            <w:pPr>
              <w:pStyle w:val="TableParagraph"/>
              <w:spacing w:line="240" w:lineRule="auto" w:before="1"/>
              <w:ind w:left="1362" w:right="1353"/>
              <w:jc w:val="center"/>
              <w:rPr>
                <w:b/>
                <w:sz w:val="22"/>
              </w:rPr>
            </w:pPr>
            <w:r>
              <w:rPr>
                <w:b/>
                <w:sz w:val="22"/>
              </w:rPr>
              <w:t>2017</w:t>
            </w:r>
          </w:p>
        </w:tc>
        <w:tc>
          <w:tcPr>
            <w:tcW w:w="2843" w:type="dxa"/>
          </w:tcPr>
          <w:p>
            <w:pPr>
              <w:pStyle w:val="TableParagraph"/>
              <w:spacing w:line="240" w:lineRule="auto" w:before="1"/>
              <w:ind w:left="1041" w:right="1028"/>
              <w:jc w:val="center"/>
              <w:rPr>
                <w:b/>
                <w:sz w:val="22"/>
              </w:rPr>
            </w:pPr>
            <w:r>
              <w:rPr>
                <w:b/>
                <w:sz w:val="22"/>
              </w:rPr>
              <w:t>0.45</w:t>
            </w:r>
          </w:p>
        </w:tc>
      </w:tr>
      <w:tr>
        <w:trPr>
          <w:trHeight w:val="489" w:hRule="atLeast"/>
        </w:trPr>
        <w:tc>
          <w:tcPr>
            <w:tcW w:w="3390" w:type="dxa"/>
          </w:tcPr>
          <w:p>
            <w:pPr>
              <w:pStyle w:val="TableParagraph"/>
              <w:spacing w:line="249" w:lineRule="exact"/>
              <w:ind w:left="1362" w:right="1353"/>
              <w:jc w:val="center"/>
              <w:rPr>
                <w:b/>
                <w:sz w:val="22"/>
              </w:rPr>
            </w:pPr>
            <w:r>
              <w:rPr>
                <w:b/>
                <w:sz w:val="22"/>
              </w:rPr>
              <w:t>2016</w:t>
            </w:r>
          </w:p>
        </w:tc>
        <w:tc>
          <w:tcPr>
            <w:tcW w:w="2843" w:type="dxa"/>
          </w:tcPr>
          <w:p>
            <w:pPr>
              <w:pStyle w:val="TableParagraph"/>
              <w:spacing w:line="249" w:lineRule="exact"/>
              <w:ind w:left="1041" w:right="1028"/>
              <w:jc w:val="center"/>
              <w:rPr>
                <w:b/>
                <w:sz w:val="22"/>
              </w:rPr>
            </w:pPr>
            <w:r>
              <w:rPr>
                <w:b/>
                <w:sz w:val="22"/>
              </w:rPr>
              <w:t>0.33</w:t>
            </w:r>
          </w:p>
        </w:tc>
      </w:tr>
      <w:tr>
        <w:trPr>
          <w:trHeight w:val="493" w:hRule="atLeast"/>
        </w:trPr>
        <w:tc>
          <w:tcPr>
            <w:tcW w:w="3390" w:type="dxa"/>
          </w:tcPr>
          <w:p>
            <w:pPr>
              <w:pStyle w:val="TableParagraph"/>
              <w:spacing w:line="240" w:lineRule="auto" w:before="1"/>
              <w:ind w:left="1362" w:right="1353"/>
              <w:jc w:val="center"/>
              <w:rPr>
                <w:b/>
                <w:sz w:val="22"/>
              </w:rPr>
            </w:pPr>
            <w:r>
              <w:rPr>
                <w:b/>
                <w:sz w:val="22"/>
              </w:rPr>
              <w:t>2015</w:t>
            </w:r>
          </w:p>
        </w:tc>
        <w:tc>
          <w:tcPr>
            <w:tcW w:w="2843" w:type="dxa"/>
          </w:tcPr>
          <w:p>
            <w:pPr>
              <w:pStyle w:val="TableParagraph"/>
              <w:spacing w:line="240" w:lineRule="auto" w:before="1"/>
              <w:ind w:left="1041" w:right="1028"/>
              <w:jc w:val="center"/>
              <w:rPr>
                <w:b/>
                <w:sz w:val="22"/>
              </w:rPr>
            </w:pPr>
            <w:r>
              <w:rPr>
                <w:b/>
                <w:sz w:val="22"/>
              </w:rPr>
              <w:t>0.49</w:t>
            </w:r>
          </w:p>
        </w:tc>
      </w:tr>
    </w:tbl>
    <w:p>
      <w:pPr>
        <w:pStyle w:val="BodyText"/>
        <w:spacing w:before="11"/>
        <w:rPr>
          <w:b/>
          <w:sz w:val="9"/>
        </w:rPr>
      </w:pPr>
      <w:r>
        <w:rPr/>
        <w:pict>
          <v:group style="position:absolute;margin-left:133pt;margin-top:7.69pt;width:344.25pt;height:142pt;mso-position-horizontal-relative:page;mso-position-vertical-relative:paragraph;z-index:-251578368;mso-wrap-distance-left:0;mso-wrap-distance-right:0" coordorigin="2660,154" coordsize="6885,2840">
            <v:line style="position:absolute" from="3319,2194" to="3577,2194" stroked="true" strokeweight=".72pt" strokecolor="#858585">
              <v:stroke dashstyle="solid"/>
            </v:line>
            <v:line style="position:absolute" from="3920,2194" to="4434,2194" stroked="true" strokeweight=".72pt" strokecolor="#858585">
              <v:stroke dashstyle="solid"/>
            </v:line>
            <v:line style="position:absolute" from="3319,1921" to="3577,1921" stroked="true" strokeweight=".72pt" strokecolor="#858585">
              <v:stroke dashstyle="solid"/>
            </v:line>
            <v:line style="position:absolute" from="3920,1921" to="4434,1921" stroked="true" strokeweight=".72pt" strokecolor="#858585">
              <v:stroke dashstyle="solid"/>
            </v:line>
            <v:line style="position:absolute" from="3319,1649" to="3577,1649" stroked="true" strokeweight=".72pt" strokecolor="#858585">
              <v:stroke dashstyle="solid"/>
            </v:line>
            <v:line style="position:absolute" from="3920,1649" to="5293,1649" stroked="true" strokeweight=".72pt" strokecolor="#858585">
              <v:stroke dashstyle="solid"/>
            </v:line>
            <v:rect style="position:absolute;left:3577;top:1539;width:344;height:927" filled="true" fillcolor="#4f81bb" stroked="false">
              <v:fill type="solid"/>
            </v:rect>
            <v:line style="position:absolute" from="4779,2194" to="5294,2194" stroked="true" strokeweight=".72pt" strokecolor="#858585">
              <v:stroke dashstyle="solid"/>
            </v:line>
            <v:line style="position:absolute" from="4779,1922" to="5294,1922" stroked="true" strokeweight=".72pt" strokecolor="#858585">
              <v:stroke dashstyle="solid"/>
            </v:line>
            <v:rect style="position:absolute;left:4434;top:1676;width:345;height:791" filled="true" fillcolor="#4f81bb" stroked="false">
              <v:fill type="solid"/>
            </v:rect>
            <v:line style="position:absolute" from="5636,2194" to="6150,2194" stroked="true" strokeweight=".72pt" strokecolor="#858585">
              <v:stroke dashstyle="solid"/>
            </v:line>
            <v:line style="position:absolute" from="5636,1921" to="6150,1921" stroked="true" strokeweight=".72pt" strokecolor="#858585">
              <v:stroke dashstyle="solid"/>
            </v:line>
            <v:line style="position:absolute" from="5636,1649" to="6150,1649" stroked="true" strokeweight=".72pt" strokecolor="#858585">
              <v:stroke dashstyle="solid"/>
            </v:line>
            <v:line style="position:absolute" from="3319,1377" to="5293,1377" stroked="true" strokeweight=".72pt" strokecolor="#858585">
              <v:stroke dashstyle="solid"/>
            </v:line>
            <v:line style="position:absolute" from="5636,1377" to="7009,1377" stroked="true" strokeweight=".72pt" strokecolor="#858585">
              <v:stroke dashstyle="solid"/>
            </v:line>
            <v:rect style="position:absolute;left:5293;top:1241;width:344;height:1226" filled="true" fillcolor="#4f81bb" stroked="false">
              <v:fill type="solid"/>
            </v:rect>
            <v:line style="position:absolute" from="6495,2194" to="7010,2194" stroked="true" strokeweight=".72pt" strokecolor="#858585">
              <v:stroke dashstyle="solid"/>
            </v:line>
            <v:line style="position:absolute" from="6495,1921" to="7010,1921" stroked="true" strokeweight=".72pt" strokecolor="#858585">
              <v:stroke dashstyle="solid"/>
            </v:line>
            <v:line style="position:absolute" from="6495,1649" to="7010,1649" stroked="true" strokeweight=".72pt" strokecolor="#858585">
              <v:stroke dashstyle="solid"/>
            </v:line>
            <v:rect style="position:absolute;left:6150;top:1567;width:345;height:900" filled="true" fillcolor="#4f81bb" stroked="false">
              <v:fill type="solid"/>
            </v:rect>
            <v:line style="position:absolute" from="7351,2194" to="7609,2194" stroked="true" strokeweight=".72pt" strokecolor="#858585">
              <v:stroke dashstyle="solid"/>
            </v:line>
            <v:line style="position:absolute" from="7351,1649" to="7609,1649" stroked="true" strokeweight=".72pt" strokecolor="#858585">
              <v:stroke dashstyle="solid"/>
            </v:line>
            <v:line style="position:absolute" from="7351,1377" to="7609,1377" stroked="true" strokeweight=".72pt" strokecolor="#858585">
              <v:stroke dashstyle="solid"/>
            </v:line>
            <v:line style="position:absolute" from="3320,1104" to="7610,1104" stroked="true" strokeweight=".72pt" strokecolor="#858585">
              <v:stroke dashstyle="solid"/>
            </v:line>
            <v:rect style="position:absolute;left:7009;top:1131;width:342;height:1335" filled="true" fillcolor="#4f81bb" stroked="false">
              <v:fill type="solid"/>
            </v:rect>
            <v:line style="position:absolute" from="3320,833" to="7610,833" stroked="true" strokeweight=".72pt" strokecolor="#858585">
              <v:stroke dashstyle="solid"/>
            </v:line>
            <v:line style="position:absolute" from="3320,2467" to="3320,833" stroked="true" strokeweight=".72pt" strokecolor="#858585">
              <v:stroke dashstyle="solid"/>
            </v:line>
            <v:line style="position:absolute" from="3261,2467" to="3320,2467" stroked="true" strokeweight=".72pt" strokecolor="#858585">
              <v:stroke dashstyle="solid"/>
            </v:line>
            <v:line style="position:absolute" from="3261,2194" to="3320,2194" stroked="true" strokeweight=".72pt" strokecolor="#858585">
              <v:stroke dashstyle="solid"/>
            </v:line>
            <v:line style="position:absolute" from="3261,1922" to="3320,1922" stroked="true" strokeweight=".72pt" strokecolor="#858585">
              <v:stroke dashstyle="solid"/>
            </v:line>
            <v:line style="position:absolute" from="3261,1650" to="3320,1650" stroked="true" strokeweight=".72pt" strokecolor="#858585">
              <v:stroke dashstyle="solid"/>
            </v:line>
            <v:line style="position:absolute" from="3261,1378" to="3320,1378" stroked="true" strokeweight=".72pt" strokecolor="#858585">
              <v:stroke dashstyle="solid"/>
            </v:line>
            <v:line style="position:absolute" from="3261,1104" to="3320,1104" stroked="true" strokeweight=".72pt" strokecolor="#858585">
              <v:stroke dashstyle="solid"/>
            </v:line>
            <v:line style="position:absolute" from="3261,833" to="3320,833" stroked="true" strokeweight=".72pt" strokecolor="#858585">
              <v:stroke dashstyle="solid"/>
            </v:line>
            <v:line style="position:absolute" from="3320,2467" to="7610,2467" stroked="true" strokeweight=".72pt" strokecolor="#858585">
              <v:stroke dashstyle="solid"/>
            </v:line>
            <v:line style="position:absolute" from="3320,2467" to="3320,2516" stroked="true" strokeweight=".72pt" strokecolor="#858585">
              <v:stroke dashstyle="solid"/>
            </v:line>
            <v:line style="position:absolute" from="4178,2467" to="4178,2516" stroked="true" strokeweight=".72pt" strokecolor="#858585">
              <v:stroke dashstyle="solid"/>
            </v:line>
            <v:line style="position:absolute" from="5036,2467" to="5036,2516" stroked="true" strokeweight=".72pt" strokecolor="#858585">
              <v:stroke dashstyle="solid"/>
            </v:line>
            <v:line style="position:absolute" from="5894,2467" to="5894,2516" stroked="true" strokeweight=".72pt" strokecolor="#858585">
              <v:stroke dashstyle="solid"/>
            </v:line>
            <v:line style="position:absolute" from="6752,2467" to="6752,2516" stroked="true" strokeweight=".72pt" strokecolor="#858585">
              <v:stroke dashstyle="solid"/>
            </v:line>
            <v:line style="position:absolute" from="7610,2467" to="7610,2516" stroked="true" strokeweight=".72pt" strokecolor="#858585">
              <v:stroke dashstyle="solid"/>
            </v:line>
            <v:rect style="position:absolute;left:7924;top:1776;width:100;height:83" filled="true" fillcolor="#4f81bb" stroked="false">
              <v:fill type="solid"/>
            </v:rect>
            <v:rect style="position:absolute;left:2670;top:163;width:6865;height:2820" filled="false" stroked="true" strokeweight="1pt" strokecolor="#858585">
              <v:stroke dashstyle="solid"/>
            </v:rect>
            <v:shape style="position:absolute;left:4924;top:299;width:2376;height:327" type="#_x0000_t75" stroked="false">
              <v:imagedata r:id="rId49" o:title=""/>
            </v:shape>
            <v:shape style="position:absolute;left:2889;top:741;width:269;height:1820" type="#_x0000_t75" stroked="false">
              <v:imagedata r:id="rId50" o:title=""/>
            </v:shape>
            <v:shape style="position:absolute;left:7348;top:1730;width:327;height:183" type="#_x0000_t75" stroked="false">
              <v:imagedata r:id="rId51" o:title=""/>
            </v:shape>
            <v:shape style="position:absolute;left:8064;top:1730;width:1287;height:183" type="#_x0000_t75" stroked="false">
              <v:imagedata r:id="rId52" o:title=""/>
            </v:shape>
            <v:shape style="position:absolute;left:3547;top:2622;width:3855;height:183" type="#_x0000_t75" stroked="false">
              <v:imagedata r:id="rId53" o:title=""/>
            </v:shape>
            <v:shape style="position:absolute;left:3548;top:2624;width:3857;height:224" type="#_x0000_t202" filled="false" stroked="false">
              <v:textbox inset="0,0,0,0">
                <w:txbxContent>
                  <w:p>
                    <w:pPr>
                      <w:tabs>
                        <w:tab w:pos="859" w:val="left" w:leader="none"/>
                        <w:tab w:pos="1714" w:val="left" w:leader="none"/>
                        <w:tab w:pos="2573" w:val="left" w:leader="none"/>
                        <w:tab w:pos="3432" w:val="left" w:leader="none"/>
                      </w:tabs>
                      <w:spacing w:line="223" w:lineRule="exact" w:before="0"/>
                      <w:ind w:left="0" w:right="0" w:firstLine="0"/>
                      <w:jc w:val="left"/>
                      <w:rPr>
                        <w:sz w:val="20"/>
                      </w:rPr>
                    </w:pPr>
                    <w:r>
                      <w:rPr>
                        <w:sz w:val="20"/>
                      </w:rPr>
                      <w:t>2019</w:t>
                      <w:tab/>
                      <w:t>2018</w:t>
                      <w:tab/>
                      <w:t>2017</w:t>
                      <w:tab/>
                      <w:t>2016</w:t>
                      <w:tab/>
                      <w:t>2015</w:t>
                    </w:r>
                  </w:p>
                </w:txbxContent>
              </v:textbox>
              <w10:wrap type="none"/>
            </v:shape>
            <v:shape style="position:absolute;left:8066;top:1731;width:1291;height:224" type="#_x0000_t202" filled="false" stroked="false">
              <v:textbox inset="0,0,0,0">
                <w:txbxContent>
                  <w:p>
                    <w:pPr>
                      <w:spacing w:line="223" w:lineRule="exact" w:before="0"/>
                      <w:ind w:left="0" w:right="0" w:firstLine="0"/>
                      <w:jc w:val="left"/>
                      <w:rPr>
                        <w:sz w:val="20"/>
                      </w:rPr>
                    </w:pPr>
                    <w:r>
                      <w:rPr>
                        <w:sz w:val="20"/>
                      </w:rPr>
                      <w:t>Acid Test Ratio</w:t>
                    </w:r>
                  </w:p>
                </w:txbxContent>
              </v:textbox>
              <w10:wrap type="none"/>
            </v:shape>
            <v:shape style="position:absolute;left:2895;top:741;width:275;height:1876" type="#_x0000_t202" filled="false" stroked="false">
              <v:textbox inset="0,0,0,0">
                <w:txbxContent>
                  <w:p>
                    <w:pPr>
                      <w:spacing w:line="223" w:lineRule="exact" w:before="0"/>
                      <w:ind w:left="0" w:right="0" w:firstLine="0"/>
                      <w:jc w:val="left"/>
                      <w:rPr>
                        <w:sz w:val="20"/>
                      </w:rPr>
                    </w:pPr>
                    <w:r>
                      <w:rPr>
                        <w:sz w:val="20"/>
                      </w:rPr>
                      <w:t>0.6</w:t>
                    </w:r>
                  </w:p>
                  <w:p>
                    <w:pPr>
                      <w:spacing w:before="97"/>
                      <w:ind w:left="0" w:right="0" w:firstLine="0"/>
                      <w:jc w:val="left"/>
                      <w:rPr>
                        <w:sz w:val="20"/>
                      </w:rPr>
                    </w:pPr>
                    <w:r>
                      <w:rPr>
                        <w:sz w:val="20"/>
                      </w:rPr>
                      <w:t>0.5</w:t>
                    </w:r>
                  </w:p>
                  <w:p>
                    <w:pPr>
                      <w:spacing w:before="101"/>
                      <w:ind w:left="0" w:right="0" w:firstLine="0"/>
                      <w:jc w:val="left"/>
                      <w:rPr>
                        <w:sz w:val="20"/>
                      </w:rPr>
                    </w:pPr>
                    <w:r>
                      <w:rPr>
                        <w:sz w:val="20"/>
                      </w:rPr>
                      <w:t>0.4</w:t>
                    </w:r>
                  </w:p>
                  <w:p>
                    <w:pPr>
                      <w:spacing w:before="101"/>
                      <w:ind w:left="0" w:right="0" w:firstLine="0"/>
                      <w:jc w:val="left"/>
                      <w:rPr>
                        <w:sz w:val="20"/>
                      </w:rPr>
                    </w:pPr>
                    <w:r>
                      <w:rPr>
                        <w:sz w:val="20"/>
                      </w:rPr>
                      <w:t>0.3</w:t>
                    </w:r>
                  </w:p>
                  <w:p>
                    <w:pPr>
                      <w:spacing w:before="101"/>
                      <w:ind w:left="0" w:right="0" w:firstLine="0"/>
                      <w:jc w:val="left"/>
                      <w:rPr>
                        <w:sz w:val="20"/>
                      </w:rPr>
                    </w:pPr>
                    <w:r>
                      <w:rPr>
                        <w:sz w:val="20"/>
                      </w:rPr>
                      <w:t>0.2</w:t>
                    </w:r>
                  </w:p>
                  <w:p>
                    <w:pPr>
                      <w:spacing w:before="102"/>
                      <w:ind w:left="0" w:right="0" w:firstLine="0"/>
                      <w:jc w:val="left"/>
                      <w:rPr>
                        <w:sz w:val="20"/>
                      </w:rPr>
                    </w:pPr>
                    <w:r>
                      <w:rPr>
                        <w:sz w:val="20"/>
                      </w:rPr>
                      <w:t>0.1</w:t>
                    </w:r>
                  </w:p>
                </w:txbxContent>
              </v:textbox>
              <w10:wrap type="none"/>
            </v:shape>
            <v:shape style="position:absolute;left:4926;top:303;width:2375;height:399" type="#_x0000_t202" filled="false" stroked="false">
              <v:textbox inset="0,0,0,0">
                <w:txbxContent>
                  <w:p>
                    <w:pPr>
                      <w:spacing w:line="399" w:lineRule="exact" w:before="0"/>
                      <w:ind w:left="0" w:right="0" w:firstLine="0"/>
                      <w:jc w:val="left"/>
                      <w:rPr>
                        <w:b/>
                        <w:sz w:val="36"/>
                      </w:rPr>
                    </w:pPr>
                    <w:r>
                      <w:rPr>
                        <w:b/>
                        <w:sz w:val="36"/>
                      </w:rPr>
                      <w:t>Acid </w:t>
                    </w:r>
                    <w:r>
                      <w:rPr>
                        <w:b/>
                        <w:spacing w:val="-7"/>
                        <w:sz w:val="36"/>
                      </w:rPr>
                      <w:t>Test </w:t>
                    </w:r>
                    <w:r>
                      <w:rPr>
                        <w:b/>
                        <w:sz w:val="36"/>
                      </w:rPr>
                      <w:t>Ratio</w:t>
                    </w:r>
                  </w:p>
                </w:txbxContent>
              </v:textbox>
              <w10:wrap type="none"/>
            </v:shape>
            <w10:wrap type="topAndBottom"/>
          </v:group>
        </w:pict>
      </w:r>
    </w:p>
    <w:p>
      <w:pPr>
        <w:pStyle w:val="BodyText"/>
        <w:spacing w:line="360" w:lineRule="auto"/>
        <w:ind w:left="340" w:right="257"/>
        <w:jc w:val="both"/>
      </w:pPr>
      <w:r>
        <w:rPr>
          <w:b/>
        </w:rPr>
        <w:t>Interpretation</w:t>
      </w:r>
      <w:r>
        <w:rPr/>
        <w:t>:</w:t>
      </w:r>
      <w:r>
        <w:rPr>
          <w:spacing w:val="-5"/>
        </w:rPr>
        <w:t> </w:t>
      </w:r>
      <w:r>
        <w:rPr/>
        <w:t>The</w:t>
      </w:r>
      <w:r>
        <w:rPr>
          <w:spacing w:val="-7"/>
        </w:rPr>
        <w:t> </w:t>
      </w:r>
      <w:r>
        <w:rPr/>
        <w:t>standard</w:t>
      </w:r>
      <w:r>
        <w:rPr>
          <w:spacing w:val="-11"/>
        </w:rPr>
        <w:t> </w:t>
      </w:r>
      <w:r>
        <w:rPr/>
        <w:t>ratio</w:t>
      </w:r>
      <w:r>
        <w:rPr>
          <w:spacing w:val="-1"/>
        </w:rPr>
        <w:t> </w:t>
      </w:r>
      <w:r>
        <w:rPr>
          <w:spacing w:val="-3"/>
        </w:rPr>
        <w:t>is</w:t>
      </w:r>
      <w:r>
        <w:rPr>
          <w:spacing w:val="-8"/>
        </w:rPr>
        <w:t> </w:t>
      </w:r>
      <w:r>
        <w:rPr/>
        <w:t>1:1.</w:t>
      </w:r>
      <w:r>
        <w:rPr>
          <w:spacing w:val="-8"/>
        </w:rPr>
        <w:t> </w:t>
      </w:r>
      <w:r>
        <w:rPr/>
        <w:t>But</w:t>
      </w:r>
      <w:r>
        <w:rPr>
          <w:spacing w:val="-10"/>
        </w:rPr>
        <w:t> </w:t>
      </w:r>
      <w:r>
        <w:rPr/>
        <w:t>the</w:t>
      </w:r>
      <w:r>
        <w:rPr>
          <w:spacing w:val="-7"/>
        </w:rPr>
        <w:t> </w:t>
      </w:r>
      <w:r>
        <w:rPr>
          <w:spacing w:val="-4"/>
        </w:rPr>
        <w:t>acid</w:t>
      </w:r>
      <w:r>
        <w:rPr>
          <w:spacing w:val="-6"/>
        </w:rPr>
        <w:t> </w:t>
      </w:r>
      <w:r>
        <w:rPr/>
        <w:t>test</w:t>
      </w:r>
      <w:r>
        <w:rPr>
          <w:spacing w:val="-9"/>
        </w:rPr>
        <w:t> </w:t>
      </w:r>
      <w:r>
        <w:rPr/>
        <w:t>ratio</w:t>
      </w:r>
      <w:r>
        <w:rPr>
          <w:spacing w:val="-6"/>
        </w:rPr>
        <w:t> </w:t>
      </w:r>
      <w:r>
        <w:rPr/>
        <w:t>of</w:t>
      </w:r>
      <w:r>
        <w:rPr>
          <w:spacing w:val="-14"/>
        </w:rPr>
        <w:t> </w:t>
      </w:r>
      <w:r>
        <w:rPr/>
        <w:t>Jamuna</w:t>
      </w:r>
      <w:r>
        <w:rPr>
          <w:spacing w:val="-7"/>
        </w:rPr>
        <w:t> </w:t>
      </w:r>
      <w:r>
        <w:rPr/>
        <w:t>Bank</w:t>
      </w:r>
      <w:r>
        <w:rPr>
          <w:spacing w:val="-6"/>
        </w:rPr>
        <w:t> </w:t>
      </w:r>
      <w:r>
        <w:rPr/>
        <w:t>Limited</w:t>
      </w:r>
      <w:r>
        <w:rPr>
          <w:spacing w:val="-1"/>
        </w:rPr>
        <w:t> </w:t>
      </w:r>
      <w:r>
        <w:rPr>
          <w:spacing w:val="-5"/>
        </w:rPr>
        <w:t>is</w:t>
      </w:r>
      <w:r>
        <w:rPr>
          <w:spacing w:val="-3"/>
        </w:rPr>
        <w:t> </w:t>
      </w:r>
      <w:r>
        <w:rPr/>
        <w:t>much lower</w:t>
      </w:r>
      <w:r>
        <w:rPr>
          <w:spacing w:val="-8"/>
        </w:rPr>
        <w:t> </w:t>
      </w:r>
      <w:r>
        <w:rPr/>
        <w:t>than</w:t>
      </w:r>
      <w:r>
        <w:rPr>
          <w:spacing w:val="-13"/>
        </w:rPr>
        <w:t> </w:t>
      </w:r>
      <w:r>
        <w:rPr/>
        <w:t>that.</w:t>
      </w:r>
      <w:r>
        <w:rPr>
          <w:spacing w:val="-7"/>
        </w:rPr>
        <w:t> </w:t>
      </w:r>
      <w:r>
        <w:rPr>
          <w:spacing w:val="-4"/>
        </w:rPr>
        <w:t>Acid</w:t>
      </w:r>
      <w:r>
        <w:rPr>
          <w:spacing w:val="-10"/>
        </w:rPr>
        <w:t> </w:t>
      </w:r>
      <w:r>
        <w:rPr/>
        <w:t>test</w:t>
      </w:r>
      <w:r>
        <w:rPr>
          <w:spacing w:val="-4"/>
        </w:rPr>
        <w:t> </w:t>
      </w:r>
      <w:r>
        <w:rPr/>
        <w:t>ratio</w:t>
      </w:r>
      <w:r>
        <w:rPr>
          <w:spacing w:val="-4"/>
        </w:rPr>
        <w:t> </w:t>
      </w:r>
      <w:r>
        <w:rPr/>
        <w:t>of</w:t>
      </w:r>
      <w:r>
        <w:rPr>
          <w:spacing w:val="-18"/>
        </w:rPr>
        <w:t> </w:t>
      </w:r>
      <w:r>
        <w:rPr/>
        <w:t>Jamuna</w:t>
      </w:r>
      <w:r>
        <w:rPr>
          <w:spacing w:val="-5"/>
        </w:rPr>
        <w:t> </w:t>
      </w:r>
      <w:r>
        <w:rPr/>
        <w:t>Bank</w:t>
      </w:r>
      <w:r>
        <w:rPr>
          <w:spacing w:val="-9"/>
        </w:rPr>
        <w:t> </w:t>
      </w:r>
      <w:r>
        <w:rPr/>
        <w:t>Limited</w:t>
      </w:r>
      <w:r>
        <w:rPr>
          <w:spacing w:val="-5"/>
        </w:rPr>
        <w:t> </w:t>
      </w:r>
      <w:r>
        <w:rPr>
          <w:spacing w:val="-3"/>
        </w:rPr>
        <w:t>in</w:t>
      </w:r>
      <w:r>
        <w:rPr>
          <w:spacing w:val="-9"/>
        </w:rPr>
        <w:t> </w:t>
      </w:r>
      <w:r>
        <w:rPr/>
        <w:t>the</w:t>
      </w:r>
      <w:r>
        <w:rPr>
          <w:spacing w:val="-5"/>
        </w:rPr>
        <w:t> </w:t>
      </w:r>
      <w:r>
        <w:rPr/>
        <w:t>year</w:t>
      </w:r>
      <w:r>
        <w:rPr>
          <w:spacing w:val="-8"/>
        </w:rPr>
        <w:t> </w:t>
      </w:r>
      <w:r>
        <w:rPr/>
        <w:t>2019</w:t>
      </w:r>
      <w:r>
        <w:rPr>
          <w:spacing w:val="-4"/>
        </w:rPr>
        <w:t> </w:t>
      </w:r>
      <w:r>
        <w:rPr>
          <w:spacing w:val="-3"/>
        </w:rPr>
        <w:t>is</w:t>
      </w:r>
      <w:r>
        <w:rPr>
          <w:spacing w:val="-11"/>
        </w:rPr>
        <w:t> </w:t>
      </w:r>
      <w:r>
        <w:rPr/>
        <w:t>0.34:1</w:t>
      </w:r>
      <w:r>
        <w:rPr>
          <w:spacing w:val="-9"/>
        </w:rPr>
        <w:t> </w:t>
      </w:r>
      <w:r>
        <w:rPr/>
        <w:t>whereas</w:t>
      </w:r>
      <w:r>
        <w:rPr>
          <w:spacing w:val="-11"/>
        </w:rPr>
        <w:t> </w:t>
      </w:r>
      <w:r>
        <w:rPr/>
        <w:t>0.29:1 </w:t>
      </w:r>
      <w:r>
        <w:rPr>
          <w:spacing w:val="-3"/>
        </w:rPr>
        <w:t>in </w:t>
      </w:r>
      <w:r>
        <w:rPr/>
        <w:t>2018.</w:t>
      </w:r>
    </w:p>
    <w:p>
      <w:pPr>
        <w:spacing w:after="0" w:line="360" w:lineRule="auto"/>
        <w:jc w:val="both"/>
        <w:sectPr>
          <w:pgSz w:w="12240" w:h="15840"/>
          <w:pgMar w:header="0" w:footer="1039" w:top="1500" w:bottom="1220" w:left="1100" w:right="1300"/>
        </w:sectPr>
      </w:pPr>
    </w:p>
    <w:p>
      <w:pPr>
        <w:pStyle w:val="Heading3"/>
        <w:spacing w:before="77"/>
      </w:pPr>
      <w:r>
        <w:rPr/>
        <w:t>Debt Ratio</w:t>
      </w:r>
    </w:p>
    <w:p>
      <w:pPr>
        <w:pStyle w:val="BodyText"/>
        <w:spacing w:before="2"/>
        <w:rPr>
          <w:b/>
          <w:sz w:val="12"/>
        </w:rPr>
      </w:pPr>
    </w:p>
    <w:tbl>
      <w:tblPr>
        <w:tblW w:w="0" w:type="auto"/>
        <w:jc w:val="left"/>
        <w:tblInd w:w="2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95"/>
        <w:gridCol w:w="3039"/>
      </w:tblGrid>
      <w:tr>
        <w:trPr>
          <w:trHeight w:val="494" w:hRule="atLeast"/>
        </w:trPr>
        <w:tc>
          <w:tcPr>
            <w:tcW w:w="2895" w:type="dxa"/>
          </w:tcPr>
          <w:p>
            <w:pPr>
              <w:pStyle w:val="TableParagraph"/>
              <w:spacing w:line="240" w:lineRule="auto" w:before="1"/>
              <w:ind w:left="1118" w:right="1103"/>
              <w:jc w:val="center"/>
              <w:rPr>
                <w:b/>
                <w:sz w:val="22"/>
              </w:rPr>
            </w:pPr>
            <w:r>
              <w:rPr>
                <w:b/>
                <w:sz w:val="22"/>
              </w:rPr>
              <w:t>YEAR</w:t>
            </w:r>
          </w:p>
        </w:tc>
        <w:tc>
          <w:tcPr>
            <w:tcW w:w="3039" w:type="dxa"/>
          </w:tcPr>
          <w:p>
            <w:pPr>
              <w:pStyle w:val="TableParagraph"/>
              <w:spacing w:line="240" w:lineRule="auto" w:before="1"/>
              <w:ind w:left="1142" w:right="1124"/>
              <w:jc w:val="center"/>
              <w:rPr>
                <w:b/>
                <w:sz w:val="22"/>
              </w:rPr>
            </w:pPr>
            <w:r>
              <w:rPr>
                <w:b/>
                <w:sz w:val="22"/>
              </w:rPr>
              <w:t>RATIO</w:t>
            </w:r>
          </w:p>
        </w:tc>
      </w:tr>
      <w:tr>
        <w:trPr>
          <w:trHeight w:val="489" w:hRule="atLeast"/>
        </w:trPr>
        <w:tc>
          <w:tcPr>
            <w:tcW w:w="2895" w:type="dxa"/>
          </w:tcPr>
          <w:p>
            <w:pPr>
              <w:pStyle w:val="TableParagraph"/>
              <w:spacing w:line="250" w:lineRule="exact"/>
              <w:ind w:left="1118" w:right="1103"/>
              <w:jc w:val="center"/>
              <w:rPr>
                <w:b/>
                <w:sz w:val="22"/>
              </w:rPr>
            </w:pPr>
            <w:r>
              <w:rPr>
                <w:b/>
                <w:sz w:val="22"/>
              </w:rPr>
              <w:t>2019</w:t>
            </w:r>
          </w:p>
        </w:tc>
        <w:tc>
          <w:tcPr>
            <w:tcW w:w="3039" w:type="dxa"/>
          </w:tcPr>
          <w:p>
            <w:pPr>
              <w:pStyle w:val="TableParagraph"/>
              <w:spacing w:line="250" w:lineRule="exact"/>
              <w:ind w:left="1142" w:right="1118"/>
              <w:jc w:val="center"/>
              <w:rPr>
                <w:b/>
                <w:sz w:val="22"/>
              </w:rPr>
            </w:pPr>
            <w:r>
              <w:rPr>
                <w:b/>
                <w:sz w:val="22"/>
              </w:rPr>
              <w:t>0.927</w:t>
            </w:r>
          </w:p>
        </w:tc>
      </w:tr>
      <w:tr>
        <w:trPr>
          <w:trHeight w:val="489" w:hRule="atLeast"/>
        </w:trPr>
        <w:tc>
          <w:tcPr>
            <w:tcW w:w="2895" w:type="dxa"/>
          </w:tcPr>
          <w:p>
            <w:pPr>
              <w:pStyle w:val="TableParagraph"/>
              <w:spacing w:line="240" w:lineRule="auto" w:before="1"/>
              <w:ind w:left="1118" w:right="1103"/>
              <w:jc w:val="center"/>
              <w:rPr>
                <w:b/>
                <w:sz w:val="22"/>
              </w:rPr>
            </w:pPr>
            <w:r>
              <w:rPr>
                <w:b/>
                <w:sz w:val="22"/>
              </w:rPr>
              <w:t>2018</w:t>
            </w:r>
          </w:p>
        </w:tc>
        <w:tc>
          <w:tcPr>
            <w:tcW w:w="3039" w:type="dxa"/>
          </w:tcPr>
          <w:p>
            <w:pPr>
              <w:pStyle w:val="TableParagraph"/>
              <w:spacing w:line="240" w:lineRule="auto" w:before="1"/>
              <w:ind w:left="1142" w:right="1118"/>
              <w:jc w:val="center"/>
              <w:rPr>
                <w:b/>
                <w:sz w:val="22"/>
              </w:rPr>
            </w:pPr>
            <w:r>
              <w:rPr>
                <w:b/>
                <w:sz w:val="22"/>
              </w:rPr>
              <w:t>0.931</w:t>
            </w:r>
          </w:p>
        </w:tc>
      </w:tr>
      <w:tr>
        <w:trPr>
          <w:trHeight w:val="493" w:hRule="atLeast"/>
        </w:trPr>
        <w:tc>
          <w:tcPr>
            <w:tcW w:w="2895" w:type="dxa"/>
          </w:tcPr>
          <w:p>
            <w:pPr>
              <w:pStyle w:val="TableParagraph"/>
              <w:spacing w:line="249" w:lineRule="exact"/>
              <w:ind w:left="1118" w:right="1103"/>
              <w:jc w:val="center"/>
              <w:rPr>
                <w:b/>
                <w:sz w:val="22"/>
              </w:rPr>
            </w:pPr>
            <w:r>
              <w:rPr>
                <w:b/>
                <w:sz w:val="22"/>
              </w:rPr>
              <w:t>2017</w:t>
            </w:r>
          </w:p>
        </w:tc>
        <w:tc>
          <w:tcPr>
            <w:tcW w:w="3039" w:type="dxa"/>
          </w:tcPr>
          <w:p>
            <w:pPr>
              <w:pStyle w:val="TableParagraph"/>
              <w:spacing w:line="249" w:lineRule="exact"/>
              <w:ind w:left="1142" w:right="1118"/>
              <w:jc w:val="center"/>
              <w:rPr>
                <w:b/>
                <w:sz w:val="22"/>
              </w:rPr>
            </w:pPr>
            <w:r>
              <w:rPr>
                <w:b/>
                <w:sz w:val="22"/>
              </w:rPr>
              <w:t>0.947</w:t>
            </w:r>
          </w:p>
        </w:tc>
      </w:tr>
      <w:tr>
        <w:trPr>
          <w:trHeight w:val="489" w:hRule="atLeast"/>
        </w:trPr>
        <w:tc>
          <w:tcPr>
            <w:tcW w:w="2895" w:type="dxa"/>
          </w:tcPr>
          <w:p>
            <w:pPr>
              <w:pStyle w:val="TableParagraph"/>
              <w:spacing w:line="249" w:lineRule="exact"/>
              <w:ind w:left="1118" w:right="1103"/>
              <w:jc w:val="center"/>
              <w:rPr>
                <w:b/>
                <w:sz w:val="22"/>
              </w:rPr>
            </w:pPr>
            <w:r>
              <w:rPr>
                <w:b/>
                <w:sz w:val="22"/>
              </w:rPr>
              <w:t>2016</w:t>
            </w:r>
          </w:p>
        </w:tc>
        <w:tc>
          <w:tcPr>
            <w:tcW w:w="3039" w:type="dxa"/>
          </w:tcPr>
          <w:p>
            <w:pPr>
              <w:pStyle w:val="TableParagraph"/>
              <w:spacing w:line="249" w:lineRule="exact"/>
              <w:ind w:left="1142" w:right="1118"/>
              <w:jc w:val="center"/>
              <w:rPr>
                <w:b/>
                <w:sz w:val="22"/>
              </w:rPr>
            </w:pPr>
            <w:r>
              <w:rPr>
                <w:b/>
                <w:sz w:val="22"/>
              </w:rPr>
              <w:t>0.947</w:t>
            </w:r>
          </w:p>
        </w:tc>
      </w:tr>
      <w:tr>
        <w:trPr>
          <w:trHeight w:val="489" w:hRule="atLeast"/>
        </w:trPr>
        <w:tc>
          <w:tcPr>
            <w:tcW w:w="2895" w:type="dxa"/>
          </w:tcPr>
          <w:p>
            <w:pPr>
              <w:pStyle w:val="TableParagraph"/>
              <w:spacing w:line="249" w:lineRule="exact"/>
              <w:ind w:left="1118" w:right="1103"/>
              <w:jc w:val="center"/>
              <w:rPr>
                <w:b/>
                <w:sz w:val="22"/>
              </w:rPr>
            </w:pPr>
            <w:r>
              <w:rPr>
                <w:b/>
                <w:sz w:val="22"/>
              </w:rPr>
              <w:t>2015</w:t>
            </w:r>
          </w:p>
        </w:tc>
        <w:tc>
          <w:tcPr>
            <w:tcW w:w="3039" w:type="dxa"/>
          </w:tcPr>
          <w:p>
            <w:pPr>
              <w:pStyle w:val="TableParagraph"/>
              <w:spacing w:line="249" w:lineRule="exact"/>
              <w:ind w:left="1142" w:right="1118"/>
              <w:jc w:val="center"/>
              <w:rPr>
                <w:b/>
                <w:sz w:val="22"/>
              </w:rPr>
            </w:pPr>
            <w:r>
              <w:rPr>
                <w:b/>
                <w:sz w:val="22"/>
              </w:rPr>
              <w:t>0.953</w:t>
            </w:r>
          </w:p>
        </w:tc>
      </w:tr>
    </w:tbl>
    <w:p>
      <w:pPr>
        <w:pStyle w:val="BodyText"/>
        <w:rPr>
          <w:b/>
          <w:sz w:val="20"/>
        </w:rPr>
      </w:pPr>
    </w:p>
    <w:p>
      <w:pPr>
        <w:pStyle w:val="BodyText"/>
        <w:spacing w:before="8"/>
        <w:rPr>
          <w:b/>
          <w:sz w:val="16"/>
        </w:rPr>
      </w:pPr>
      <w:r>
        <w:rPr/>
        <w:pict>
          <v:group style="position:absolute;margin-left:153.25pt;margin-top:11.570976pt;width:304.05pt;height:162.8pt;mso-position-horizontal-relative:page;mso-position-vertical-relative:paragraph;z-index:-251573248;mso-wrap-distance-left:0;mso-wrap-distance-right:0" coordorigin="3065,231" coordsize="6081,3256">
            <v:line style="position:absolute" from="3826,2501" to="4053,2501" stroked="true" strokeweight=".72pt" strokecolor="#858585">
              <v:stroke dashstyle="solid"/>
            </v:line>
            <v:line style="position:absolute" from="4355,2501" to="4809,2501" stroked="true" strokeweight=".72pt" strokecolor="#858585">
              <v:stroke dashstyle="solid"/>
            </v:line>
            <v:rect style="position:absolute;left:4052;top:2242;width:303;height:629" filled="true" fillcolor="#4f81bb" stroked="false">
              <v:fill type="solid"/>
            </v:rect>
            <v:line style="position:absolute" from="5111,2501" to="5565,2501" stroked="true" strokeweight=".72pt" strokecolor="#858585">
              <v:stroke dashstyle="solid"/>
            </v:line>
            <v:line style="position:absolute" from="3826,2132" to="4809,2132" stroked="true" strokeweight=".72pt" strokecolor="#858585">
              <v:stroke dashstyle="solid"/>
            </v:line>
            <v:line style="position:absolute" from="5111,2132" to="5565,2132" stroked="true" strokeweight=".72pt" strokecolor="#858585">
              <v:stroke dashstyle="solid"/>
            </v:line>
            <v:rect style="position:absolute;left:4808;top:2095;width:303;height:777" filled="true" fillcolor="#4f81bb" stroked="false">
              <v:fill type="solid"/>
            </v:rect>
            <v:line style="position:absolute" from="5867,2501" to="6321,2501" stroked="true" strokeweight=".72pt" strokecolor="#858585">
              <v:stroke dashstyle="solid"/>
            </v:line>
            <v:line style="position:absolute" from="5867,2132" to="6321,2132" stroked="true" strokeweight=".72pt" strokecolor="#858585">
              <v:stroke dashstyle="solid"/>
            </v:line>
            <v:line style="position:absolute" from="3826,1762" to="5565,1762" stroked="true" strokeweight=".72pt" strokecolor="#858585">
              <v:stroke dashstyle="solid"/>
            </v:line>
            <v:line style="position:absolute" from="5867,1762" to="6321,1762" stroked="true" strokeweight=".72pt" strokecolor="#858585">
              <v:stroke dashstyle="solid"/>
            </v:line>
            <v:rect style="position:absolute;left:5564;top:1503;width:303;height:1369" filled="true" fillcolor="#4f81bb" stroked="false">
              <v:fill type="solid"/>
            </v:rect>
            <v:line style="position:absolute" from="6623,2501" to="7077,2501" stroked="true" strokeweight=".72pt" strokecolor="#858585">
              <v:stroke dashstyle="solid"/>
            </v:line>
            <v:line style="position:absolute" from="6623,2132" to="7077,2132" stroked="true" strokeweight=".72pt" strokecolor="#858585">
              <v:stroke dashstyle="solid"/>
            </v:line>
            <v:line style="position:absolute" from="6623,1762" to="7077,1762" stroked="true" strokeweight=".72pt" strokecolor="#858585">
              <v:stroke dashstyle="solid"/>
            </v:line>
            <v:rect style="position:absolute;left:6320;top:1503;width:303;height:1369" filled="true" fillcolor="#4f81bb" stroked="false">
              <v:fill type="solid"/>
            </v:rect>
            <v:line style="position:absolute" from="7379,2501" to="7606,2501" stroked="true" strokeweight=".72pt" strokecolor="#858585">
              <v:stroke dashstyle="solid"/>
            </v:line>
            <v:line style="position:absolute" from="7379,2132" to="7606,2132" stroked="true" strokeweight=".72pt" strokecolor="#858585">
              <v:stroke dashstyle="solid"/>
            </v:line>
            <v:line style="position:absolute" from="7379,1762" to="7606,1762" stroked="true" strokeweight=".72pt" strokecolor="#858585">
              <v:stroke dashstyle="solid"/>
            </v:line>
            <v:line style="position:absolute" from="3826,1393" to="7077,1393" stroked="true" strokeweight=".72pt" strokecolor="#858585">
              <v:stroke dashstyle="solid"/>
            </v:line>
            <v:line style="position:absolute" from="7379,1393" to="7606,1393" stroked="true" strokeweight=".72pt" strokecolor="#858585">
              <v:stroke dashstyle="solid"/>
            </v:line>
            <v:rect style="position:absolute;left:7076;top:1280;width:303;height:1591" filled="true" fillcolor="#4f81bb" stroked="false">
              <v:fill type="solid"/>
            </v:rect>
            <v:line style="position:absolute" from="3826,1023" to="7606,1023" stroked="true" strokeweight=".72pt" strokecolor="#858585">
              <v:stroke dashstyle="solid"/>
            </v:line>
            <v:line style="position:absolute" from="3826,2872" to="3826,1023" stroked="true" strokeweight=".72pt" strokecolor="#858585">
              <v:stroke dashstyle="solid"/>
            </v:line>
            <v:line style="position:absolute" from="3766,2872" to="3826,2872" stroked="true" strokeweight=".72pt" strokecolor="#858585">
              <v:stroke dashstyle="solid"/>
            </v:line>
            <v:line style="position:absolute" from="3766,2501" to="3826,2501" stroked="true" strokeweight=".72pt" strokecolor="#858585">
              <v:stroke dashstyle="solid"/>
            </v:line>
            <v:line style="position:absolute" from="3766,2132" to="3826,2132" stroked="true" strokeweight=".72pt" strokecolor="#858585">
              <v:stroke dashstyle="solid"/>
            </v:line>
            <v:line style="position:absolute" from="3766,1762" to="3826,1762" stroked="true" strokeweight=".72pt" strokecolor="#858585">
              <v:stroke dashstyle="solid"/>
            </v:line>
            <v:line style="position:absolute" from="3766,1393" to="3826,1393" stroked="true" strokeweight=".72pt" strokecolor="#858585">
              <v:stroke dashstyle="solid"/>
            </v:line>
            <v:line style="position:absolute" from="3766,1023" to="3826,1023" stroked="true" strokeweight=".72pt" strokecolor="#858585">
              <v:stroke dashstyle="solid"/>
            </v:line>
            <v:line style="position:absolute" from="3826,2872" to="7606,2872" stroked="true" strokeweight=".72pt" strokecolor="#858585">
              <v:stroke dashstyle="solid"/>
            </v:line>
            <v:line style="position:absolute" from="3826,2872" to="3826,2928" stroked="true" strokeweight=".72pt" strokecolor="#858585">
              <v:stroke dashstyle="solid"/>
            </v:line>
            <v:line style="position:absolute" from="4582,2872" to="4582,2928" stroked="true" strokeweight=".72pt" strokecolor="#858585">
              <v:stroke dashstyle="solid"/>
            </v:line>
            <v:line style="position:absolute" from="5338,2872" to="5338,2928" stroked="true" strokeweight=".72pt" strokecolor="#858585">
              <v:stroke dashstyle="solid"/>
            </v:line>
            <v:line style="position:absolute" from="6094,2872" to="6094,2928" stroked="true" strokeweight=".72pt" strokecolor="#858585">
              <v:stroke dashstyle="solid"/>
            </v:line>
            <v:line style="position:absolute" from="6850,2872" to="6850,2928" stroked="true" strokeweight=".72pt" strokecolor="#858585">
              <v:stroke dashstyle="solid"/>
            </v:line>
            <v:line style="position:absolute" from="7606,2872" to="7606,2928" stroked="true" strokeweight=".72pt" strokecolor="#858585">
              <v:stroke dashstyle="solid"/>
            </v:line>
            <v:rect style="position:absolute;left:7920;top:2095;width:100;height:98" filled="true" fillcolor="#4f81bb" stroked="false">
              <v:fill type="solid"/>
            </v:rect>
            <v:rect style="position:absolute;left:3075;top:241;width:6061;height:3236" filled="false" stroked="true" strokeweight="1pt" strokecolor="#858585">
              <v:stroke dashstyle="solid"/>
            </v:rect>
            <v:shape style="position:absolute;left:5270;top:402;width:1690;height:380" type="#_x0000_t75" stroked="false">
              <v:imagedata r:id="rId54" o:title=""/>
            </v:shape>
            <v:shape style="position:absolute;left:3292;top:915;width:375;height:2064" type="#_x0000_t75" stroked="false">
              <v:imagedata r:id="rId55" o:title=""/>
            </v:shape>
            <v:shape style="position:absolute;left:8064;top:2043;width:888;height:212" type="#_x0000_t75" stroked="false">
              <v:imagedata r:id="rId56" o:title=""/>
            </v:shape>
            <v:shape style="position:absolute;left:4003;top:3051;width:3447;height:216" type="#_x0000_t75" stroked="false">
              <v:imagedata r:id="rId57" o:title=""/>
            </v:shape>
            <v:shape style="position:absolute;left:4004;top:3052;width:3451;height:224" type="#_x0000_t202" filled="false" stroked="false">
              <v:textbox inset="0,0,0,0">
                <w:txbxContent>
                  <w:p>
                    <w:pPr>
                      <w:tabs>
                        <w:tab w:pos="754" w:val="left" w:leader="none"/>
                        <w:tab w:pos="1512" w:val="left" w:leader="none"/>
                        <w:tab w:pos="2266" w:val="left" w:leader="none"/>
                        <w:tab w:pos="3024" w:val="left" w:leader="none"/>
                      </w:tabs>
                      <w:spacing w:line="223" w:lineRule="exact" w:before="0"/>
                      <w:ind w:left="0" w:right="0" w:firstLine="0"/>
                      <w:jc w:val="left"/>
                      <w:rPr>
                        <w:sz w:val="20"/>
                      </w:rPr>
                    </w:pPr>
                    <w:r>
                      <w:rPr>
                        <w:sz w:val="20"/>
                      </w:rPr>
                      <w:t>2019</w:t>
                      <w:tab/>
                      <w:t>2018</w:t>
                      <w:tab/>
                      <w:t>2017</w:t>
                      <w:tab/>
                      <w:t>2016</w:t>
                      <w:tab/>
                      <w:t>2015</w:t>
                    </w:r>
                  </w:p>
                </w:txbxContent>
              </v:textbox>
              <w10:wrap type="none"/>
            </v:shape>
            <v:shape style="position:absolute;left:8066;top:2043;width:893;height:224" type="#_x0000_t202" filled="false" stroked="false">
              <v:textbox inset="0,0,0,0">
                <w:txbxContent>
                  <w:p>
                    <w:pPr>
                      <w:spacing w:line="223" w:lineRule="exact" w:before="0"/>
                      <w:ind w:left="0" w:right="0" w:firstLine="0"/>
                      <w:jc w:val="left"/>
                      <w:rPr>
                        <w:sz w:val="20"/>
                      </w:rPr>
                    </w:pPr>
                    <w:r>
                      <w:rPr>
                        <w:sz w:val="20"/>
                      </w:rPr>
                      <w:t>Debt Ratio</w:t>
                    </w:r>
                  </w:p>
                </w:txbxContent>
              </v:textbox>
              <w10:wrap type="none"/>
            </v:shape>
            <v:shape style="position:absolute;left:3294;top:915;width:376;height:2144" type="#_x0000_t202" filled="false" stroked="false">
              <v:textbox inset="0,0,0,0">
                <w:txbxContent>
                  <w:p>
                    <w:pPr>
                      <w:spacing w:line="223" w:lineRule="exact" w:before="0"/>
                      <w:ind w:left="0" w:right="0" w:firstLine="0"/>
                      <w:jc w:val="left"/>
                      <w:rPr>
                        <w:sz w:val="20"/>
                      </w:rPr>
                    </w:pPr>
                    <w:r>
                      <w:rPr>
                        <w:sz w:val="20"/>
                      </w:rPr>
                      <w:t>0.96</w:t>
                    </w:r>
                  </w:p>
                  <w:p>
                    <w:pPr>
                      <w:spacing w:before="149"/>
                      <w:ind w:left="0" w:right="0" w:firstLine="0"/>
                      <w:jc w:val="left"/>
                      <w:rPr>
                        <w:sz w:val="20"/>
                      </w:rPr>
                    </w:pPr>
                    <w:r>
                      <w:rPr>
                        <w:sz w:val="20"/>
                      </w:rPr>
                      <w:t>0.95</w:t>
                    </w:r>
                  </w:p>
                  <w:p>
                    <w:pPr>
                      <w:spacing w:before="154"/>
                      <w:ind w:left="0" w:right="0" w:firstLine="0"/>
                      <w:jc w:val="left"/>
                      <w:rPr>
                        <w:sz w:val="20"/>
                      </w:rPr>
                    </w:pPr>
                    <w:r>
                      <w:rPr>
                        <w:sz w:val="20"/>
                      </w:rPr>
                      <w:t>0.94</w:t>
                    </w:r>
                  </w:p>
                  <w:p>
                    <w:pPr>
                      <w:spacing w:before="159"/>
                      <w:ind w:left="0" w:right="0" w:firstLine="0"/>
                      <w:jc w:val="left"/>
                      <w:rPr>
                        <w:sz w:val="20"/>
                      </w:rPr>
                    </w:pPr>
                    <w:r>
                      <w:rPr>
                        <w:sz w:val="20"/>
                      </w:rPr>
                      <w:t>0.93</w:t>
                    </w:r>
                  </w:p>
                  <w:p>
                    <w:pPr>
                      <w:spacing w:before="154"/>
                      <w:ind w:left="0" w:right="0" w:firstLine="0"/>
                      <w:jc w:val="left"/>
                      <w:rPr>
                        <w:sz w:val="20"/>
                      </w:rPr>
                    </w:pPr>
                    <w:r>
                      <w:rPr>
                        <w:sz w:val="20"/>
                      </w:rPr>
                      <w:t>0.92</w:t>
                    </w:r>
                  </w:p>
                  <w:p>
                    <w:pPr>
                      <w:spacing w:before="154"/>
                      <w:ind w:left="0" w:right="0" w:firstLine="0"/>
                      <w:jc w:val="left"/>
                      <w:rPr>
                        <w:sz w:val="20"/>
                      </w:rPr>
                    </w:pPr>
                    <w:r>
                      <w:rPr>
                        <w:sz w:val="20"/>
                      </w:rPr>
                      <w:t>0.91</w:t>
                    </w:r>
                  </w:p>
                </w:txbxContent>
              </v:textbox>
              <w10:wrap type="none"/>
            </v:shape>
            <v:shape style="position:absolute;left:5282;top:405;width:1687;height:399" type="#_x0000_t202" filled="false" stroked="false">
              <v:textbox inset="0,0,0,0">
                <w:txbxContent>
                  <w:p>
                    <w:pPr>
                      <w:spacing w:line="399" w:lineRule="exact" w:before="0"/>
                      <w:ind w:left="0" w:right="0" w:firstLine="0"/>
                      <w:jc w:val="left"/>
                      <w:rPr>
                        <w:b/>
                        <w:sz w:val="36"/>
                      </w:rPr>
                    </w:pPr>
                    <w:r>
                      <w:rPr>
                        <w:b/>
                        <w:sz w:val="36"/>
                      </w:rPr>
                      <w:t>Debt Ratio</w:t>
                    </w:r>
                  </w:p>
                </w:txbxContent>
              </v:textbox>
              <w10:wrap type="none"/>
            </v:shape>
            <w10:wrap type="topAndBottom"/>
          </v:group>
        </w:pict>
      </w:r>
    </w:p>
    <w:p>
      <w:pPr>
        <w:pStyle w:val="BodyText"/>
        <w:spacing w:before="1"/>
        <w:rPr>
          <w:b/>
          <w:sz w:val="35"/>
        </w:rPr>
      </w:pPr>
    </w:p>
    <w:p>
      <w:pPr>
        <w:pStyle w:val="BodyText"/>
        <w:spacing w:line="360" w:lineRule="auto"/>
        <w:ind w:left="340"/>
      </w:pPr>
      <w:r>
        <w:rPr>
          <w:b/>
        </w:rPr>
        <w:t>Interpretation</w:t>
      </w:r>
      <w:r>
        <w:rPr/>
        <w:t>:</w:t>
      </w:r>
      <w:r>
        <w:rPr>
          <w:spacing w:val="-12"/>
        </w:rPr>
        <w:t> </w:t>
      </w:r>
      <w:r>
        <w:rPr/>
        <w:t>Debt</w:t>
      </w:r>
      <w:r>
        <w:rPr>
          <w:spacing w:val="-11"/>
        </w:rPr>
        <w:t> </w:t>
      </w:r>
      <w:r>
        <w:rPr/>
        <w:t>ratio</w:t>
      </w:r>
      <w:r>
        <w:rPr>
          <w:spacing w:val="-12"/>
        </w:rPr>
        <w:t> </w:t>
      </w:r>
      <w:r>
        <w:rPr/>
        <w:t>of</w:t>
      </w:r>
      <w:r>
        <w:rPr>
          <w:spacing w:val="-19"/>
        </w:rPr>
        <w:t> </w:t>
      </w:r>
      <w:r>
        <w:rPr/>
        <w:t>Jamuna</w:t>
      </w:r>
      <w:r>
        <w:rPr>
          <w:spacing w:val="-13"/>
        </w:rPr>
        <w:t> </w:t>
      </w:r>
      <w:r>
        <w:rPr/>
        <w:t>Bank</w:t>
      </w:r>
      <w:r>
        <w:rPr>
          <w:spacing w:val="-12"/>
        </w:rPr>
        <w:t> </w:t>
      </w:r>
      <w:r>
        <w:rPr/>
        <w:t>Limited</w:t>
      </w:r>
      <w:r>
        <w:rPr>
          <w:spacing w:val="-12"/>
        </w:rPr>
        <w:t> </w:t>
      </w:r>
      <w:r>
        <w:rPr/>
        <w:t>decreased</w:t>
      </w:r>
      <w:r>
        <w:rPr>
          <w:spacing w:val="-13"/>
        </w:rPr>
        <w:t> </w:t>
      </w:r>
      <w:r>
        <w:rPr/>
        <w:t>year</w:t>
      </w:r>
      <w:r>
        <w:rPr>
          <w:spacing w:val="-10"/>
        </w:rPr>
        <w:t> </w:t>
      </w:r>
      <w:r>
        <w:rPr/>
        <w:t>by</w:t>
      </w:r>
      <w:r>
        <w:rPr>
          <w:spacing w:val="-16"/>
        </w:rPr>
        <w:t> </w:t>
      </w:r>
      <w:r>
        <w:rPr/>
        <w:t>year</w:t>
      </w:r>
      <w:r>
        <w:rPr>
          <w:spacing w:val="-10"/>
        </w:rPr>
        <w:t> </w:t>
      </w:r>
      <w:r>
        <w:rPr/>
        <w:t>which</w:t>
      </w:r>
      <w:r>
        <w:rPr>
          <w:spacing w:val="-16"/>
        </w:rPr>
        <w:t> </w:t>
      </w:r>
      <w:r>
        <w:rPr/>
        <w:t>shows</w:t>
      </w:r>
      <w:r>
        <w:rPr>
          <w:spacing w:val="-18"/>
        </w:rPr>
        <w:t> </w:t>
      </w:r>
      <w:r>
        <w:rPr/>
        <w:t>the</w:t>
      </w:r>
      <w:r>
        <w:rPr>
          <w:spacing w:val="-13"/>
        </w:rPr>
        <w:t> </w:t>
      </w:r>
      <w:r>
        <w:rPr/>
        <w:t>better management.</w:t>
      </w:r>
      <w:r>
        <w:rPr>
          <w:spacing w:val="-3"/>
        </w:rPr>
        <w:t> </w:t>
      </w:r>
      <w:r>
        <w:rPr/>
        <w:t>Debt ratio</w:t>
      </w:r>
      <w:r>
        <w:rPr>
          <w:spacing w:val="-5"/>
        </w:rPr>
        <w:t> </w:t>
      </w:r>
      <w:r>
        <w:rPr/>
        <w:t>of</w:t>
      </w:r>
      <w:r>
        <w:rPr>
          <w:spacing w:val="-13"/>
        </w:rPr>
        <w:t> </w:t>
      </w:r>
      <w:r>
        <w:rPr/>
        <w:t>Jamuna</w:t>
      </w:r>
      <w:r>
        <w:rPr>
          <w:spacing w:val="-1"/>
        </w:rPr>
        <w:t> </w:t>
      </w:r>
      <w:r>
        <w:rPr/>
        <w:t>Bank</w:t>
      </w:r>
      <w:r>
        <w:rPr>
          <w:spacing w:val="-4"/>
        </w:rPr>
        <w:t> </w:t>
      </w:r>
      <w:r>
        <w:rPr/>
        <w:t>Limited </w:t>
      </w:r>
      <w:r>
        <w:rPr>
          <w:spacing w:val="-3"/>
        </w:rPr>
        <w:t>in</w:t>
      </w:r>
      <w:r>
        <w:rPr>
          <w:spacing w:val="-10"/>
        </w:rPr>
        <w:t> </w:t>
      </w:r>
      <w:r>
        <w:rPr/>
        <w:t>the</w:t>
      </w:r>
      <w:r>
        <w:rPr>
          <w:spacing w:val="-1"/>
        </w:rPr>
        <w:t> </w:t>
      </w:r>
      <w:r>
        <w:rPr>
          <w:spacing w:val="-3"/>
        </w:rPr>
        <w:t>year </w:t>
      </w:r>
      <w:r>
        <w:rPr/>
        <w:t>2019 </w:t>
      </w:r>
      <w:r>
        <w:rPr>
          <w:spacing w:val="-5"/>
        </w:rPr>
        <w:t>is</w:t>
      </w:r>
      <w:r>
        <w:rPr>
          <w:spacing w:val="-7"/>
        </w:rPr>
        <w:t> </w:t>
      </w:r>
      <w:r>
        <w:rPr/>
        <w:t>0.927:1</w:t>
      </w:r>
      <w:r>
        <w:rPr>
          <w:spacing w:val="-3"/>
        </w:rPr>
        <w:t> </w:t>
      </w:r>
      <w:r>
        <w:rPr/>
        <w:t>and </w:t>
      </w:r>
      <w:r>
        <w:rPr>
          <w:spacing w:val="-3"/>
        </w:rPr>
        <w:t>in</w:t>
      </w:r>
      <w:r>
        <w:rPr>
          <w:spacing w:val="-10"/>
        </w:rPr>
        <w:t> </w:t>
      </w:r>
      <w:r>
        <w:rPr/>
        <w:t>2018 </w:t>
      </w:r>
      <w:r>
        <w:rPr>
          <w:spacing w:val="-5"/>
        </w:rPr>
        <w:t>is</w:t>
      </w:r>
      <w:r>
        <w:rPr>
          <w:spacing w:val="-7"/>
        </w:rPr>
        <w:t> </w:t>
      </w:r>
      <w:r>
        <w:rPr/>
        <w:t>0.931.</w:t>
      </w:r>
    </w:p>
    <w:p>
      <w:pPr>
        <w:pStyle w:val="BodyText"/>
        <w:spacing w:before="6"/>
        <w:rPr>
          <w:sz w:val="36"/>
        </w:rPr>
      </w:pPr>
    </w:p>
    <w:p>
      <w:pPr>
        <w:pStyle w:val="Heading3"/>
      </w:pPr>
      <w:r>
        <w:rPr/>
        <w:t>Loan Deposit Ratio</w:t>
      </w:r>
    </w:p>
    <w:p>
      <w:pPr>
        <w:pStyle w:val="BodyText"/>
        <w:spacing w:before="2"/>
        <w:rPr>
          <w:b/>
          <w:sz w:val="12"/>
        </w:rPr>
      </w:pPr>
    </w:p>
    <w:tbl>
      <w:tblPr>
        <w:tblW w:w="0" w:type="auto"/>
        <w:jc w:val="left"/>
        <w:tblInd w:w="2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3376"/>
      </w:tblGrid>
      <w:tr>
        <w:trPr>
          <w:trHeight w:val="494" w:hRule="atLeast"/>
        </w:trPr>
        <w:tc>
          <w:tcPr>
            <w:tcW w:w="2886" w:type="dxa"/>
          </w:tcPr>
          <w:p>
            <w:pPr>
              <w:pStyle w:val="TableParagraph"/>
              <w:spacing w:line="240" w:lineRule="auto" w:before="1"/>
              <w:ind w:left="1112" w:right="1099"/>
              <w:jc w:val="center"/>
              <w:rPr>
                <w:b/>
                <w:sz w:val="22"/>
              </w:rPr>
            </w:pPr>
            <w:r>
              <w:rPr>
                <w:b/>
                <w:sz w:val="22"/>
              </w:rPr>
              <w:t>YEAR</w:t>
            </w:r>
          </w:p>
        </w:tc>
        <w:tc>
          <w:tcPr>
            <w:tcW w:w="3376" w:type="dxa"/>
          </w:tcPr>
          <w:p>
            <w:pPr>
              <w:pStyle w:val="TableParagraph"/>
              <w:spacing w:line="240" w:lineRule="auto" w:before="1"/>
              <w:ind w:left="1100" w:right="1082"/>
              <w:jc w:val="center"/>
              <w:rPr>
                <w:b/>
                <w:sz w:val="22"/>
              </w:rPr>
            </w:pPr>
            <w:r>
              <w:rPr>
                <w:b/>
                <w:sz w:val="22"/>
              </w:rPr>
              <w:t>RATIO (%)</w:t>
            </w:r>
          </w:p>
        </w:tc>
      </w:tr>
      <w:tr>
        <w:trPr>
          <w:trHeight w:val="489" w:hRule="atLeast"/>
        </w:trPr>
        <w:tc>
          <w:tcPr>
            <w:tcW w:w="2886" w:type="dxa"/>
          </w:tcPr>
          <w:p>
            <w:pPr>
              <w:pStyle w:val="TableParagraph"/>
              <w:spacing w:line="249" w:lineRule="exact"/>
              <w:ind w:left="1112" w:right="1099"/>
              <w:jc w:val="center"/>
              <w:rPr>
                <w:b/>
                <w:sz w:val="22"/>
              </w:rPr>
            </w:pPr>
            <w:r>
              <w:rPr>
                <w:b/>
                <w:sz w:val="22"/>
              </w:rPr>
              <w:t>2019</w:t>
            </w:r>
          </w:p>
        </w:tc>
        <w:tc>
          <w:tcPr>
            <w:tcW w:w="3376" w:type="dxa"/>
          </w:tcPr>
          <w:p>
            <w:pPr>
              <w:pStyle w:val="TableParagraph"/>
              <w:spacing w:line="249" w:lineRule="exact"/>
              <w:ind w:left="1100" w:right="1078"/>
              <w:jc w:val="center"/>
              <w:rPr>
                <w:b/>
                <w:sz w:val="22"/>
              </w:rPr>
            </w:pPr>
            <w:r>
              <w:rPr>
                <w:b/>
                <w:sz w:val="22"/>
              </w:rPr>
              <w:t>79.10</w:t>
            </w:r>
          </w:p>
        </w:tc>
      </w:tr>
      <w:tr>
        <w:trPr>
          <w:trHeight w:val="489" w:hRule="atLeast"/>
        </w:trPr>
        <w:tc>
          <w:tcPr>
            <w:tcW w:w="2886" w:type="dxa"/>
          </w:tcPr>
          <w:p>
            <w:pPr>
              <w:pStyle w:val="TableParagraph"/>
              <w:spacing w:line="249" w:lineRule="exact"/>
              <w:ind w:left="1112" w:right="1099"/>
              <w:jc w:val="center"/>
              <w:rPr>
                <w:b/>
                <w:sz w:val="22"/>
              </w:rPr>
            </w:pPr>
            <w:r>
              <w:rPr>
                <w:b/>
                <w:sz w:val="22"/>
              </w:rPr>
              <w:t>2018</w:t>
            </w:r>
          </w:p>
        </w:tc>
        <w:tc>
          <w:tcPr>
            <w:tcW w:w="3376" w:type="dxa"/>
          </w:tcPr>
          <w:p>
            <w:pPr>
              <w:pStyle w:val="TableParagraph"/>
              <w:spacing w:line="249" w:lineRule="exact"/>
              <w:ind w:left="1100" w:right="1078"/>
              <w:jc w:val="center"/>
              <w:rPr>
                <w:b/>
                <w:sz w:val="22"/>
              </w:rPr>
            </w:pPr>
            <w:r>
              <w:rPr>
                <w:b/>
                <w:sz w:val="22"/>
              </w:rPr>
              <w:t>81.28</w:t>
            </w:r>
          </w:p>
        </w:tc>
      </w:tr>
      <w:tr>
        <w:trPr>
          <w:trHeight w:val="489" w:hRule="atLeast"/>
        </w:trPr>
        <w:tc>
          <w:tcPr>
            <w:tcW w:w="2886" w:type="dxa"/>
          </w:tcPr>
          <w:p>
            <w:pPr>
              <w:pStyle w:val="TableParagraph"/>
              <w:spacing w:line="249" w:lineRule="exact"/>
              <w:ind w:left="1112" w:right="1099"/>
              <w:jc w:val="center"/>
              <w:rPr>
                <w:b/>
                <w:sz w:val="22"/>
              </w:rPr>
            </w:pPr>
            <w:r>
              <w:rPr>
                <w:b/>
                <w:sz w:val="22"/>
              </w:rPr>
              <w:t>2017</w:t>
            </w:r>
          </w:p>
        </w:tc>
        <w:tc>
          <w:tcPr>
            <w:tcW w:w="3376" w:type="dxa"/>
          </w:tcPr>
          <w:p>
            <w:pPr>
              <w:pStyle w:val="TableParagraph"/>
              <w:spacing w:line="249" w:lineRule="exact"/>
              <w:ind w:left="1100" w:right="1078"/>
              <w:jc w:val="center"/>
              <w:rPr>
                <w:b/>
                <w:sz w:val="22"/>
              </w:rPr>
            </w:pPr>
            <w:r>
              <w:rPr>
                <w:b/>
                <w:sz w:val="22"/>
              </w:rPr>
              <w:t>71.41</w:t>
            </w:r>
          </w:p>
        </w:tc>
      </w:tr>
      <w:tr>
        <w:trPr>
          <w:trHeight w:val="493" w:hRule="atLeast"/>
        </w:trPr>
        <w:tc>
          <w:tcPr>
            <w:tcW w:w="2886" w:type="dxa"/>
          </w:tcPr>
          <w:p>
            <w:pPr>
              <w:pStyle w:val="TableParagraph"/>
              <w:spacing w:line="240" w:lineRule="auto" w:before="1"/>
              <w:ind w:left="1112" w:right="1099"/>
              <w:jc w:val="center"/>
              <w:rPr>
                <w:b/>
                <w:sz w:val="22"/>
              </w:rPr>
            </w:pPr>
            <w:r>
              <w:rPr>
                <w:b/>
                <w:sz w:val="22"/>
              </w:rPr>
              <w:t>2016</w:t>
            </w:r>
          </w:p>
        </w:tc>
        <w:tc>
          <w:tcPr>
            <w:tcW w:w="3376" w:type="dxa"/>
          </w:tcPr>
          <w:p>
            <w:pPr>
              <w:pStyle w:val="TableParagraph"/>
              <w:spacing w:line="240" w:lineRule="auto" w:before="1"/>
              <w:ind w:left="1100" w:right="1078"/>
              <w:jc w:val="center"/>
              <w:rPr>
                <w:b/>
                <w:sz w:val="22"/>
              </w:rPr>
            </w:pPr>
            <w:r>
              <w:rPr>
                <w:b/>
                <w:sz w:val="22"/>
              </w:rPr>
              <w:t>80.85</w:t>
            </w:r>
          </w:p>
        </w:tc>
      </w:tr>
      <w:tr>
        <w:trPr>
          <w:trHeight w:val="489" w:hRule="atLeast"/>
        </w:trPr>
        <w:tc>
          <w:tcPr>
            <w:tcW w:w="2886" w:type="dxa"/>
          </w:tcPr>
          <w:p>
            <w:pPr>
              <w:pStyle w:val="TableParagraph"/>
              <w:spacing w:line="249" w:lineRule="exact"/>
              <w:ind w:left="1112" w:right="1099"/>
              <w:jc w:val="center"/>
              <w:rPr>
                <w:b/>
                <w:sz w:val="22"/>
              </w:rPr>
            </w:pPr>
            <w:r>
              <w:rPr>
                <w:b/>
                <w:sz w:val="22"/>
              </w:rPr>
              <w:t>2015</w:t>
            </w:r>
          </w:p>
        </w:tc>
        <w:tc>
          <w:tcPr>
            <w:tcW w:w="3376" w:type="dxa"/>
          </w:tcPr>
          <w:p>
            <w:pPr>
              <w:pStyle w:val="TableParagraph"/>
              <w:spacing w:line="249" w:lineRule="exact"/>
              <w:ind w:left="1100" w:right="1078"/>
              <w:jc w:val="center"/>
              <w:rPr>
                <w:b/>
                <w:sz w:val="22"/>
              </w:rPr>
            </w:pPr>
            <w:r>
              <w:rPr>
                <w:b/>
                <w:sz w:val="22"/>
              </w:rPr>
              <w:t>69.82</w:t>
            </w:r>
          </w:p>
        </w:tc>
      </w:tr>
    </w:tbl>
    <w:p>
      <w:pPr>
        <w:spacing w:after="0" w:line="249" w:lineRule="exact"/>
        <w:jc w:val="center"/>
        <w:rPr>
          <w:sz w:val="22"/>
        </w:rPr>
        <w:sectPr>
          <w:pgSz w:w="12240" w:h="15840"/>
          <w:pgMar w:header="0" w:footer="1039" w:top="1360" w:bottom="1220" w:left="1100" w:right="1300"/>
        </w:sectPr>
      </w:pPr>
    </w:p>
    <w:p>
      <w:pPr>
        <w:pStyle w:val="BodyText"/>
        <w:ind w:left="1275"/>
        <w:rPr>
          <w:sz w:val="20"/>
        </w:rPr>
      </w:pPr>
      <w:r>
        <w:rPr>
          <w:sz w:val="20"/>
        </w:rPr>
        <w:pict>
          <v:group style="width:328.75pt;height:176.5pt;mso-position-horizontal-relative:char;mso-position-vertical-relative:line" coordorigin="0,0" coordsize="6575,3530">
            <v:shape style="position:absolute;left:1877;top:168;width:2842;height:380" type="#_x0000_t75" stroked="false">
              <v:imagedata r:id="rId58" o:title=""/>
            </v:shape>
            <v:shape style="position:absolute;left:10;top:10;width:6555;height:3510" type="#_x0000_t202" filled="false" stroked="true" strokeweight="1pt" strokecolor="#858585">
              <v:textbox inset="0,0,0,0">
                <w:txbxContent>
                  <w:p>
                    <w:pPr>
                      <w:spacing w:before="137"/>
                      <w:ind w:left="1859" w:right="0" w:firstLine="0"/>
                      <w:jc w:val="left"/>
                      <w:rPr>
                        <w:rFonts w:ascii="Calibri"/>
                        <w:b/>
                        <w:sz w:val="36"/>
                      </w:rPr>
                    </w:pPr>
                    <w:r>
                      <w:rPr>
                        <w:rFonts w:ascii="Calibri"/>
                        <w:b/>
                        <w:sz w:val="36"/>
                      </w:rPr>
                      <w:t>Loan </w:t>
                    </w:r>
                    <w:r>
                      <w:rPr>
                        <w:b/>
                        <w:sz w:val="36"/>
                      </w:rPr>
                      <w:t>Deposit </w:t>
                    </w:r>
                    <w:r>
                      <w:rPr>
                        <w:rFonts w:ascii="Calibri"/>
                        <w:b/>
                        <w:sz w:val="36"/>
                      </w:rPr>
                      <w:t>Ratio</w:t>
                    </w:r>
                  </w:p>
                  <w:p>
                    <w:pPr>
                      <w:spacing w:before="77"/>
                      <w:ind w:left="207" w:right="0" w:firstLine="0"/>
                      <w:jc w:val="left"/>
                      <w:rPr>
                        <w:sz w:val="20"/>
                      </w:rPr>
                    </w:pPr>
                    <w:r>
                      <w:rPr>
                        <w:sz w:val="20"/>
                      </w:rPr>
                      <w:t>85</w:t>
                    </w:r>
                  </w:p>
                  <w:p>
                    <w:pPr>
                      <w:spacing w:line="240" w:lineRule="auto" w:before="1"/>
                      <w:rPr>
                        <w:b/>
                        <w:sz w:val="20"/>
                      </w:rPr>
                    </w:pPr>
                  </w:p>
                  <w:p>
                    <w:pPr>
                      <w:spacing w:before="0"/>
                      <w:ind w:left="207" w:right="0" w:firstLine="0"/>
                      <w:jc w:val="left"/>
                      <w:rPr>
                        <w:sz w:val="20"/>
                      </w:rPr>
                    </w:pPr>
                    <w:r>
                      <w:rPr>
                        <w:sz w:val="20"/>
                      </w:rPr>
                      <w:t>80</w:t>
                    </w:r>
                  </w:p>
                  <w:p>
                    <w:pPr>
                      <w:spacing w:line="240" w:lineRule="auto" w:before="5"/>
                      <w:rPr>
                        <w:b/>
                        <w:sz w:val="20"/>
                      </w:rPr>
                    </w:pPr>
                  </w:p>
                  <w:p>
                    <w:pPr>
                      <w:spacing w:before="1"/>
                      <w:ind w:left="207" w:right="0" w:firstLine="0"/>
                      <w:jc w:val="left"/>
                      <w:rPr>
                        <w:sz w:val="20"/>
                      </w:rPr>
                    </w:pPr>
                    <w:r>
                      <w:rPr>
                        <w:sz w:val="20"/>
                      </w:rPr>
                      <w:t>75</w:t>
                    </w:r>
                  </w:p>
                  <w:p>
                    <w:pPr>
                      <w:spacing w:before="115"/>
                      <w:ind w:left="0" w:right="186" w:firstLine="0"/>
                      <w:jc w:val="right"/>
                      <w:rPr>
                        <w:sz w:val="20"/>
                      </w:rPr>
                    </w:pPr>
                    <w:r>
                      <w:rPr>
                        <w:sz w:val="20"/>
                      </w:rPr>
                      <w:t>Loan Deposit Ratio</w:t>
                    </w:r>
                  </w:p>
                  <w:p>
                    <w:pPr>
                      <w:spacing w:line="240" w:lineRule="auto" w:before="0"/>
                      <w:rPr>
                        <w:b/>
                        <w:sz w:val="18"/>
                      </w:rPr>
                    </w:pPr>
                  </w:p>
                  <w:p>
                    <w:pPr>
                      <w:spacing w:before="0"/>
                      <w:ind w:left="207" w:right="0" w:firstLine="0"/>
                      <w:jc w:val="left"/>
                      <w:rPr>
                        <w:sz w:val="20"/>
                      </w:rPr>
                    </w:pPr>
                    <w:r>
                      <w:rPr>
                        <w:sz w:val="20"/>
                      </w:rPr>
                      <w:t>65</w:t>
                    </w:r>
                  </w:p>
                  <w:p>
                    <w:pPr>
                      <w:spacing w:line="240" w:lineRule="auto" w:before="1"/>
                      <w:rPr>
                        <w:b/>
                        <w:sz w:val="20"/>
                      </w:rPr>
                    </w:pPr>
                  </w:p>
                  <w:p>
                    <w:pPr>
                      <w:spacing w:before="0"/>
                      <w:ind w:left="207" w:right="0" w:firstLine="0"/>
                      <w:jc w:val="left"/>
                      <w:rPr>
                        <w:sz w:val="20"/>
                      </w:rPr>
                    </w:pPr>
                    <w:r>
                      <w:rPr>
                        <w:sz w:val="20"/>
                      </w:rPr>
                      <w:t>60</w:t>
                    </w:r>
                  </w:p>
                  <w:p>
                    <w:pPr>
                      <w:tabs>
                        <w:tab w:pos="1556" w:val="left" w:leader="none"/>
                        <w:tab w:pos="2306" w:val="left" w:leader="none"/>
                        <w:tab w:pos="3050" w:val="left" w:leader="none"/>
                        <w:tab w:pos="3794" w:val="left" w:leader="none"/>
                      </w:tabs>
                      <w:spacing w:before="31"/>
                      <w:ind w:left="812" w:right="0" w:firstLine="0"/>
                      <w:jc w:val="left"/>
                      <w:rPr>
                        <w:rFonts w:ascii="Calibri"/>
                        <w:sz w:val="20"/>
                      </w:rPr>
                    </w:pPr>
                    <w:r>
                      <w:rPr>
                        <w:rFonts w:ascii="Calibri"/>
                        <w:sz w:val="20"/>
                      </w:rPr>
                      <w:t>2019</w:t>
                      <w:tab/>
                      <w:t>2018</w:t>
                      <w:tab/>
                      <w:t>2017</w:t>
                      <w:tab/>
                      <w:t>2016</w:t>
                      <w:tab/>
                      <w:t>2015</w:t>
                    </w:r>
                  </w:p>
                </w:txbxContent>
              </v:textbox>
              <v:stroke dashstyle="solid"/>
              <w10:wrap type="none"/>
            </v:shape>
          </v:group>
        </w:pict>
      </w:r>
      <w:r>
        <w:rPr>
          <w:sz w:val="20"/>
        </w:rPr>
      </w:r>
    </w:p>
    <w:p>
      <w:pPr>
        <w:pStyle w:val="BodyText"/>
        <w:rPr>
          <w:b/>
          <w:sz w:val="20"/>
        </w:rPr>
      </w:pPr>
    </w:p>
    <w:p>
      <w:pPr>
        <w:pStyle w:val="BodyText"/>
        <w:spacing w:line="360" w:lineRule="auto" w:before="208"/>
        <w:ind w:left="340" w:right="137"/>
        <w:jc w:val="both"/>
      </w:pPr>
      <w:r>
        <w:rPr/>
        <w:pict>
          <v:group style="position:absolute;margin-left:146.25pt;margin-top:-148.696884pt;width:189.9pt;height:110.2pt;mso-position-horizontal-relative:page;mso-position-vertical-relative:paragraph;z-index:-256057344" coordorigin="2925,-2974" coordsize="3798,2204">
            <v:shape style="position:absolute;left:2985;top:-2111;width:970;height:855" coordorigin="2985,-2111" coordsize="970,855" path="m2985,-1256l3208,-1256m3507,-1256l3955,-1256m2985,-1683l3208,-1683m3507,-1683l3955,-1683m2985,-2111l3208,-2111m3507,-2111l3955,-2111e" filled="false" stroked="true" strokeweight=".72pt" strokecolor="#858585">
              <v:path arrowok="t"/>
              <v:stroke dashstyle="solid"/>
            </v:shape>
            <v:rect style="position:absolute;left:3208;top:-2463;width:299;height:1635" filled="true" fillcolor="#4f81bb" stroked="false">
              <v:fill type="solid"/>
            </v:rect>
            <v:shape style="position:absolute;left:2985;top:-2539;width:2461;height:1283" coordorigin="2985,-2538" coordsize="2461,1283" path="m2985,-2538l3955,-2538m4253,-1256l4701,-1256m4253,-1683l4701,-1683m4253,-2111l5446,-2111m4253,-2538l5446,-2538e" filled="false" stroked="true" strokeweight=".72pt" strokecolor="#858585">
              <v:path arrowok="t"/>
              <v:stroke dashstyle="solid"/>
            </v:shape>
            <v:rect style="position:absolute;left:3954;top:-2648;width:299;height:1821" filled="true" fillcolor="#4f81bb" stroked="false">
              <v:fill type="solid"/>
            </v:rect>
            <v:shape style="position:absolute;left:4998;top:-1685;width:447;height:428" coordorigin="4998,-1684" coordsize="447,428" path="m4998,-1257l5445,-1257m4998,-1684l5445,-1684e" filled="false" stroked="true" strokeweight=".72pt" strokecolor="#858585">
              <v:path arrowok="t"/>
              <v:stroke dashstyle="solid"/>
            </v:shape>
            <v:rect style="position:absolute;left:4701;top:-1805;width:298;height:977" filled="true" fillcolor="#4f81bb" stroked="false">
              <v:fill type="solid"/>
            </v:rect>
            <v:shape style="position:absolute;left:5745;top:-2539;width:970;height:1283" coordorigin="5745,-2538" coordsize="970,1283" path="m5745,-1256l6193,-1256m5745,-1683l6715,-1683m5745,-2111l6715,-2111m5745,-2538l6715,-2538e" filled="false" stroked="true" strokeweight=".72pt" strokecolor="#858585">
              <v:path arrowok="t"/>
              <v:stroke dashstyle="solid"/>
            </v:shape>
            <v:rect style="position:absolute;left:5446;top:-2612;width:299;height:1784" filled="true" fillcolor="#4f81bb" stroked="false">
              <v:fill type="solid"/>
            </v:rect>
            <v:line style="position:absolute" from="6491,-1256" to="6715,-1256" stroked="true" strokeweight=".72pt" strokecolor="#858585">
              <v:stroke dashstyle="solid"/>
            </v:line>
            <v:rect style="position:absolute;left:6192;top:-1669;width:299;height:841" filled="true" fillcolor="#4f81bb" stroked="false">
              <v:fill type="solid"/>
            </v:rect>
            <v:shape style="position:absolute;left:2925;top:-2967;width:3790;height:2197" coordorigin="2925,-2967" coordsize="3790,2197" path="m2985,-2967l6715,-2967m2985,-829l2985,-2967m2925,-829l2985,-829m2925,-1257l2985,-1257m2925,-1684l2985,-1684m2925,-2112l2985,-2112m2925,-2539l2985,-2539m2925,-2967l2985,-2967m2985,-829l6715,-829m2985,-829l2985,-770m3731,-829l3731,-770m4477,-829l4477,-770m5223,-829l5223,-770m5968,-829l5968,-770m6715,-829l6715,-770e" filled="false" stroked="true" strokeweight=".72pt" strokecolor="#858585">
              <v:path arrowok="t"/>
              <v:stroke dashstyle="solid"/>
            </v:shape>
            <w10:wrap type="none"/>
          </v:group>
        </w:pict>
      </w:r>
      <w:r>
        <w:rPr/>
        <w:pict>
          <v:group style="position:absolute;margin-left:351.450012pt;margin-top:-89.826881pt;width:86.35pt;height:10.1pt;mso-position-horizontal-relative:page;mso-position-vertical-relative:paragraph;z-index:-256056320" coordorigin="7029,-1797" coordsize="1727,202">
            <v:rect style="position:absolute;left:7029;top:-1747;width:100;height:93" filled="true" fillcolor="#4f81bb" stroked="false">
              <v:fill type="solid"/>
            </v:rect>
            <v:shape style="position:absolute;left:7171;top:-1797;width:1584;height:202" type="#_x0000_t75" stroked="false">
              <v:imagedata r:id="rId59" o:title=""/>
            </v:shape>
            <w10:wrap type="none"/>
          </v:group>
        </w:pict>
      </w:r>
      <w:r>
        <w:rPr/>
        <w:drawing>
          <wp:anchor distT="0" distB="0" distL="0" distR="0" allowOverlap="1" layoutInCell="1" locked="0" behindDoc="1" simplePos="0" relativeHeight="247261184">
            <wp:simplePos x="0" y="0"/>
            <wp:positionH relativeFrom="page">
              <wp:posOffset>1655064</wp:posOffset>
            </wp:positionH>
            <wp:positionV relativeFrom="paragraph">
              <wp:posOffset>-1948521</wp:posOffset>
            </wp:positionV>
            <wp:extent cx="139755" cy="941831"/>
            <wp:effectExtent l="0" t="0" r="0" b="0"/>
            <wp:wrapNone/>
            <wp:docPr id="17" name="image49.png"/>
            <wp:cNvGraphicFramePr>
              <a:graphicFrameLocks noChangeAspect="1"/>
            </wp:cNvGraphicFramePr>
            <a:graphic>
              <a:graphicData uri="http://schemas.openxmlformats.org/drawingml/2006/picture">
                <pic:pic>
                  <pic:nvPicPr>
                    <pic:cNvPr id="18" name="image49.png"/>
                    <pic:cNvPicPr/>
                  </pic:nvPicPr>
                  <pic:blipFill>
                    <a:blip r:embed="rId60" cstate="print"/>
                    <a:stretch>
                      <a:fillRect/>
                    </a:stretch>
                  </pic:blipFill>
                  <pic:spPr>
                    <a:xfrm>
                      <a:off x="0" y="0"/>
                      <a:ext cx="139755" cy="941831"/>
                    </a:xfrm>
                    <a:prstGeom prst="rect">
                      <a:avLst/>
                    </a:prstGeom>
                  </pic:spPr>
                </pic:pic>
              </a:graphicData>
            </a:graphic>
          </wp:anchor>
        </w:drawing>
      </w:r>
      <w:r>
        <w:rPr/>
        <w:drawing>
          <wp:anchor distT="0" distB="0" distL="0" distR="0" allowOverlap="1" layoutInCell="1" locked="0" behindDoc="1" simplePos="0" relativeHeight="247262208">
            <wp:simplePos x="0" y="0"/>
            <wp:positionH relativeFrom="page">
              <wp:posOffset>1655064</wp:posOffset>
            </wp:positionH>
            <wp:positionV relativeFrom="paragraph">
              <wp:posOffset>-863433</wp:posOffset>
            </wp:positionV>
            <wp:extent cx="141502" cy="406050"/>
            <wp:effectExtent l="0" t="0" r="0" b="0"/>
            <wp:wrapNone/>
            <wp:docPr id="19" name="image50.png"/>
            <wp:cNvGraphicFramePr>
              <a:graphicFrameLocks noChangeAspect="1"/>
            </wp:cNvGraphicFramePr>
            <a:graphic>
              <a:graphicData uri="http://schemas.openxmlformats.org/drawingml/2006/picture">
                <pic:pic>
                  <pic:nvPicPr>
                    <pic:cNvPr id="20" name="image50.png"/>
                    <pic:cNvPicPr/>
                  </pic:nvPicPr>
                  <pic:blipFill>
                    <a:blip r:embed="rId61" cstate="print"/>
                    <a:stretch>
                      <a:fillRect/>
                    </a:stretch>
                  </pic:blipFill>
                  <pic:spPr>
                    <a:xfrm>
                      <a:off x="0" y="0"/>
                      <a:ext cx="141502" cy="406050"/>
                    </a:xfrm>
                    <a:prstGeom prst="rect">
                      <a:avLst/>
                    </a:prstGeom>
                  </pic:spPr>
                </pic:pic>
              </a:graphicData>
            </a:graphic>
          </wp:anchor>
        </w:drawing>
      </w:r>
      <w:r>
        <w:rPr/>
        <w:drawing>
          <wp:anchor distT="0" distB="0" distL="0" distR="0" allowOverlap="1" layoutInCell="1" locked="0" behindDoc="1" simplePos="0" relativeHeight="247263232">
            <wp:simplePos x="0" y="0"/>
            <wp:positionH relativeFrom="page">
              <wp:posOffset>2036064</wp:posOffset>
            </wp:positionH>
            <wp:positionV relativeFrom="paragraph">
              <wp:posOffset>-394041</wp:posOffset>
            </wp:positionV>
            <wp:extent cx="2167127" cy="118872"/>
            <wp:effectExtent l="0" t="0" r="0" b="0"/>
            <wp:wrapNone/>
            <wp:docPr id="21" name="image51.png"/>
            <wp:cNvGraphicFramePr>
              <a:graphicFrameLocks noChangeAspect="1"/>
            </wp:cNvGraphicFramePr>
            <a:graphic>
              <a:graphicData uri="http://schemas.openxmlformats.org/drawingml/2006/picture">
                <pic:pic>
                  <pic:nvPicPr>
                    <pic:cNvPr id="22" name="image51.png"/>
                    <pic:cNvPicPr/>
                  </pic:nvPicPr>
                  <pic:blipFill>
                    <a:blip r:embed="rId62" cstate="print"/>
                    <a:stretch>
                      <a:fillRect/>
                    </a:stretch>
                  </pic:blipFill>
                  <pic:spPr>
                    <a:xfrm>
                      <a:off x="0" y="0"/>
                      <a:ext cx="2167127" cy="118872"/>
                    </a:xfrm>
                    <a:prstGeom prst="rect">
                      <a:avLst/>
                    </a:prstGeom>
                  </pic:spPr>
                </pic:pic>
              </a:graphicData>
            </a:graphic>
          </wp:anchor>
        </w:drawing>
      </w:r>
      <w:r>
        <w:rPr>
          <w:b/>
        </w:rPr>
        <w:t>Interpretation</w:t>
      </w:r>
      <w:r>
        <w:rPr/>
        <w:t>:</w:t>
      </w:r>
      <w:r>
        <w:rPr>
          <w:spacing w:val="-3"/>
        </w:rPr>
        <w:t> </w:t>
      </w:r>
      <w:r>
        <w:rPr/>
        <w:t>The</w:t>
      </w:r>
      <w:r>
        <w:rPr>
          <w:spacing w:val="-4"/>
        </w:rPr>
        <w:t> </w:t>
      </w:r>
      <w:r>
        <w:rPr/>
        <w:t>standard</w:t>
      </w:r>
      <w:r>
        <w:rPr>
          <w:spacing w:val="-7"/>
        </w:rPr>
        <w:t> </w:t>
      </w:r>
      <w:r>
        <w:rPr/>
        <w:t>of</w:t>
      </w:r>
      <w:r>
        <w:rPr>
          <w:spacing w:val="-5"/>
        </w:rPr>
        <w:t> </w:t>
      </w:r>
      <w:r>
        <w:rPr/>
        <w:t>loan</w:t>
      </w:r>
      <w:r>
        <w:rPr>
          <w:spacing w:val="-8"/>
        </w:rPr>
        <w:t> </w:t>
      </w:r>
      <w:r>
        <w:rPr/>
        <w:t>deposit</w:t>
      </w:r>
      <w:r>
        <w:rPr>
          <w:spacing w:val="2"/>
        </w:rPr>
        <w:t> </w:t>
      </w:r>
      <w:r>
        <w:rPr/>
        <w:t>ratio</w:t>
      </w:r>
      <w:r>
        <w:rPr>
          <w:spacing w:val="-2"/>
        </w:rPr>
        <w:t> </w:t>
      </w:r>
      <w:r>
        <w:rPr>
          <w:spacing w:val="-3"/>
        </w:rPr>
        <w:t>is</w:t>
      </w:r>
      <w:r>
        <w:rPr>
          <w:spacing w:val="-5"/>
        </w:rPr>
        <w:t> </w:t>
      </w:r>
      <w:r>
        <w:rPr/>
        <w:t>85%.</w:t>
      </w:r>
      <w:r>
        <w:rPr>
          <w:spacing w:val="-5"/>
        </w:rPr>
        <w:t> </w:t>
      </w:r>
      <w:r>
        <w:rPr/>
        <w:t>The</w:t>
      </w:r>
      <w:r>
        <w:rPr>
          <w:spacing w:val="1"/>
        </w:rPr>
        <w:t> </w:t>
      </w:r>
      <w:r>
        <w:rPr/>
        <w:t>loan</w:t>
      </w:r>
      <w:r>
        <w:rPr>
          <w:spacing w:val="-7"/>
        </w:rPr>
        <w:t> </w:t>
      </w:r>
      <w:r>
        <w:rPr/>
        <w:t>deposit</w:t>
      </w:r>
      <w:r>
        <w:rPr>
          <w:spacing w:val="2"/>
        </w:rPr>
        <w:t> </w:t>
      </w:r>
      <w:r>
        <w:rPr/>
        <w:t>ratio</w:t>
      </w:r>
      <w:r>
        <w:rPr>
          <w:spacing w:val="-3"/>
        </w:rPr>
        <w:t> </w:t>
      </w:r>
      <w:r>
        <w:rPr/>
        <w:t>of</w:t>
      </w:r>
      <w:r>
        <w:rPr>
          <w:spacing w:val="-10"/>
        </w:rPr>
        <w:t> </w:t>
      </w:r>
      <w:r>
        <w:rPr/>
        <w:t>Jamuna</w:t>
      </w:r>
      <w:r>
        <w:rPr>
          <w:spacing w:val="-3"/>
        </w:rPr>
        <w:t> </w:t>
      </w:r>
      <w:r>
        <w:rPr/>
        <w:t>Bank Limited </w:t>
      </w:r>
      <w:r>
        <w:rPr>
          <w:spacing w:val="-3"/>
        </w:rPr>
        <w:t>in </w:t>
      </w:r>
      <w:r>
        <w:rPr/>
        <w:t>2018 and 2019 </w:t>
      </w:r>
      <w:r>
        <w:rPr>
          <w:spacing w:val="-5"/>
        </w:rPr>
        <w:t>is </w:t>
      </w:r>
      <w:r>
        <w:rPr/>
        <w:t>81.28% and 79.10%, which indicates that Jamuna </w:t>
      </w:r>
      <w:r>
        <w:rPr>
          <w:spacing w:val="-4"/>
        </w:rPr>
        <w:t>Bank </w:t>
      </w:r>
      <w:r>
        <w:rPr/>
        <w:t>Limited </w:t>
      </w:r>
      <w:r>
        <w:rPr>
          <w:spacing w:val="-3"/>
        </w:rPr>
        <w:t>is </w:t>
      </w:r>
      <w:r>
        <w:rPr/>
        <w:t>not </w:t>
      </w:r>
      <w:r>
        <w:rPr>
          <w:spacing w:val="-3"/>
        </w:rPr>
        <w:t>in </w:t>
      </w:r>
      <w:r>
        <w:rPr/>
        <w:t>progressive but</w:t>
      </w:r>
      <w:r>
        <w:rPr>
          <w:spacing w:val="14"/>
        </w:rPr>
        <w:t> </w:t>
      </w:r>
      <w:r>
        <w:rPr/>
        <w:t>satisfactory.</w:t>
      </w:r>
    </w:p>
    <w:p>
      <w:pPr>
        <w:pStyle w:val="Heading3"/>
        <w:spacing w:before="2"/>
        <w:jc w:val="both"/>
      </w:pPr>
      <w:r>
        <w:rPr/>
        <w:t>Capital Adequacy Ratio</w:t>
      </w:r>
    </w:p>
    <w:p>
      <w:pPr>
        <w:pStyle w:val="BodyText"/>
        <w:spacing w:before="3"/>
        <w:rPr>
          <w:b/>
        </w:rPr>
      </w:pPr>
    </w:p>
    <w:tbl>
      <w:tblPr>
        <w:tblW w:w="0" w:type="auto"/>
        <w:jc w:val="left"/>
        <w:tblInd w:w="2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11"/>
        <w:gridCol w:w="2973"/>
      </w:tblGrid>
      <w:tr>
        <w:trPr>
          <w:trHeight w:val="614" w:hRule="atLeast"/>
        </w:trPr>
        <w:tc>
          <w:tcPr>
            <w:tcW w:w="3011" w:type="dxa"/>
          </w:tcPr>
          <w:p>
            <w:pPr>
              <w:pStyle w:val="TableParagraph"/>
              <w:spacing w:line="240" w:lineRule="auto" w:before="1"/>
              <w:ind w:left="1149" w:right="1130"/>
              <w:jc w:val="center"/>
              <w:rPr>
                <w:b/>
                <w:sz w:val="24"/>
              </w:rPr>
            </w:pPr>
            <w:r>
              <w:rPr>
                <w:b/>
                <w:sz w:val="24"/>
              </w:rPr>
              <w:t>YEAR</w:t>
            </w:r>
          </w:p>
        </w:tc>
        <w:tc>
          <w:tcPr>
            <w:tcW w:w="2973" w:type="dxa"/>
          </w:tcPr>
          <w:p>
            <w:pPr>
              <w:pStyle w:val="TableParagraph"/>
              <w:spacing w:line="240" w:lineRule="auto" w:before="1"/>
              <w:ind w:left="1071" w:right="1064"/>
              <w:jc w:val="center"/>
              <w:rPr>
                <w:b/>
                <w:sz w:val="24"/>
              </w:rPr>
            </w:pPr>
            <w:r>
              <w:rPr>
                <w:b/>
                <w:sz w:val="24"/>
              </w:rPr>
              <w:t>RATIO</w:t>
            </w:r>
          </w:p>
        </w:tc>
      </w:tr>
      <w:tr>
        <w:trPr>
          <w:trHeight w:val="417" w:hRule="atLeast"/>
        </w:trPr>
        <w:tc>
          <w:tcPr>
            <w:tcW w:w="3011" w:type="dxa"/>
          </w:tcPr>
          <w:p>
            <w:pPr>
              <w:pStyle w:val="TableParagraph"/>
              <w:spacing w:line="240" w:lineRule="auto" w:before="1"/>
              <w:ind w:left="1149" w:right="1126"/>
              <w:jc w:val="center"/>
              <w:rPr>
                <w:b/>
                <w:sz w:val="24"/>
              </w:rPr>
            </w:pPr>
            <w:r>
              <w:rPr>
                <w:b/>
                <w:sz w:val="24"/>
              </w:rPr>
              <w:t>2019</w:t>
            </w:r>
          </w:p>
        </w:tc>
        <w:tc>
          <w:tcPr>
            <w:tcW w:w="2973" w:type="dxa"/>
          </w:tcPr>
          <w:p>
            <w:pPr>
              <w:pStyle w:val="TableParagraph"/>
              <w:spacing w:line="240" w:lineRule="auto" w:before="1"/>
              <w:ind w:left="1071" w:right="1054"/>
              <w:jc w:val="center"/>
              <w:rPr>
                <w:b/>
                <w:sz w:val="24"/>
              </w:rPr>
            </w:pPr>
            <w:r>
              <w:rPr>
                <w:b/>
                <w:sz w:val="24"/>
              </w:rPr>
              <w:t>11.23</w:t>
            </w:r>
          </w:p>
        </w:tc>
      </w:tr>
      <w:tr>
        <w:trPr>
          <w:trHeight w:val="412" w:hRule="atLeast"/>
        </w:trPr>
        <w:tc>
          <w:tcPr>
            <w:tcW w:w="3011" w:type="dxa"/>
          </w:tcPr>
          <w:p>
            <w:pPr>
              <w:pStyle w:val="TableParagraph"/>
              <w:ind w:left="1149" w:right="1126"/>
              <w:jc w:val="center"/>
              <w:rPr>
                <w:b/>
                <w:sz w:val="24"/>
              </w:rPr>
            </w:pPr>
            <w:r>
              <w:rPr>
                <w:b/>
                <w:sz w:val="24"/>
              </w:rPr>
              <w:t>2018</w:t>
            </w:r>
          </w:p>
        </w:tc>
        <w:tc>
          <w:tcPr>
            <w:tcW w:w="2973" w:type="dxa"/>
          </w:tcPr>
          <w:p>
            <w:pPr>
              <w:pStyle w:val="TableParagraph"/>
              <w:ind w:left="1071" w:right="1050"/>
              <w:jc w:val="center"/>
              <w:rPr>
                <w:b/>
                <w:sz w:val="24"/>
              </w:rPr>
            </w:pPr>
            <w:r>
              <w:rPr>
                <w:b/>
                <w:sz w:val="24"/>
              </w:rPr>
              <w:t>9.64</w:t>
            </w:r>
          </w:p>
        </w:tc>
      </w:tr>
      <w:tr>
        <w:trPr>
          <w:trHeight w:val="412" w:hRule="atLeast"/>
        </w:trPr>
        <w:tc>
          <w:tcPr>
            <w:tcW w:w="3011" w:type="dxa"/>
          </w:tcPr>
          <w:p>
            <w:pPr>
              <w:pStyle w:val="TableParagraph"/>
              <w:ind w:left="1149" w:right="1126"/>
              <w:jc w:val="center"/>
              <w:rPr>
                <w:b/>
                <w:sz w:val="24"/>
              </w:rPr>
            </w:pPr>
            <w:r>
              <w:rPr>
                <w:b/>
                <w:sz w:val="24"/>
              </w:rPr>
              <w:t>2017</w:t>
            </w:r>
          </w:p>
        </w:tc>
        <w:tc>
          <w:tcPr>
            <w:tcW w:w="2973" w:type="dxa"/>
          </w:tcPr>
          <w:p>
            <w:pPr>
              <w:pStyle w:val="TableParagraph"/>
              <w:ind w:left="1071" w:right="1054"/>
              <w:jc w:val="center"/>
              <w:rPr>
                <w:b/>
                <w:sz w:val="24"/>
              </w:rPr>
            </w:pPr>
            <w:r>
              <w:rPr>
                <w:b/>
                <w:sz w:val="24"/>
              </w:rPr>
              <w:t>11.59</w:t>
            </w:r>
          </w:p>
        </w:tc>
      </w:tr>
      <w:tr>
        <w:trPr>
          <w:trHeight w:val="412" w:hRule="atLeast"/>
        </w:trPr>
        <w:tc>
          <w:tcPr>
            <w:tcW w:w="3011" w:type="dxa"/>
          </w:tcPr>
          <w:p>
            <w:pPr>
              <w:pStyle w:val="TableParagraph"/>
              <w:ind w:left="1149" w:right="1126"/>
              <w:jc w:val="center"/>
              <w:rPr>
                <w:b/>
                <w:sz w:val="24"/>
              </w:rPr>
            </w:pPr>
            <w:r>
              <w:rPr>
                <w:b/>
                <w:sz w:val="24"/>
              </w:rPr>
              <w:t>2016</w:t>
            </w:r>
          </w:p>
        </w:tc>
        <w:tc>
          <w:tcPr>
            <w:tcW w:w="2973" w:type="dxa"/>
          </w:tcPr>
          <w:p>
            <w:pPr>
              <w:pStyle w:val="TableParagraph"/>
              <w:ind w:left="1071" w:right="1054"/>
              <w:jc w:val="center"/>
              <w:rPr>
                <w:b/>
                <w:sz w:val="24"/>
              </w:rPr>
            </w:pPr>
            <w:r>
              <w:rPr>
                <w:b/>
                <w:sz w:val="24"/>
              </w:rPr>
              <w:t>10.89</w:t>
            </w:r>
          </w:p>
        </w:tc>
      </w:tr>
      <w:tr>
        <w:trPr>
          <w:trHeight w:val="417" w:hRule="atLeast"/>
        </w:trPr>
        <w:tc>
          <w:tcPr>
            <w:tcW w:w="3011" w:type="dxa"/>
          </w:tcPr>
          <w:p>
            <w:pPr>
              <w:pStyle w:val="TableParagraph"/>
              <w:ind w:left="1149" w:right="1126"/>
              <w:jc w:val="center"/>
              <w:rPr>
                <w:b/>
                <w:sz w:val="24"/>
              </w:rPr>
            </w:pPr>
            <w:r>
              <w:rPr>
                <w:b/>
                <w:sz w:val="24"/>
              </w:rPr>
              <w:t>2015</w:t>
            </w:r>
          </w:p>
        </w:tc>
        <w:tc>
          <w:tcPr>
            <w:tcW w:w="2973" w:type="dxa"/>
          </w:tcPr>
          <w:p>
            <w:pPr>
              <w:pStyle w:val="TableParagraph"/>
              <w:ind w:left="1071" w:right="1054"/>
              <w:jc w:val="center"/>
              <w:rPr>
                <w:b/>
                <w:sz w:val="24"/>
              </w:rPr>
            </w:pPr>
            <w:r>
              <w:rPr>
                <w:b/>
                <w:sz w:val="24"/>
              </w:rPr>
              <w:t>11.76</w:t>
            </w:r>
          </w:p>
        </w:tc>
      </w:tr>
    </w:tbl>
    <w:p>
      <w:pPr>
        <w:pStyle w:val="BodyText"/>
        <w:spacing w:before="10"/>
        <w:rPr>
          <w:b/>
          <w:sz w:val="14"/>
        </w:rPr>
      </w:pPr>
      <w:r>
        <w:rPr/>
        <w:pict>
          <v:group style="position:absolute;margin-left:145.75pt;margin-top:10.51pt;width:320pt;height:148pt;mso-position-horizontal-relative:page;mso-position-vertical-relative:paragraph;z-index:-251569152;mso-wrap-distance-left:0;mso-wrap-distance-right:0" coordorigin="2915,210" coordsize="6400,2960">
            <v:line style="position:absolute" from="3525,1807" to="3746,1807" stroked="true" strokeweight=".72pt" strokecolor="#858585">
              <v:stroke dashstyle="solid"/>
            </v:line>
            <v:line style="position:absolute" from="4041,1807" to="4483,1807" stroked="true" strokeweight=".72pt" strokecolor="#858585">
              <v:stroke dashstyle="solid"/>
            </v:line>
            <v:line style="position:absolute" from="3525,1360" to="3746,1360" stroked="true" strokeweight=".72pt" strokecolor="#858585">
              <v:stroke dashstyle="solid"/>
            </v:line>
            <v:line style="position:absolute" from="4041,1360" to="5219,1360" stroked="true" strokeweight=".72pt" strokecolor="#858585">
              <v:stroke dashstyle="solid"/>
            </v:line>
            <v:rect style="position:absolute;left:3746;top:1252;width:296;height:1002" filled="true" fillcolor="#4f81bb" stroked="false">
              <v:fill type="solid"/>
            </v:rect>
            <v:line style="position:absolute" from="4777,1808" to="5219,1808" stroked="true" strokeweight=".72pt" strokecolor="#858585">
              <v:stroke dashstyle="solid"/>
            </v:line>
            <v:rect style="position:absolute;left:4483;top:1393;width:294;height:861" filled="true" fillcolor="#4f81bb" stroked="false">
              <v:fill type="solid"/>
            </v:rect>
            <v:line style="position:absolute" from="5513,1807" to="5954,1807" stroked="true" strokeweight=".72pt" strokecolor="#858585">
              <v:stroke dashstyle="solid"/>
            </v:line>
            <v:line style="position:absolute" from="5513,1360" to="5954,1360" stroked="true" strokeweight=".72pt" strokecolor="#858585">
              <v:stroke dashstyle="solid"/>
            </v:line>
            <v:rect style="position:absolute;left:5218;top:1219;width:296;height:1035" filled="true" fillcolor="#4f81bb" stroked="false">
              <v:fill type="solid"/>
            </v:rect>
            <v:line style="position:absolute" from="6249,1807" to="6691,1807" stroked="true" strokeweight=".72pt" strokecolor="#858585">
              <v:stroke dashstyle="solid"/>
            </v:line>
            <v:line style="position:absolute" from="6249,1360" to="6691,1360" stroked="true" strokeweight=".72pt" strokecolor="#858585">
              <v:stroke dashstyle="solid"/>
            </v:line>
            <v:rect style="position:absolute;left:5955;top:1282;width:294;height:972" filled="true" fillcolor="#4f81bb" stroked="false">
              <v:fill type="solid"/>
            </v:rect>
            <v:line style="position:absolute" from="6986,1361" to="7207,1361" stroked="true" strokeweight=".72pt" strokecolor="#858585">
              <v:stroke dashstyle="solid"/>
            </v:line>
            <v:rect style="position:absolute;left:6691;top:1204;width:296;height:1050" filled="true" fillcolor="#4f81bb" stroked="false">
              <v:fill type="solid"/>
            </v:rect>
            <v:line style="position:absolute" from="3525,915" to="7207,915" stroked="true" strokeweight=".72pt" strokecolor="#858585">
              <v:stroke dashstyle="solid"/>
            </v:line>
            <v:line style="position:absolute" from="3525,2253" to="3525,915" stroked="true" strokeweight=".72pt" strokecolor="#858585">
              <v:stroke dashstyle="solid"/>
            </v:line>
            <v:line style="position:absolute" from="3465,2253" to="3525,2253" stroked="true" strokeweight=".72pt" strokecolor="#858585">
              <v:stroke dashstyle="solid"/>
            </v:line>
            <v:line style="position:absolute" from="3465,1807" to="3525,1807" stroked="true" strokeweight=".72pt" strokecolor="#858585">
              <v:stroke dashstyle="solid"/>
            </v:line>
            <v:line style="position:absolute" from="3465,1360" to="3525,1360" stroked="true" strokeweight=".72pt" strokecolor="#858585">
              <v:stroke dashstyle="solid"/>
            </v:line>
            <v:line style="position:absolute" from="3465,915" to="3525,915" stroked="true" strokeweight=".72pt" strokecolor="#858585">
              <v:stroke dashstyle="solid"/>
            </v:line>
            <v:line style="position:absolute" from="3525,2253" to="7207,2253" stroked="true" strokeweight=".72pt" strokecolor="#858585">
              <v:stroke dashstyle="solid"/>
            </v:line>
            <v:line style="position:absolute" from="3525,2253" to="3525,2309" stroked="true" strokeweight=".72pt" strokecolor="#858585">
              <v:stroke dashstyle="solid"/>
            </v:line>
            <v:line style="position:absolute" from="4262,2253" to="4262,2309" stroked="true" strokeweight=".72pt" strokecolor="#858585">
              <v:stroke dashstyle="solid"/>
            </v:line>
            <v:line style="position:absolute" from="4998,2253" to="4998,2309" stroked="true" strokeweight=".72pt" strokecolor="#858585">
              <v:stroke dashstyle="solid"/>
            </v:line>
            <v:line style="position:absolute" from="5735,2253" to="5735,2309" stroked="true" strokeweight=".72pt" strokecolor="#858585">
              <v:stroke dashstyle="solid"/>
            </v:line>
            <v:line style="position:absolute" from="6470,2253" to="6470,2309" stroked="true" strokeweight=".72pt" strokecolor="#858585">
              <v:stroke dashstyle="solid"/>
            </v:line>
            <v:line style="position:absolute" from="7207,2253" to="7207,2309" stroked="true" strokeweight=".72pt" strokecolor="#858585">
              <v:stroke dashstyle="solid"/>
            </v:line>
            <v:shape style="position:absolute;left:2915;top:210;width:6400;height:2960" type="#_x0000_t75" stroked="false">
              <v:imagedata r:id="rId63" o:title=""/>
            </v:shape>
            <v:line style="position:absolute" from="6984,1912" to="7248,1912" stroked="true" strokeweight=".47998pt" strokecolor="#858585">
              <v:stroke dashstyle="solid"/>
            </v:line>
            <v:shape style="position:absolute;left:2915;top:210;width:6400;height:2960" type="#_x0000_t202" filled="false" stroked="false">
              <v:textbox inset="0,0,0,0">
                <w:txbxContent>
                  <w:p>
                    <w:pPr>
                      <w:spacing w:before="164"/>
                      <w:ind w:left="1358" w:right="0" w:firstLine="0"/>
                      <w:jc w:val="left"/>
                      <w:rPr>
                        <w:b/>
                        <w:sz w:val="36"/>
                      </w:rPr>
                    </w:pPr>
                    <w:r>
                      <w:rPr>
                        <w:b/>
                        <w:sz w:val="36"/>
                      </w:rPr>
                      <w:t>Capital Adequacy Ratio</w:t>
                    </w:r>
                  </w:p>
                  <w:p>
                    <w:pPr>
                      <w:spacing w:before="125"/>
                      <w:ind w:left="230" w:right="0" w:firstLine="0"/>
                      <w:jc w:val="left"/>
                      <w:rPr>
                        <w:sz w:val="20"/>
                      </w:rPr>
                    </w:pPr>
                    <w:r>
                      <w:rPr>
                        <w:sz w:val="20"/>
                      </w:rPr>
                      <w:t>15</w:t>
                    </w:r>
                  </w:p>
                  <w:p>
                    <w:pPr>
                      <w:spacing w:line="240" w:lineRule="auto" w:before="0"/>
                      <w:rPr>
                        <w:b/>
                        <w:sz w:val="20"/>
                      </w:rPr>
                    </w:pPr>
                  </w:p>
                  <w:p>
                    <w:pPr>
                      <w:spacing w:before="0"/>
                      <w:ind w:left="230" w:right="0" w:firstLine="0"/>
                      <w:jc w:val="left"/>
                      <w:rPr>
                        <w:sz w:val="20"/>
                      </w:rPr>
                    </w:pPr>
                    <w:r>
                      <w:rPr>
                        <w:sz w:val="20"/>
                      </w:rPr>
                      <w:t>10</w:t>
                    </w:r>
                  </w:p>
                  <w:p>
                    <w:pPr>
                      <w:tabs>
                        <w:tab w:pos="4748" w:val="left" w:leader="none"/>
                      </w:tabs>
                      <w:spacing w:line="158" w:lineRule="auto" w:before="120"/>
                      <w:ind w:left="326" w:right="0" w:firstLine="0"/>
                      <w:jc w:val="left"/>
                      <w:rPr>
                        <w:sz w:val="20"/>
                      </w:rPr>
                    </w:pPr>
                    <w:r>
                      <w:rPr>
                        <w:position w:val="-11"/>
                        <w:sz w:val="20"/>
                      </w:rPr>
                      <w:t>5</w:t>
                      <w:tab/>
                    </w:r>
                    <w:r>
                      <w:rPr>
                        <w:sz w:val="20"/>
                      </w:rPr>
                      <w:t>Capital</w:t>
                    </w:r>
                    <w:r>
                      <w:rPr>
                        <w:spacing w:val="-2"/>
                        <w:sz w:val="20"/>
                      </w:rPr>
                      <w:t> </w:t>
                    </w:r>
                    <w:r>
                      <w:rPr>
                        <w:sz w:val="20"/>
                      </w:rPr>
                      <w:t>Adequacy</w:t>
                    </w:r>
                  </w:p>
                  <w:p>
                    <w:pPr>
                      <w:spacing w:line="176" w:lineRule="exact" w:before="0"/>
                      <w:ind w:left="0" w:right="1208" w:firstLine="0"/>
                      <w:jc w:val="right"/>
                      <w:rPr>
                        <w:sz w:val="20"/>
                      </w:rPr>
                    </w:pPr>
                    <w:r>
                      <w:rPr>
                        <w:sz w:val="20"/>
                      </w:rPr>
                      <w:t>Ratio</w:t>
                    </w:r>
                  </w:p>
                  <w:p>
                    <w:pPr>
                      <w:spacing w:before="120"/>
                      <w:ind w:left="326" w:right="0" w:firstLine="0"/>
                      <w:jc w:val="left"/>
                      <w:rPr>
                        <w:sz w:val="20"/>
                      </w:rPr>
                    </w:pPr>
                    <w:r>
                      <w:rPr>
                        <w:w w:val="101"/>
                        <w:sz w:val="20"/>
                      </w:rPr>
                      <w:t>0</w:t>
                    </w:r>
                  </w:p>
                  <w:p>
                    <w:pPr>
                      <w:tabs>
                        <w:tab w:pos="1511" w:val="left" w:leader="none"/>
                        <w:tab w:pos="2246" w:val="left" w:leader="none"/>
                        <w:tab w:pos="2986" w:val="left" w:leader="none"/>
                        <w:tab w:pos="3720" w:val="left" w:leader="none"/>
                      </w:tabs>
                      <w:spacing w:before="82"/>
                      <w:ind w:left="772" w:right="0" w:firstLine="0"/>
                      <w:jc w:val="left"/>
                      <w:rPr>
                        <w:sz w:val="20"/>
                      </w:rPr>
                    </w:pPr>
                    <w:r>
                      <w:rPr>
                        <w:sz w:val="20"/>
                      </w:rPr>
                      <w:t>2019</w:t>
                      <w:tab/>
                      <w:t>2018</w:t>
                      <w:tab/>
                      <w:t>2017</w:t>
                      <w:tab/>
                      <w:t>2016</w:t>
                      <w:tab/>
                      <w:t>2015</w:t>
                    </w:r>
                  </w:p>
                </w:txbxContent>
              </v:textbox>
              <w10:wrap type="none"/>
            </v:shape>
            <w10:wrap type="topAndBottom"/>
          </v:group>
        </w:pict>
      </w:r>
    </w:p>
    <w:p>
      <w:pPr>
        <w:pStyle w:val="BodyText"/>
        <w:spacing w:line="360" w:lineRule="auto" w:before="77"/>
        <w:ind w:left="340" w:right="251"/>
        <w:jc w:val="both"/>
        <w:rPr>
          <w:b/>
        </w:rPr>
      </w:pPr>
      <w:r>
        <w:rPr>
          <w:b/>
        </w:rPr>
        <w:t>Interpretation</w:t>
      </w:r>
      <w:r>
        <w:rPr/>
        <w:t>: Jamuna Bank Limited regulatory capital as on December 31, 2019 stood </w:t>
      </w:r>
      <w:r>
        <w:rPr>
          <w:spacing w:val="-3"/>
        </w:rPr>
        <w:t>at </w:t>
      </w:r>
      <w:r>
        <w:rPr/>
        <w:t>Tk. 10534.87 million. Capital adequacy ratio as on December 31, 2019 was 11.23%. Bangladesh Bank’s minimum requirement </w:t>
      </w:r>
      <w:r>
        <w:rPr>
          <w:spacing w:val="-5"/>
        </w:rPr>
        <w:t>is </w:t>
      </w:r>
      <w:r>
        <w:rPr/>
        <w:t>10%. So</w:t>
      </w:r>
      <w:r>
        <w:rPr>
          <w:spacing w:val="-44"/>
        </w:rPr>
        <w:t> </w:t>
      </w:r>
      <w:r>
        <w:rPr/>
        <w:t>that </w:t>
      </w:r>
      <w:r>
        <w:rPr>
          <w:spacing w:val="-3"/>
        </w:rPr>
        <w:t>Jamuna </w:t>
      </w:r>
      <w:r>
        <w:rPr/>
        <w:t>Bank Limited performance </w:t>
      </w:r>
      <w:r>
        <w:rPr>
          <w:spacing w:val="-3"/>
        </w:rPr>
        <w:t>is </w:t>
      </w:r>
      <w:r>
        <w:rPr/>
        <w:t>satisfactor</w:t>
      </w:r>
      <w:r>
        <w:rPr>
          <w:b/>
        </w:rPr>
        <w:t>y.</w:t>
      </w:r>
    </w:p>
    <w:p>
      <w:pPr>
        <w:spacing w:after="0" w:line="360" w:lineRule="auto"/>
        <w:jc w:val="both"/>
        <w:sectPr>
          <w:pgSz w:w="12240" w:h="15840"/>
          <w:pgMar w:header="0" w:footer="1039" w:top="1420" w:bottom="1220" w:left="1100" w:right="1300"/>
        </w:sectPr>
      </w:pPr>
    </w:p>
    <w:p>
      <w:pPr>
        <w:pStyle w:val="Heading2"/>
        <w:numPr>
          <w:ilvl w:val="1"/>
          <w:numId w:val="14"/>
        </w:numPr>
        <w:tabs>
          <w:tab w:pos="763" w:val="left" w:leader="none"/>
        </w:tabs>
        <w:spacing w:line="240" w:lineRule="auto" w:before="58" w:after="0"/>
        <w:ind w:left="762" w:right="0" w:hanging="423"/>
        <w:jc w:val="left"/>
      </w:pPr>
      <w:r>
        <w:rPr/>
        <w:t>Financial Performance Analysis </w:t>
      </w:r>
      <w:r>
        <w:rPr>
          <w:spacing w:val="-3"/>
        </w:rPr>
        <w:t>of </w:t>
      </w:r>
      <w:r>
        <w:rPr/>
        <w:t>Bangladesh Commerce Bank</w:t>
      </w:r>
      <w:r>
        <w:rPr>
          <w:spacing w:val="-20"/>
        </w:rPr>
        <w:t> </w:t>
      </w:r>
      <w:r>
        <w:rPr/>
        <w:t>Limited</w:t>
      </w:r>
    </w:p>
    <w:p>
      <w:pPr>
        <w:pStyle w:val="BodyText"/>
        <w:spacing w:before="4"/>
        <w:rPr>
          <w:b/>
        </w:r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23"/>
        <w:gridCol w:w="917"/>
        <w:gridCol w:w="913"/>
        <w:gridCol w:w="913"/>
        <w:gridCol w:w="917"/>
        <w:gridCol w:w="913"/>
      </w:tblGrid>
      <w:tr>
        <w:trPr>
          <w:trHeight w:val="532" w:hRule="atLeast"/>
        </w:trPr>
        <w:tc>
          <w:tcPr>
            <w:tcW w:w="8996" w:type="dxa"/>
            <w:gridSpan w:val="6"/>
          </w:tcPr>
          <w:p>
            <w:pPr>
              <w:pStyle w:val="TableParagraph"/>
              <w:spacing w:line="260" w:lineRule="exact"/>
              <w:ind w:left="4000" w:right="3985"/>
              <w:jc w:val="center"/>
              <w:rPr>
                <w:b/>
                <w:sz w:val="24"/>
              </w:rPr>
            </w:pPr>
            <w:r>
              <w:rPr>
                <w:b/>
                <w:sz w:val="24"/>
              </w:rPr>
              <w:t>Liquidity</w:t>
            </w:r>
          </w:p>
          <w:p>
            <w:pPr>
              <w:pStyle w:val="TableParagraph"/>
              <w:spacing w:line="253" w:lineRule="exact"/>
              <w:ind w:left="4000" w:right="3985"/>
              <w:jc w:val="center"/>
              <w:rPr>
                <w:b/>
                <w:sz w:val="24"/>
              </w:rPr>
            </w:pPr>
            <w:r>
              <w:rPr>
                <w:b/>
                <w:sz w:val="24"/>
              </w:rPr>
              <w:t>Ratio</w:t>
            </w:r>
          </w:p>
        </w:tc>
      </w:tr>
      <w:tr>
        <w:trPr>
          <w:trHeight w:val="297" w:hRule="atLeast"/>
        </w:trPr>
        <w:tc>
          <w:tcPr>
            <w:tcW w:w="4423" w:type="dxa"/>
          </w:tcPr>
          <w:p>
            <w:pPr>
              <w:pStyle w:val="TableParagraph"/>
              <w:spacing w:line="263" w:lineRule="exact"/>
              <w:rPr>
                <w:b/>
                <w:sz w:val="24"/>
              </w:rPr>
            </w:pPr>
            <w:r>
              <w:rPr>
                <w:b/>
                <w:sz w:val="24"/>
              </w:rPr>
              <w:t>Particulars</w:t>
            </w:r>
          </w:p>
        </w:tc>
        <w:tc>
          <w:tcPr>
            <w:tcW w:w="917" w:type="dxa"/>
          </w:tcPr>
          <w:p>
            <w:pPr>
              <w:pStyle w:val="TableParagraph"/>
              <w:spacing w:line="263" w:lineRule="exact"/>
              <w:ind w:left="109"/>
              <w:rPr>
                <w:b/>
                <w:sz w:val="24"/>
              </w:rPr>
            </w:pPr>
            <w:r>
              <w:rPr>
                <w:b/>
                <w:sz w:val="24"/>
              </w:rPr>
              <w:t>2015</w:t>
            </w:r>
          </w:p>
        </w:tc>
        <w:tc>
          <w:tcPr>
            <w:tcW w:w="913" w:type="dxa"/>
          </w:tcPr>
          <w:p>
            <w:pPr>
              <w:pStyle w:val="TableParagraph"/>
              <w:spacing w:line="263" w:lineRule="exact"/>
              <w:ind w:left="109"/>
              <w:rPr>
                <w:b/>
                <w:sz w:val="24"/>
              </w:rPr>
            </w:pPr>
            <w:r>
              <w:rPr>
                <w:b/>
                <w:sz w:val="24"/>
              </w:rPr>
              <w:t>2016</w:t>
            </w:r>
          </w:p>
        </w:tc>
        <w:tc>
          <w:tcPr>
            <w:tcW w:w="913" w:type="dxa"/>
          </w:tcPr>
          <w:p>
            <w:pPr>
              <w:pStyle w:val="TableParagraph"/>
              <w:spacing w:line="263" w:lineRule="exact"/>
              <w:ind w:left="109"/>
              <w:rPr>
                <w:b/>
                <w:sz w:val="24"/>
              </w:rPr>
            </w:pPr>
            <w:r>
              <w:rPr>
                <w:b/>
                <w:sz w:val="24"/>
              </w:rPr>
              <w:t>2017</w:t>
            </w:r>
          </w:p>
        </w:tc>
        <w:tc>
          <w:tcPr>
            <w:tcW w:w="917" w:type="dxa"/>
          </w:tcPr>
          <w:p>
            <w:pPr>
              <w:pStyle w:val="TableParagraph"/>
              <w:spacing w:line="263" w:lineRule="exact"/>
              <w:ind w:left="108"/>
              <w:rPr>
                <w:b/>
                <w:sz w:val="24"/>
              </w:rPr>
            </w:pPr>
            <w:r>
              <w:rPr>
                <w:b/>
                <w:sz w:val="24"/>
              </w:rPr>
              <w:t>2018</w:t>
            </w:r>
          </w:p>
        </w:tc>
        <w:tc>
          <w:tcPr>
            <w:tcW w:w="913" w:type="dxa"/>
          </w:tcPr>
          <w:p>
            <w:pPr>
              <w:pStyle w:val="TableParagraph"/>
              <w:spacing w:line="263" w:lineRule="exact"/>
              <w:ind w:left="108"/>
              <w:rPr>
                <w:b/>
                <w:sz w:val="24"/>
              </w:rPr>
            </w:pPr>
            <w:r>
              <w:rPr>
                <w:b/>
                <w:sz w:val="24"/>
              </w:rPr>
              <w:t>2019</w:t>
            </w:r>
          </w:p>
        </w:tc>
      </w:tr>
      <w:tr>
        <w:trPr>
          <w:trHeight w:val="297" w:hRule="atLeast"/>
        </w:trPr>
        <w:tc>
          <w:tcPr>
            <w:tcW w:w="4423" w:type="dxa"/>
          </w:tcPr>
          <w:p>
            <w:pPr>
              <w:pStyle w:val="TableParagraph"/>
              <w:spacing w:line="263" w:lineRule="exact"/>
              <w:rPr>
                <w:sz w:val="24"/>
              </w:rPr>
            </w:pPr>
            <w:r>
              <w:rPr>
                <w:sz w:val="24"/>
              </w:rPr>
              <w:t>Cash Ratio</w:t>
            </w:r>
          </w:p>
        </w:tc>
        <w:tc>
          <w:tcPr>
            <w:tcW w:w="917" w:type="dxa"/>
          </w:tcPr>
          <w:p>
            <w:pPr>
              <w:pStyle w:val="TableParagraph"/>
              <w:spacing w:line="263" w:lineRule="exact"/>
              <w:ind w:left="109"/>
              <w:rPr>
                <w:sz w:val="24"/>
              </w:rPr>
            </w:pPr>
            <w:r>
              <w:rPr>
                <w:sz w:val="24"/>
              </w:rPr>
              <w:t>0.02</w:t>
            </w:r>
          </w:p>
        </w:tc>
        <w:tc>
          <w:tcPr>
            <w:tcW w:w="913" w:type="dxa"/>
          </w:tcPr>
          <w:p>
            <w:pPr>
              <w:pStyle w:val="TableParagraph"/>
              <w:spacing w:line="263" w:lineRule="exact"/>
              <w:ind w:left="109"/>
              <w:rPr>
                <w:sz w:val="24"/>
              </w:rPr>
            </w:pPr>
            <w:r>
              <w:rPr>
                <w:sz w:val="24"/>
              </w:rPr>
              <w:t>0.02</w:t>
            </w:r>
          </w:p>
        </w:tc>
        <w:tc>
          <w:tcPr>
            <w:tcW w:w="913" w:type="dxa"/>
          </w:tcPr>
          <w:p>
            <w:pPr>
              <w:pStyle w:val="TableParagraph"/>
              <w:spacing w:line="263" w:lineRule="exact"/>
              <w:ind w:left="109"/>
              <w:rPr>
                <w:sz w:val="24"/>
              </w:rPr>
            </w:pPr>
            <w:r>
              <w:rPr>
                <w:sz w:val="24"/>
              </w:rPr>
              <w:t>0.01</w:t>
            </w:r>
          </w:p>
        </w:tc>
        <w:tc>
          <w:tcPr>
            <w:tcW w:w="917" w:type="dxa"/>
          </w:tcPr>
          <w:p>
            <w:pPr>
              <w:pStyle w:val="TableParagraph"/>
              <w:spacing w:line="263" w:lineRule="exact"/>
              <w:ind w:left="108"/>
              <w:rPr>
                <w:sz w:val="24"/>
              </w:rPr>
            </w:pPr>
            <w:r>
              <w:rPr>
                <w:sz w:val="24"/>
              </w:rPr>
              <w:t>0.01</w:t>
            </w:r>
          </w:p>
        </w:tc>
        <w:tc>
          <w:tcPr>
            <w:tcW w:w="913" w:type="dxa"/>
          </w:tcPr>
          <w:p>
            <w:pPr>
              <w:pStyle w:val="TableParagraph"/>
              <w:spacing w:line="263" w:lineRule="exact"/>
              <w:ind w:left="108"/>
              <w:rPr>
                <w:sz w:val="24"/>
              </w:rPr>
            </w:pPr>
            <w:r>
              <w:rPr>
                <w:sz w:val="24"/>
              </w:rPr>
              <w:t>0.01</w:t>
            </w:r>
          </w:p>
        </w:tc>
      </w:tr>
      <w:tr>
        <w:trPr>
          <w:trHeight w:val="297" w:hRule="atLeast"/>
        </w:trPr>
        <w:tc>
          <w:tcPr>
            <w:tcW w:w="4423" w:type="dxa"/>
          </w:tcPr>
          <w:p>
            <w:pPr>
              <w:pStyle w:val="TableParagraph"/>
              <w:spacing w:line="263" w:lineRule="exact"/>
              <w:rPr>
                <w:sz w:val="24"/>
              </w:rPr>
            </w:pPr>
            <w:r>
              <w:rPr>
                <w:sz w:val="24"/>
              </w:rPr>
              <w:t>Cash to Assets</w:t>
            </w:r>
          </w:p>
        </w:tc>
        <w:tc>
          <w:tcPr>
            <w:tcW w:w="917" w:type="dxa"/>
          </w:tcPr>
          <w:p>
            <w:pPr>
              <w:pStyle w:val="TableParagraph"/>
              <w:spacing w:line="263" w:lineRule="exact"/>
              <w:ind w:left="109"/>
              <w:rPr>
                <w:sz w:val="24"/>
              </w:rPr>
            </w:pPr>
            <w:r>
              <w:rPr>
                <w:sz w:val="24"/>
              </w:rPr>
              <w:t>0.07</w:t>
            </w:r>
          </w:p>
        </w:tc>
        <w:tc>
          <w:tcPr>
            <w:tcW w:w="913" w:type="dxa"/>
          </w:tcPr>
          <w:p>
            <w:pPr>
              <w:pStyle w:val="TableParagraph"/>
              <w:spacing w:line="263" w:lineRule="exact"/>
              <w:ind w:left="109"/>
              <w:rPr>
                <w:sz w:val="24"/>
              </w:rPr>
            </w:pPr>
            <w:r>
              <w:rPr>
                <w:sz w:val="24"/>
              </w:rPr>
              <w:t>0.07</w:t>
            </w:r>
          </w:p>
        </w:tc>
        <w:tc>
          <w:tcPr>
            <w:tcW w:w="913" w:type="dxa"/>
          </w:tcPr>
          <w:p>
            <w:pPr>
              <w:pStyle w:val="TableParagraph"/>
              <w:spacing w:line="263" w:lineRule="exact"/>
              <w:ind w:left="109"/>
              <w:rPr>
                <w:sz w:val="24"/>
              </w:rPr>
            </w:pPr>
            <w:r>
              <w:rPr>
                <w:sz w:val="24"/>
              </w:rPr>
              <w:t>0.06</w:t>
            </w:r>
          </w:p>
        </w:tc>
        <w:tc>
          <w:tcPr>
            <w:tcW w:w="917" w:type="dxa"/>
          </w:tcPr>
          <w:p>
            <w:pPr>
              <w:pStyle w:val="TableParagraph"/>
              <w:spacing w:line="263" w:lineRule="exact"/>
              <w:ind w:left="108"/>
              <w:rPr>
                <w:sz w:val="24"/>
              </w:rPr>
            </w:pPr>
            <w:r>
              <w:rPr>
                <w:sz w:val="24"/>
              </w:rPr>
              <w:t>0.07</w:t>
            </w:r>
          </w:p>
        </w:tc>
        <w:tc>
          <w:tcPr>
            <w:tcW w:w="913" w:type="dxa"/>
          </w:tcPr>
          <w:p>
            <w:pPr>
              <w:pStyle w:val="TableParagraph"/>
              <w:spacing w:line="263" w:lineRule="exact"/>
              <w:ind w:left="108"/>
              <w:rPr>
                <w:sz w:val="24"/>
              </w:rPr>
            </w:pPr>
            <w:r>
              <w:rPr>
                <w:sz w:val="24"/>
              </w:rPr>
              <w:t>0.07</w:t>
            </w:r>
          </w:p>
        </w:tc>
      </w:tr>
      <w:tr>
        <w:trPr>
          <w:trHeight w:val="311" w:hRule="atLeast"/>
        </w:trPr>
        <w:tc>
          <w:tcPr>
            <w:tcW w:w="4423" w:type="dxa"/>
          </w:tcPr>
          <w:p>
            <w:pPr>
              <w:pStyle w:val="TableParagraph"/>
              <w:spacing w:line="240" w:lineRule="auto" w:before="6"/>
              <w:rPr>
                <w:sz w:val="24"/>
              </w:rPr>
            </w:pPr>
            <w:r>
              <w:rPr>
                <w:sz w:val="24"/>
              </w:rPr>
              <w:t>Cash to Deposits</w:t>
            </w:r>
          </w:p>
        </w:tc>
        <w:tc>
          <w:tcPr>
            <w:tcW w:w="917" w:type="dxa"/>
          </w:tcPr>
          <w:p>
            <w:pPr>
              <w:pStyle w:val="TableParagraph"/>
              <w:spacing w:line="263" w:lineRule="exact"/>
              <w:ind w:left="109"/>
              <w:rPr>
                <w:sz w:val="24"/>
              </w:rPr>
            </w:pPr>
            <w:r>
              <w:rPr>
                <w:sz w:val="24"/>
              </w:rPr>
              <w:t>0.09</w:t>
            </w:r>
          </w:p>
        </w:tc>
        <w:tc>
          <w:tcPr>
            <w:tcW w:w="913" w:type="dxa"/>
          </w:tcPr>
          <w:p>
            <w:pPr>
              <w:pStyle w:val="TableParagraph"/>
              <w:spacing w:line="263" w:lineRule="exact"/>
              <w:ind w:left="109"/>
              <w:rPr>
                <w:sz w:val="24"/>
              </w:rPr>
            </w:pPr>
            <w:r>
              <w:rPr>
                <w:sz w:val="24"/>
              </w:rPr>
              <w:t>0.09</w:t>
            </w:r>
          </w:p>
        </w:tc>
        <w:tc>
          <w:tcPr>
            <w:tcW w:w="913" w:type="dxa"/>
          </w:tcPr>
          <w:p>
            <w:pPr>
              <w:pStyle w:val="TableParagraph"/>
              <w:spacing w:line="263" w:lineRule="exact"/>
              <w:ind w:left="109"/>
              <w:rPr>
                <w:sz w:val="24"/>
              </w:rPr>
            </w:pPr>
            <w:r>
              <w:rPr>
                <w:sz w:val="24"/>
              </w:rPr>
              <w:t>0.08</w:t>
            </w:r>
          </w:p>
        </w:tc>
        <w:tc>
          <w:tcPr>
            <w:tcW w:w="917" w:type="dxa"/>
          </w:tcPr>
          <w:p>
            <w:pPr>
              <w:pStyle w:val="TableParagraph"/>
              <w:spacing w:line="263" w:lineRule="exact"/>
              <w:ind w:left="108"/>
              <w:rPr>
                <w:sz w:val="24"/>
              </w:rPr>
            </w:pPr>
            <w:r>
              <w:rPr>
                <w:sz w:val="24"/>
              </w:rPr>
              <w:t>0.08</w:t>
            </w:r>
          </w:p>
        </w:tc>
        <w:tc>
          <w:tcPr>
            <w:tcW w:w="913" w:type="dxa"/>
          </w:tcPr>
          <w:p>
            <w:pPr>
              <w:pStyle w:val="TableParagraph"/>
              <w:spacing w:line="263" w:lineRule="exact"/>
              <w:ind w:left="108"/>
              <w:rPr>
                <w:sz w:val="24"/>
              </w:rPr>
            </w:pPr>
            <w:r>
              <w:rPr>
                <w:sz w:val="24"/>
              </w:rPr>
              <w:t>0.08</w:t>
            </w:r>
          </w:p>
        </w:tc>
      </w:tr>
      <w:tr>
        <w:trPr>
          <w:trHeight w:val="312" w:hRule="atLeast"/>
        </w:trPr>
        <w:tc>
          <w:tcPr>
            <w:tcW w:w="4423" w:type="dxa"/>
          </w:tcPr>
          <w:p>
            <w:pPr>
              <w:pStyle w:val="TableParagraph"/>
              <w:spacing w:line="240" w:lineRule="auto" w:before="11"/>
              <w:rPr>
                <w:sz w:val="24"/>
              </w:rPr>
            </w:pPr>
            <w:r>
              <w:rPr>
                <w:sz w:val="24"/>
              </w:rPr>
              <w:t>Loans to Total Deposit</w:t>
            </w:r>
          </w:p>
        </w:tc>
        <w:tc>
          <w:tcPr>
            <w:tcW w:w="917" w:type="dxa"/>
          </w:tcPr>
          <w:p>
            <w:pPr>
              <w:pStyle w:val="TableParagraph"/>
              <w:spacing w:line="263" w:lineRule="exact"/>
              <w:ind w:left="109"/>
              <w:rPr>
                <w:sz w:val="24"/>
              </w:rPr>
            </w:pPr>
            <w:r>
              <w:rPr>
                <w:sz w:val="24"/>
              </w:rPr>
              <w:t>0.61</w:t>
            </w:r>
          </w:p>
        </w:tc>
        <w:tc>
          <w:tcPr>
            <w:tcW w:w="913" w:type="dxa"/>
          </w:tcPr>
          <w:p>
            <w:pPr>
              <w:pStyle w:val="TableParagraph"/>
              <w:spacing w:line="263" w:lineRule="exact"/>
              <w:ind w:left="109"/>
              <w:rPr>
                <w:sz w:val="24"/>
              </w:rPr>
            </w:pPr>
            <w:r>
              <w:rPr>
                <w:sz w:val="24"/>
              </w:rPr>
              <w:t>0.66</w:t>
            </w:r>
          </w:p>
        </w:tc>
        <w:tc>
          <w:tcPr>
            <w:tcW w:w="913" w:type="dxa"/>
          </w:tcPr>
          <w:p>
            <w:pPr>
              <w:pStyle w:val="TableParagraph"/>
              <w:spacing w:line="263" w:lineRule="exact"/>
              <w:ind w:left="109"/>
              <w:rPr>
                <w:sz w:val="24"/>
              </w:rPr>
            </w:pPr>
            <w:r>
              <w:rPr>
                <w:sz w:val="24"/>
              </w:rPr>
              <w:t>0.64</w:t>
            </w:r>
          </w:p>
        </w:tc>
        <w:tc>
          <w:tcPr>
            <w:tcW w:w="917" w:type="dxa"/>
          </w:tcPr>
          <w:p>
            <w:pPr>
              <w:pStyle w:val="TableParagraph"/>
              <w:spacing w:line="263" w:lineRule="exact"/>
              <w:ind w:left="108"/>
              <w:rPr>
                <w:sz w:val="24"/>
              </w:rPr>
            </w:pPr>
            <w:r>
              <w:rPr>
                <w:sz w:val="24"/>
              </w:rPr>
              <w:t>0.66</w:t>
            </w:r>
          </w:p>
        </w:tc>
        <w:tc>
          <w:tcPr>
            <w:tcW w:w="913" w:type="dxa"/>
          </w:tcPr>
          <w:p>
            <w:pPr>
              <w:pStyle w:val="TableParagraph"/>
              <w:spacing w:line="263" w:lineRule="exact"/>
              <w:ind w:left="108"/>
              <w:rPr>
                <w:sz w:val="24"/>
              </w:rPr>
            </w:pPr>
            <w:r>
              <w:rPr>
                <w:sz w:val="24"/>
              </w:rPr>
              <w:t>0.64</w:t>
            </w:r>
          </w:p>
        </w:tc>
      </w:tr>
      <w:tr>
        <w:trPr>
          <w:trHeight w:val="311" w:hRule="atLeast"/>
        </w:trPr>
        <w:tc>
          <w:tcPr>
            <w:tcW w:w="4423" w:type="dxa"/>
          </w:tcPr>
          <w:p>
            <w:pPr>
              <w:pStyle w:val="TableParagraph"/>
              <w:spacing w:line="240" w:lineRule="auto" w:before="11"/>
              <w:rPr>
                <w:sz w:val="24"/>
              </w:rPr>
            </w:pPr>
            <w:r>
              <w:rPr>
                <w:sz w:val="24"/>
              </w:rPr>
              <w:t>Loans to Total Asset</w:t>
            </w:r>
          </w:p>
        </w:tc>
        <w:tc>
          <w:tcPr>
            <w:tcW w:w="917" w:type="dxa"/>
          </w:tcPr>
          <w:p>
            <w:pPr>
              <w:pStyle w:val="TableParagraph"/>
              <w:spacing w:line="263" w:lineRule="exact"/>
              <w:ind w:left="109"/>
              <w:rPr>
                <w:sz w:val="24"/>
              </w:rPr>
            </w:pPr>
            <w:r>
              <w:rPr>
                <w:sz w:val="24"/>
              </w:rPr>
              <w:t>0.49</w:t>
            </w:r>
          </w:p>
        </w:tc>
        <w:tc>
          <w:tcPr>
            <w:tcW w:w="913" w:type="dxa"/>
          </w:tcPr>
          <w:p>
            <w:pPr>
              <w:pStyle w:val="TableParagraph"/>
              <w:spacing w:line="263" w:lineRule="exact"/>
              <w:ind w:left="109"/>
              <w:rPr>
                <w:sz w:val="24"/>
              </w:rPr>
            </w:pPr>
            <w:r>
              <w:rPr>
                <w:sz w:val="24"/>
              </w:rPr>
              <w:t>0.53</w:t>
            </w:r>
          </w:p>
        </w:tc>
        <w:tc>
          <w:tcPr>
            <w:tcW w:w="913" w:type="dxa"/>
          </w:tcPr>
          <w:p>
            <w:pPr>
              <w:pStyle w:val="TableParagraph"/>
              <w:spacing w:line="263" w:lineRule="exact"/>
              <w:ind w:left="109"/>
              <w:rPr>
                <w:sz w:val="24"/>
              </w:rPr>
            </w:pPr>
            <w:r>
              <w:rPr>
                <w:sz w:val="24"/>
              </w:rPr>
              <w:t>0.51</w:t>
            </w:r>
          </w:p>
        </w:tc>
        <w:tc>
          <w:tcPr>
            <w:tcW w:w="917" w:type="dxa"/>
          </w:tcPr>
          <w:p>
            <w:pPr>
              <w:pStyle w:val="TableParagraph"/>
              <w:spacing w:line="263" w:lineRule="exact"/>
              <w:ind w:left="108"/>
              <w:rPr>
                <w:sz w:val="24"/>
              </w:rPr>
            </w:pPr>
            <w:r>
              <w:rPr>
                <w:sz w:val="24"/>
              </w:rPr>
              <w:t>0.53</w:t>
            </w:r>
          </w:p>
        </w:tc>
        <w:tc>
          <w:tcPr>
            <w:tcW w:w="913" w:type="dxa"/>
          </w:tcPr>
          <w:p>
            <w:pPr>
              <w:pStyle w:val="TableParagraph"/>
              <w:spacing w:line="263" w:lineRule="exact"/>
              <w:ind w:left="108"/>
              <w:rPr>
                <w:sz w:val="24"/>
              </w:rPr>
            </w:pPr>
            <w:r>
              <w:rPr>
                <w:sz w:val="24"/>
              </w:rPr>
              <w:t>0.52</w:t>
            </w:r>
          </w:p>
        </w:tc>
      </w:tr>
    </w:tbl>
    <w:p>
      <w:pPr>
        <w:pStyle w:val="BodyText"/>
        <w:rPr>
          <w:b/>
          <w:sz w:val="20"/>
        </w:rPr>
      </w:pPr>
    </w:p>
    <w:p>
      <w:pPr>
        <w:pStyle w:val="BodyText"/>
        <w:rPr>
          <w:b/>
          <w:sz w:val="22"/>
        </w:rPr>
      </w:pPr>
      <w:r>
        <w:rPr/>
        <w:pict>
          <v:group style="position:absolute;margin-left:74.639999pt;margin-top:14.650976pt;width:445.5pt;height:168.85pt;mso-position-horizontal-relative:page;mso-position-vertical-relative:paragraph;z-index:-251543552;mso-wrap-distance-left:0;mso-wrap-distance-right:0" coordorigin="1493,293" coordsize="8910,3377">
            <v:shape style="position:absolute;left:2193;top:787;width:1408;height:2149" type="#_x0000_t75" stroked="false">
              <v:imagedata r:id="rId64" o:title=""/>
            </v:shape>
            <v:shape style="position:absolute;left:3813;top:614;width:1408;height:2321" type="#_x0000_t75" stroked="false">
              <v:imagedata r:id="rId65" o:title=""/>
            </v:shape>
            <v:shape style="position:absolute;left:5431;top:679;width:1411;height:2257" type="#_x0000_t75" stroked="false">
              <v:imagedata r:id="rId66" o:title=""/>
            </v:shape>
            <v:shape style="position:absolute;left:7051;top:618;width:1411;height:2318" type="#_x0000_t75" stroked="false">
              <v:imagedata r:id="rId67" o:title=""/>
            </v:shape>
            <v:shape style="position:absolute;left:8671;top:683;width:1411;height:2253" type="#_x0000_t75" stroked="false">
              <v:imagedata r:id="rId68" o:title=""/>
            </v:shape>
            <v:line style="position:absolute" from="2088,2935" to="10187,2935" stroked="true" strokeweight=".72pt" strokecolor="#d9d9d9">
              <v:stroke dashstyle="solid"/>
            </v:line>
            <v:shape style="position:absolute;left:2209;top:3394;width:95;height:79" type="#_x0000_t75" stroked="false">
              <v:imagedata r:id="rId69" o:title=""/>
            </v:shape>
            <v:shape style="position:absolute;left:3332;top:3394;width:97;height:79" type="#_x0000_t75" stroked="false">
              <v:imagedata r:id="rId70" o:title=""/>
            </v:shape>
            <v:shape style="position:absolute;left:4726;top:3394;width:95;height:79" type="#_x0000_t75" stroked="false">
              <v:imagedata r:id="rId71" o:title=""/>
            </v:shape>
            <v:shape style="position:absolute;left:6278;top:3394;width:95;height:79" type="#_x0000_t75" stroked="false">
              <v:imagedata r:id="rId72" o:title=""/>
            </v:shape>
            <v:shape style="position:absolute;left:8225;top:3394;width:95;height:79" type="#_x0000_t75" stroked="false">
              <v:imagedata r:id="rId73" o:title=""/>
            </v:shape>
            <v:rect style="position:absolute;left:1500;top:300;width:8896;height:3363" filled="false" stroked="true" strokeweight=".72pt" strokecolor="#d9d9d9">
              <v:stroke dashstyle="solid"/>
            </v:rect>
            <v:shape style="position:absolute;left:1622;top:407;width:327;height:144" type="#_x0000_t75" stroked="false">
              <v:imagedata r:id="rId74" o:title=""/>
            </v:shape>
            <v:shape style="position:absolute;left:4646;top:397;width:327;height:144" type="#_x0000_t75" stroked="false">
              <v:imagedata r:id="rId74" o:title=""/>
            </v:shape>
            <v:shape style="position:absolute;left:3028;top:570;width:322;height:144" type="#_x0000_t75" stroked="false">
              <v:imagedata r:id="rId75" o:title=""/>
            </v:shape>
            <v:shape style="position:absolute;left:6268;top:464;width:322;height:140" type="#_x0000_t75" stroked="false">
              <v:imagedata r:id="rId76" o:title=""/>
            </v:shape>
            <v:shape style="position:absolute;left:7886;top:402;width:327;height:144" type="#_x0000_t75" stroked="false">
              <v:imagedata r:id="rId74" o:title=""/>
            </v:shape>
            <v:shape style="position:absolute;left:9508;top:464;width:322;height:144" type="#_x0000_t75" stroked="false">
              <v:imagedata r:id="rId75" o:title=""/>
            </v:shape>
            <v:shape style="position:absolute;left:1622;top:757;width:327;height:1551" type="#_x0000_t75" stroked="false">
              <v:imagedata r:id="rId77" o:title=""/>
            </v:shape>
            <v:shape style="position:absolute;left:1622;top:2519;width:327;height:140" type="#_x0000_t75" stroked="false">
              <v:imagedata r:id="rId78" o:title=""/>
            </v:shape>
            <v:shape style="position:absolute;left:2179;top:2413;width:888;height:370" type="#_x0000_t75" stroked="false">
              <v:imagedata r:id="rId79" o:title=""/>
            </v:shape>
            <v:shape style="position:absolute;left:3801;top:2408;width:888;height:384" type="#_x0000_t75" stroked="false">
              <v:imagedata r:id="rId80" o:title=""/>
            </v:shape>
            <v:shape style="position:absolute;left:5424;top:2437;width:888;height:389" type="#_x0000_t75" stroked="false">
              <v:imagedata r:id="rId81" o:title=""/>
            </v:shape>
            <v:shape style="position:absolute;left:7041;top:2423;width:888;height:399" type="#_x0000_t75" stroked="false">
              <v:imagedata r:id="rId82" o:title=""/>
            </v:shape>
            <v:shape style="position:absolute;left:8664;top:2427;width:888;height:394" type="#_x0000_t75" stroked="false">
              <v:imagedata r:id="rId81" o:title=""/>
            </v:shape>
            <v:shape style="position:absolute;left:1622;top:2869;width:327;height:144" type="#_x0000_t75" stroked="false">
              <v:imagedata r:id="rId74" o:title=""/>
            </v:shape>
            <v:shape style="position:absolute;left:2721;top:3056;width:370;height:140" type="#_x0000_t75" stroked="false">
              <v:imagedata r:id="rId21" o:title=""/>
            </v:shape>
            <v:shape style="position:absolute;left:4344;top:3056;width:365;height:140" type="#_x0000_t75" stroked="false">
              <v:imagedata r:id="rId83" o:title=""/>
            </v:shape>
            <v:shape style="position:absolute;left:5966;top:3056;width:365;height:140" type="#_x0000_t75" stroked="false">
              <v:imagedata r:id="rId83" o:title=""/>
            </v:shape>
            <v:shape style="position:absolute;left:7584;top:3056;width:365;height:140" type="#_x0000_t75" stroked="false">
              <v:imagedata r:id="rId83" o:title=""/>
            </v:shape>
            <v:shape style="position:absolute;left:9206;top:3056;width:365;height:140" type="#_x0000_t75" stroked="false">
              <v:imagedata r:id="rId83" o:title=""/>
            </v:shape>
            <v:shape style="position:absolute;left:2342;top:3368;width:754;height:144" type="#_x0000_t75" stroked="false">
              <v:imagedata r:id="rId84" o:title=""/>
            </v:shape>
            <v:shape style="position:absolute;left:3470;top:3368;width:1018;height:144" type="#_x0000_t75" stroked="false">
              <v:imagedata r:id="rId85" o:title=""/>
            </v:shape>
            <v:shape style="position:absolute;left:4862;top:3368;width:1176;height:144" type="#_x0000_t75" stroked="false">
              <v:imagedata r:id="rId86" o:title=""/>
            </v:shape>
            <v:shape style="position:absolute;left:6412;top:3368;width:1575;height:144" type="#_x0000_t75" stroked="false">
              <v:imagedata r:id="rId87" o:title=""/>
            </v:shape>
            <v:shape style="position:absolute;left:8361;top:3368;width:1412;height:144" type="#_x0000_t75" stroked="false">
              <v:imagedata r:id="rId88" o:title=""/>
            </v:shape>
            <v:shape style="position:absolute;left:3316;top:786;width:284;height:432" type="#_x0000_t75" stroked="false">
              <v:imagedata r:id="rId89" o:title=""/>
            </v:shape>
            <v:shape style="position:absolute;left:9801;top:685;width:279;height:408" type="#_x0000_t75" stroked="false">
              <v:imagedata r:id="rId90" o:title=""/>
            </v:shape>
            <v:shape style="position:absolute;left:6561;top:680;width:279;height:452" type="#_x0000_t75" stroked="false">
              <v:imagedata r:id="rId91" o:title=""/>
            </v:shape>
            <v:shape style="position:absolute;left:8179;top:618;width:284;height:456" type="#_x0000_t75" stroked="false">
              <v:imagedata r:id="rId92" o:title=""/>
            </v:shape>
            <v:shape style="position:absolute;left:4939;top:613;width:284;height:442" type="#_x0000_t75" stroked="false">
              <v:imagedata r:id="rId93" o:title=""/>
            </v:shape>
            <v:shape style="position:absolute;left:2343;top:3066;width:7247;height:500" type="#_x0000_t202" filled="false" stroked="false">
              <v:textbox inset="0,0,0,0">
                <w:txbxContent>
                  <w:p>
                    <w:pPr>
                      <w:tabs>
                        <w:tab w:pos="2001" w:val="left" w:leader="none"/>
                        <w:tab w:pos="3625" w:val="left" w:leader="none"/>
                        <w:tab w:pos="5243" w:val="left" w:leader="none"/>
                        <w:tab w:pos="6861" w:val="left" w:leader="none"/>
                      </w:tabs>
                      <w:spacing w:line="185" w:lineRule="exact" w:before="0"/>
                      <w:ind w:left="379" w:right="0" w:firstLine="0"/>
                      <w:jc w:val="left"/>
                      <w:rPr>
                        <w:rFonts w:ascii="Calibri"/>
                        <w:sz w:val="18"/>
                      </w:rPr>
                    </w:pPr>
                    <w:r>
                      <w:rPr>
                        <w:rFonts w:ascii="Calibri"/>
                        <w:color w:val="575757"/>
                        <w:sz w:val="18"/>
                      </w:rPr>
                      <w:t>2015</w:t>
                      <w:tab/>
                      <w:t>2016</w:t>
                      <w:tab/>
                      <w:t>2017</w:t>
                      <w:tab/>
                      <w:t>2018</w:t>
                      <w:tab/>
                      <w:t>2019</w:t>
                    </w:r>
                  </w:p>
                  <w:p>
                    <w:pPr>
                      <w:tabs>
                        <w:tab w:pos="1128" w:val="left" w:leader="none"/>
                        <w:tab w:pos="2520" w:val="left" w:leader="none"/>
                        <w:tab w:pos="4071" w:val="left" w:leader="none"/>
                        <w:tab w:pos="6020" w:val="left" w:leader="none"/>
                      </w:tabs>
                      <w:spacing w:line="217" w:lineRule="exact" w:before="97"/>
                      <w:ind w:left="0" w:right="0" w:firstLine="0"/>
                      <w:jc w:val="left"/>
                      <w:rPr>
                        <w:rFonts w:ascii="Calibri"/>
                        <w:sz w:val="18"/>
                      </w:rPr>
                    </w:pPr>
                    <w:r>
                      <w:rPr>
                        <w:rFonts w:ascii="Calibri"/>
                        <w:color w:val="575757"/>
                        <w:sz w:val="18"/>
                      </w:rPr>
                      <w:t>Cash</w:t>
                      <w:tab/>
                      <w:t>Cash</w:t>
                    </w:r>
                    <w:r>
                      <w:rPr>
                        <w:rFonts w:ascii="Calibri"/>
                        <w:color w:val="575757"/>
                        <w:spacing w:val="-2"/>
                        <w:sz w:val="18"/>
                      </w:rPr>
                      <w:t> </w:t>
                    </w:r>
                    <w:r>
                      <w:rPr>
                        <w:rFonts w:ascii="Calibri"/>
                        <w:color w:val="575757"/>
                        <w:sz w:val="18"/>
                      </w:rPr>
                      <w:t>to</w:t>
                      <w:tab/>
                      <w:t>Cash</w:t>
                    </w:r>
                    <w:r>
                      <w:rPr>
                        <w:rFonts w:ascii="Calibri"/>
                        <w:color w:val="575757"/>
                        <w:spacing w:val="-2"/>
                        <w:sz w:val="18"/>
                      </w:rPr>
                      <w:t> </w:t>
                    </w:r>
                    <w:r>
                      <w:rPr>
                        <w:rFonts w:ascii="Calibri"/>
                        <w:color w:val="575757"/>
                        <w:sz w:val="18"/>
                      </w:rPr>
                      <w:t>to</w:t>
                      <w:tab/>
                      <w:t>Loans</w:t>
                    </w:r>
                    <w:r>
                      <w:rPr>
                        <w:rFonts w:ascii="Calibri"/>
                        <w:color w:val="575757"/>
                        <w:spacing w:val="-1"/>
                        <w:sz w:val="18"/>
                      </w:rPr>
                      <w:t> </w:t>
                    </w:r>
                    <w:r>
                      <w:rPr>
                        <w:rFonts w:ascii="Calibri"/>
                        <w:color w:val="575757"/>
                        <w:sz w:val="18"/>
                      </w:rPr>
                      <w:t>to</w:t>
                    </w:r>
                    <w:r>
                      <w:rPr>
                        <w:rFonts w:ascii="Calibri"/>
                        <w:color w:val="575757"/>
                        <w:spacing w:val="-7"/>
                        <w:sz w:val="18"/>
                      </w:rPr>
                      <w:t> </w:t>
                    </w:r>
                    <w:r>
                      <w:rPr>
                        <w:rFonts w:ascii="Calibri"/>
                        <w:color w:val="575757"/>
                        <w:sz w:val="18"/>
                      </w:rPr>
                      <w:t>Total</w:t>
                      <w:tab/>
                      <w:t>Loans to</w:t>
                    </w:r>
                    <w:r>
                      <w:rPr>
                        <w:rFonts w:ascii="Calibri"/>
                        <w:color w:val="575757"/>
                        <w:spacing w:val="-6"/>
                        <w:sz w:val="18"/>
                      </w:rPr>
                      <w:t> </w:t>
                    </w:r>
                    <w:r>
                      <w:rPr>
                        <w:rFonts w:ascii="Calibri"/>
                        <w:color w:val="575757"/>
                        <w:sz w:val="18"/>
                      </w:rPr>
                      <w:t>Total</w:t>
                    </w:r>
                  </w:p>
                </w:txbxContent>
              </v:textbox>
              <w10:wrap type="none"/>
            </v:shape>
            <v:shape style="position:absolute;left:8960;top:2436;width:545;height:404" type="#_x0000_t202" filled="false" stroked="false">
              <v:textbox inset="0,0,0,0">
                <w:txbxContent>
                  <w:p>
                    <w:pPr>
                      <w:spacing w:line="217" w:lineRule="exact" w:before="0"/>
                      <w:ind w:left="0" w:right="0" w:firstLine="0"/>
                      <w:jc w:val="left"/>
                      <w:rPr>
                        <w:rFonts w:ascii="Calibri"/>
                        <w:sz w:val="18"/>
                      </w:rPr>
                    </w:pPr>
                    <w:r>
                      <w:rPr>
                        <w:rFonts w:ascii="Calibri"/>
                        <w:color w:val="404040"/>
                        <w:spacing w:val="-5"/>
                        <w:sz w:val="18"/>
                      </w:rPr>
                      <w:t>0.07</w:t>
                    </w:r>
                    <w:r>
                      <w:rPr>
                        <w:rFonts w:ascii="Calibri"/>
                        <w:color w:val="404040"/>
                        <w:spacing w:val="-5"/>
                        <w:position w:val="6"/>
                        <w:sz w:val="18"/>
                      </w:rPr>
                      <w:t>0.0</w:t>
                    </w:r>
                  </w:p>
                  <w:p>
                    <w:pPr>
                      <w:spacing w:line="187" w:lineRule="exact" w:before="0"/>
                      <w:ind w:left="0" w:right="0" w:firstLine="0"/>
                      <w:jc w:val="left"/>
                      <w:rPr>
                        <w:rFonts w:ascii="Calibri"/>
                        <w:sz w:val="18"/>
                      </w:rPr>
                    </w:pPr>
                    <w:r>
                      <w:rPr>
                        <w:rFonts w:ascii="Calibri"/>
                        <w:color w:val="404040"/>
                        <w:w w:val="101"/>
                        <w:sz w:val="18"/>
                      </w:rPr>
                      <w:t>8</w:t>
                    </w:r>
                  </w:p>
                </w:txbxContent>
              </v:textbox>
              <w10:wrap type="none"/>
            </v:shape>
            <v:shape style="position:absolute;left:7337;top:2431;width:550;height:404" type="#_x0000_t202" filled="false" stroked="false">
              <v:textbox inset="0,0,0,0">
                <w:txbxContent>
                  <w:p>
                    <w:pPr>
                      <w:spacing w:line="217" w:lineRule="exact" w:before="0"/>
                      <w:ind w:left="0" w:right="0" w:firstLine="0"/>
                      <w:jc w:val="left"/>
                      <w:rPr>
                        <w:rFonts w:ascii="Calibri"/>
                        <w:sz w:val="18"/>
                      </w:rPr>
                    </w:pPr>
                    <w:r>
                      <w:rPr>
                        <w:rFonts w:ascii="Calibri"/>
                        <w:color w:val="404040"/>
                        <w:sz w:val="18"/>
                      </w:rPr>
                      <w:t>0.07</w:t>
                    </w:r>
                    <w:r>
                      <w:rPr>
                        <w:rFonts w:ascii="Calibri"/>
                        <w:color w:val="404040"/>
                        <w:position w:val="6"/>
                        <w:sz w:val="18"/>
                      </w:rPr>
                      <w:t>0.0</w:t>
                    </w:r>
                  </w:p>
                  <w:p>
                    <w:pPr>
                      <w:spacing w:line="187" w:lineRule="exact" w:before="0"/>
                      <w:ind w:left="0" w:right="0" w:firstLine="0"/>
                      <w:jc w:val="left"/>
                      <w:rPr>
                        <w:rFonts w:ascii="Calibri"/>
                        <w:sz w:val="18"/>
                      </w:rPr>
                    </w:pPr>
                    <w:r>
                      <w:rPr>
                        <w:rFonts w:ascii="Calibri"/>
                        <w:color w:val="404040"/>
                        <w:w w:val="101"/>
                        <w:sz w:val="18"/>
                      </w:rPr>
                      <w:t>8</w:t>
                    </w:r>
                  </w:p>
                </w:txbxContent>
              </v:textbox>
              <w10:wrap type="none"/>
            </v:shape>
            <v:shape style="position:absolute;left:5718;top:2446;width:550;height:404" type="#_x0000_t202" filled="false" stroked="false">
              <v:textbox inset="0,0,0,0">
                <w:txbxContent>
                  <w:p>
                    <w:pPr>
                      <w:spacing w:line="217" w:lineRule="exact" w:before="0"/>
                      <w:ind w:left="0" w:right="0" w:firstLine="0"/>
                      <w:jc w:val="left"/>
                      <w:rPr>
                        <w:rFonts w:ascii="Calibri"/>
                        <w:sz w:val="18"/>
                      </w:rPr>
                    </w:pPr>
                    <w:r>
                      <w:rPr>
                        <w:rFonts w:ascii="Calibri"/>
                        <w:color w:val="404040"/>
                        <w:sz w:val="18"/>
                      </w:rPr>
                      <w:t>0.06</w:t>
                    </w:r>
                    <w:r>
                      <w:rPr>
                        <w:rFonts w:ascii="Calibri"/>
                        <w:color w:val="404040"/>
                        <w:position w:val="6"/>
                        <w:sz w:val="18"/>
                      </w:rPr>
                      <w:t>0.0</w:t>
                    </w:r>
                  </w:p>
                  <w:p>
                    <w:pPr>
                      <w:spacing w:line="187" w:lineRule="exact" w:before="0"/>
                      <w:ind w:left="0" w:right="0" w:firstLine="0"/>
                      <w:jc w:val="left"/>
                      <w:rPr>
                        <w:rFonts w:ascii="Calibri"/>
                        <w:sz w:val="18"/>
                      </w:rPr>
                    </w:pPr>
                    <w:r>
                      <w:rPr>
                        <w:rFonts w:ascii="Calibri"/>
                        <w:color w:val="404040"/>
                        <w:w w:val="101"/>
                        <w:sz w:val="18"/>
                      </w:rPr>
                      <w:t>8</w:t>
                    </w:r>
                  </w:p>
                </w:txbxContent>
              </v:textbox>
              <w10:wrap type="none"/>
            </v:shape>
            <v:shape style="position:absolute;left:4095;top:2417;width:550;height:404" type="#_x0000_t202" filled="false" stroked="false">
              <v:textbox inset="0,0,0,0">
                <w:txbxContent>
                  <w:p>
                    <w:pPr>
                      <w:spacing w:line="217" w:lineRule="exact" w:before="0"/>
                      <w:ind w:left="0" w:right="0" w:firstLine="0"/>
                      <w:jc w:val="left"/>
                      <w:rPr>
                        <w:rFonts w:ascii="Calibri"/>
                        <w:sz w:val="18"/>
                      </w:rPr>
                    </w:pPr>
                    <w:r>
                      <w:rPr>
                        <w:rFonts w:ascii="Calibri"/>
                        <w:color w:val="404040"/>
                        <w:sz w:val="18"/>
                      </w:rPr>
                      <w:t>0.07</w:t>
                    </w:r>
                    <w:r>
                      <w:rPr>
                        <w:rFonts w:ascii="Calibri"/>
                        <w:color w:val="404040"/>
                        <w:position w:val="6"/>
                        <w:sz w:val="18"/>
                      </w:rPr>
                      <w:t>0.0</w:t>
                    </w:r>
                  </w:p>
                  <w:p>
                    <w:pPr>
                      <w:spacing w:line="187" w:lineRule="exact" w:before="0"/>
                      <w:ind w:left="0" w:right="0" w:firstLine="0"/>
                      <w:jc w:val="left"/>
                      <w:rPr>
                        <w:rFonts w:ascii="Calibri"/>
                        <w:sz w:val="18"/>
                      </w:rPr>
                    </w:pPr>
                    <w:r>
                      <w:rPr>
                        <w:rFonts w:ascii="Calibri"/>
                        <w:color w:val="404040"/>
                        <w:w w:val="101"/>
                        <w:sz w:val="18"/>
                      </w:rPr>
                      <w:t>9</w:t>
                    </w:r>
                  </w:p>
                </w:txbxContent>
              </v:textbox>
              <w10:wrap type="none"/>
            </v:shape>
            <v:shape style="position:absolute;left:2473;top:2427;width:545;height:409" type="#_x0000_t202" filled="false" stroked="false">
              <v:textbox inset="0,0,0,0">
                <w:txbxContent>
                  <w:p>
                    <w:pPr>
                      <w:spacing w:line="225" w:lineRule="exact" w:before="0"/>
                      <w:ind w:left="0" w:right="0" w:firstLine="0"/>
                      <w:jc w:val="left"/>
                      <w:rPr>
                        <w:rFonts w:ascii="Calibri"/>
                        <w:sz w:val="18"/>
                      </w:rPr>
                    </w:pPr>
                    <w:r>
                      <w:rPr>
                        <w:rFonts w:ascii="Calibri"/>
                        <w:color w:val="404040"/>
                        <w:spacing w:val="-5"/>
                        <w:sz w:val="18"/>
                      </w:rPr>
                      <w:t>0.07</w:t>
                    </w:r>
                    <w:r>
                      <w:rPr>
                        <w:rFonts w:ascii="Calibri"/>
                        <w:color w:val="404040"/>
                        <w:spacing w:val="-5"/>
                        <w:position w:val="7"/>
                        <w:sz w:val="18"/>
                      </w:rPr>
                      <w:t>0.0</w:t>
                    </w:r>
                  </w:p>
                  <w:p>
                    <w:pPr>
                      <w:spacing w:line="184" w:lineRule="exact" w:before="0"/>
                      <w:ind w:left="0" w:right="0" w:firstLine="0"/>
                      <w:jc w:val="left"/>
                      <w:rPr>
                        <w:rFonts w:ascii="Calibri"/>
                        <w:sz w:val="18"/>
                      </w:rPr>
                    </w:pPr>
                    <w:r>
                      <w:rPr>
                        <w:rFonts w:ascii="Calibri"/>
                        <w:color w:val="404040"/>
                        <w:w w:val="101"/>
                        <w:sz w:val="18"/>
                      </w:rPr>
                      <w:t>9</w:t>
                    </w:r>
                  </w:p>
                </w:txbxContent>
              </v:textbox>
              <w10:wrap type="none"/>
            </v:shape>
            <v:shape style="position:absolute;left:1622;top:1203;width:343;height:1858" type="#_x0000_t202" filled="false" stroked="false">
              <v:textbox inset="0,0,0,0">
                <w:txbxContent>
                  <w:p>
                    <w:pPr>
                      <w:spacing w:line="185" w:lineRule="exact" w:before="0"/>
                      <w:ind w:left="0" w:right="0" w:firstLine="0"/>
                      <w:jc w:val="left"/>
                      <w:rPr>
                        <w:rFonts w:ascii="Calibri"/>
                        <w:sz w:val="18"/>
                      </w:rPr>
                    </w:pPr>
                    <w:r>
                      <w:rPr>
                        <w:rFonts w:ascii="Calibri"/>
                        <w:color w:val="575757"/>
                        <w:sz w:val="18"/>
                      </w:rPr>
                      <w:t>0.50</w:t>
                    </w:r>
                  </w:p>
                  <w:p>
                    <w:pPr>
                      <w:spacing w:line="240" w:lineRule="auto" w:before="8"/>
                      <w:rPr>
                        <w:b/>
                        <w:sz w:val="19"/>
                      </w:rPr>
                    </w:pPr>
                  </w:p>
                  <w:p>
                    <w:pPr>
                      <w:spacing w:before="0"/>
                      <w:ind w:left="0" w:right="0" w:firstLine="0"/>
                      <w:jc w:val="left"/>
                      <w:rPr>
                        <w:rFonts w:ascii="Calibri"/>
                        <w:sz w:val="18"/>
                      </w:rPr>
                    </w:pPr>
                    <w:r>
                      <w:rPr>
                        <w:rFonts w:ascii="Calibri"/>
                        <w:color w:val="575757"/>
                        <w:sz w:val="18"/>
                      </w:rPr>
                      <w:t>0.40</w:t>
                    </w:r>
                  </w:p>
                  <w:p>
                    <w:pPr>
                      <w:spacing w:line="240" w:lineRule="auto" w:before="8"/>
                      <w:rPr>
                        <w:b/>
                        <w:sz w:val="19"/>
                      </w:rPr>
                    </w:pPr>
                  </w:p>
                  <w:p>
                    <w:pPr>
                      <w:spacing w:before="0"/>
                      <w:ind w:left="0" w:right="0" w:firstLine="0"/>
                      <w:jc w:val="left"/>
                      <w:rPr>
                        <w:rFonts w:ascii="Calibri"/>
                        <w:sz w:val="18"/>
                      </w:rPr>
                    </w:pPr>
                    <w:r>
                      <w:rPr>
                        <w:rFonts w:ascii="Calibri"/>
                        <w:color w:val="575757"/>
                        <w:sz w:val="18"/>
                      </w:rPr>
                      <w:t>0.30</w:t>
                    </w:r>
                  </w:p>
                  <w:p>
                    <w:pPr>
                      <w:spacing w:line="240" w:lineRule="auto" w:before="5"/>
                      <w:rPr>
                        <w:b/>
                        <w:sz w:val="18"/>
                      </w:rPr>
                    </w:pPr>
                  </w:p>
                  <w:p>
                    <w:pPr>
                      <w:spacing w:before="0"/>
                      <w:ind w:left="0" w:right="0" w:firstLine="0"/>
                      <w:jc w:val="left"/>
                      <w:rPr>
                        <w:rFonts w:ascii="Calibri"/>
                        <w:sz w:val="18"/>
                      </w:rPr>
                    </w:pPr>
                    <w:r>
                      <w:rPr>
                        <w:rFonts w:ascii="Calibri"/>
                        <w:color w:val="575757"/>
                        <w:sz w:val="18"/>
                      </w:rPr>
                      <w:t>0.10</w:t>
                    </w:r>
                  </w:p>
                  <w:p>
                    <w:pPr>
                      <w:spacing w:line="217" w:lineRule="exact" w:before="131"/>
                      <w:ind w:left="0" w:right="0" w:firstLine="0"/>
                      <w:jc w:val="left"/>
                      <w:rPr>
                        <w:rFonts w:ascii="Calibri"/>
                        <w:sz w:val="18"/>
                      </w:rPr>
                    </w:pPr>
                    <w:r>
                      <w:rPr>
                        <w:rFonts w:ascii="Calibri"/>
                        <w:color w:val="575757"/>
                        <w:sz w:val="18"/>
                      </w:rPr>
                      <w:t>0.00</w:t>
                    </w:r>
                  </w:p>
                </w:txbxContent>
              </v:textbox>
              <w10:wrap type="none"/>
            </v:shape>
            <v:shape style="position:absolute;left:9791;top:928;width:252;height:183" type="#_x0000_t202" filled="false" stroked="false">
              <v:textbox inset="0,0,0,0">
                <w:txbxContent>
                  <w:p>
                    <w:pPr>
                      <w:spacing w:line="183" w:lineRule="exact" w:before="0"/>
                      <w:ind w:left="0" w:right="0" w:firstLine="0"/>
                      <w:jc w:val="left"/>
                      <w:rPr>
                        <w:rFonts w:ascii="Calibri"/>
                        <w:sz w:val="18"/>
                      </w:rPr>
                    </w:pPr>
                    <w:r>
                      <w:rPr>
                        <w:rFonts w:ascii="Calibri"/>
                        <w:color w:val="404040"/>
                        <w:sz w:val="18"/>
                      </w:rPr>
                      <w:t>0.5</w:t>
                    </w:r>
                  </w:p>
                </w:txbxContent>
              </v:textbox>
              <w10:wrap type="none"/>
            </v:shape>
            <v:shape style="position:absolute;left:8167;top:924;width:252;height:183" type="#_x0000_t202" filled="false" stroked="false">
              <v:textbox inset="0,0,0,0">
                <w:txbxContent>
                  <w:p>
                    <w:pPr>
                      <w:spacing w:line="183" w:lineRule="exact" w:before="0"/>
                      <w:ind w:left="0" w:right="0" w:firstLine="0"/>
                      <w:jc w:val="left"/>
                      <w:rPr>
                        <w:rFonts w:ascii="Calibri"/>
                        <w:sz w:val="18"/>
                      </w:rPr>
                    </w:pPr>
                    <w:r>
                      <w:rPr>
                        <w:rFonts w:ascii="Calibri"/>
                        <w:color w:val="404040"/>
                        <w:sz w:val="18"/>
                      </w:rPr>
                      <w:t>0.5</w:t>
                    </w:r>
                  </w:p>
                </w:txbxContent>
              </v:textbox>
              <w10:wrap type="none"/>
            </v:shape>
            <v:shape style="position:absolute;left:6549;top:977;width:252;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0.5</w:t>
                    </w:r>
                  </w:p>
                </w:txbxContent>
              </v:textbox>
              <w10:wrap type="none"/>
            </v:shape>
            <v:shape style="position:absolute;left:3303;top:1059;width:252;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0.4</w:t>
                    </w:r>
                  </w:p>
                </w:txbxContent>
              </v:textbox>
              <w10:wrap type="none"/>
            </v:shape>
            <v:shape style="position:absolute;left:4926;top:900;width:252;height:183" type="#_x0000_t202" filled="false" stroked="false">
              <v:textbox inset="0,0,0,0">
                <w:txbxContent>
                  <w:p>
                    <w:pPr>
                      <w:spacing w:line="183" w:lineRule="exact" w:before="0"/>
                      <w:ind w:left="0" w:right="0" w:firstLine="0"/>
                      <w:jc w:val="left"/>
                      <w:rPr>
                        <w:rFonts w:ascii="Calibri"/>
                        <w:sz w:val="18"/>
                      </w:rPr>
                    </w:pPr>
                    <w:r>
                      <w:rPr>
                        <w:rFonts w:ascii="Calibri"/>
                        <w:color w:val="404040"/>
                        <w:sz w:val="18"/>
                      </w:rPr>
                      <w:t>0.5</w:t>
                    </w:r>
                  </w:p>
                </w:txbxContent>
              </v:textbox>
              <w10:wrap type="none"/>
            </v:shape>
            <v:shape style="position:absolute;left:1622;top:770;width:343;height:183" type="#_x0000_t202" filled="false" stroked="false">
              <v:textbox inset="0,0,0,0">
                <w:txbxContent>
                  <w:p>
                    <w:pPr>
                      <w:spacing w:line="183" w:lineRule="exact" w:before="0"/>
                      <w:ind w:left="0" w:right="0" w:firstLine="0"/>
                      <w:jc w:val="left"/>
                      <w:rPr>
                        <w:rFonts w:ascii="Calibri"/>
                        <w:sz w:val="18"/>
                      </w:rPr>
                    </w:pPr>
                    <w:r>
                      <w:rPr>
                        <w:rFonts w:ascii="Calibri"/>
                        <w:color w:val="575757"/>
                        <w:sz w:val="18"/>
                      </w:rPr>
                      <w:t>0.60</w:t>
                    </w:r>
                  </w:p>
                </w:txbxContent>
              </v:textbox>
              <w10:wrap type="none"/>
            </v:shape>
            <v:shape style="position:absolute;left:9512;top:478;width:343;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0.64</w:t>
                    </w:r>
                  </w:p>
                </w:txbxContent>
              </v:textbox>
              <w10:wrap type="none"/>
            </v:shape>
            <v:shape style="position:absolute;left:7889;top:415;width:343;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0.66</w:t>
                    </w:r>
                  </w:p>
                </w:txbxContent>
              </v:textbox>
              <w10:wrap type="none"/>
            </v:shape>
            <v:shape style="position:absolute;left:6271;top:473;width:343;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0.64</w:t>
                    </w:r>
                  </w:p>
                </w:txbxContent>
              </v:textbox>
              <w10:wrap type="none"/>
            </v:shape>
            <v:shape style="position:absolute;left:3029;top:583;width:343;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0.61</w:t>
                    </w:r>
                  </w:p>
                </w:txbxContent>
              </v:textbox>
              <w10:wrap type="none"/>
            </v:shape>
            <v:shape style="position:absolute;left:4648;top:410;width:343;height:183" type="#_x0000_t202" filled="false" stroked="false">
              <v:textbox inset="0,0,0,0">
                <w:txbxContent>
                  <w:p>
                    <w:pPr>
                      <w:spacing w:line="182" w:lineRule="exact" w:before="0"/>
                      <w:ind w:left="0" w:right="0" w:firstLine="0"/>
                      <w:jc w:val="left"/>
                      <w:rPr>
                        <w:rFonts w:ascii="Calibri"/>
                        <w:sz w:val="18"/>
                      </w:rPr>
                    </w:pPr>
                    <w:r>
                      <w:rPr>
                        <w:rFonts w:ascii="Calibri"/>
                        <w:color w:val="404040"/>
                        <w:sz w:val="18"/>
                      </w:rPr>
                      <w:t>0.66</w:t>
                    </w:r>
                  </w:p>
                </w:txbxContent>
              </v:textbox>
              <w10:wrap type="none"/>
            </v:shape>
            <v:shape style="position:absolute;left:1622;top:420;width:343;height:183" type="#_x0000_t202" filled="false" stroked="false">
              <v:textbox inset="0,0,0,0">
                <w:txbxContent>
                  <w:p>
                    <w:pPr>
                      <w:spacing w:line="182" w:lineRule="exact" w:before="0"/>
                      <w:ind w:left="0" w:right="0" w:firstLine="0"/>
                      <w:jc w:val="left"/>
                      <w:rPr>
                        <w:rFonts w:ascii="Calibri"/>
                        <w:sz w:val="18"/>
                      </w:rPr>
                    </w:pPr>
                    <w:r>
                      <w:rPr>
                        <w:rFonts w:ascii="Calibri"/>
                        <w:color w:val="575757"/>
                        <w:sz w:val="18"/>
                      </w:rPr>
                      <w:t>0.70</w:t>
                    </w:r>
                  </w:p>
                </w:txbxContent>
              </v:textbox>
              <w10:wrap type="none"/>
            </v:shape>
            <w10:wrap type="topAndBottom"/>
          </v:group>
        </w:pict>
      </w:r>
    </w:p>
    <w:p>
      <w:pPr>
        <w:pStyle w:val="BodyText"/>
        <w:spacing w:line="360" w:lineRule="auto" w:before="258"/>
        <w:ind w:left="340" w:right="135"/>
        <w:jc w:val="both"/>
      </w:pPr>
      <w:r>
        <w:rPr>
          <w:b/>
        </w:rPr>
        <w:t>Interpretation:</w:t>
      </w:r>
      <w:r>
        <w:rPr>
          <w:b/>
          <w:spacing w:val="-1"/>
        </w:rPr>
        <w:t> </w:t>
      </w:r>
      <w:r>
        <w:rPr/>
        <w:t>In</w:t>
      </w:r>
      <w:r>
        <w:rPr>
          <w:spacing w:val="-7"/>
        </w:rPr>
        <w:t> </w:t>
      </w:r>
      <w:r>
        <w:rPr/>
        <w:t>accounting,</w:t>
      </w:r>
      <w:r>
        <w:rPr>
          <w:spacing w:val="-2"/>
        </w:rPr>
        <w:t> </w:t>
      </w:r>
      <w:r>
        <w:rPr/>
        <w:t>the</w:t>
      </w:r>
      <w:r>
        <w:rPr>
          <w:spacing w:val="-4"/>
        </w:rPr>
        <w:t> </w:t>
      </w:r>
      <w:r>
        <w:rPr/>
        <w:t>term</w:t>
      </w:r>
      <w:r>
        <w:rPr>
          <w:spacing w:val="-7"/>
        </w:rPr>
        <w:t> </w:t>
      </w:r>
      <w:r>
        <w:rPr/>
        <w:t>liquidity</w:t>
      </w:r>
      <w:r>
        <w:rPr>
          <w:spacing w:val="-12"/>
        </w:rPr>
        <w:t> </w:t>
      </w:r>
      <w:r>
        <w:rPr>
          <w:spacing w:val="-3"/>
        </w:rPr>
        <w:t>is</w:t>
      </w:r>
      <w:r>
        <w:rPr>
          <w:spacing w:val="-1"/>
        </w:rPr>
        <w:t> </w:t>
      </w:r>
      <w:r>
        <w:rPr/>
        <w:t>defined</w:t>
      </w:r>
      <w:r>
        <w:rPr>
          <w:spacing w:val="-3"/>
        </w:rPr>
        <w:t> </w:t>
      </w:r>
      <w:r>
        <w:rPr/>
        <w:t>as</w:t>
      </w:r>
      <w:r>
        <w:rPr>
          <w:spacing w:val="-1"/>
        </w:rPr>
        <w:t> </w:t>
      </w:r>
      <w:r>
        <w:rPr/>
        <w:t>the</w:t>
      </w:r>
      <w:r>
        <w:rPr>
          <w:spacing w:val="-5"/>
        </w:rPr>
        <w:t> </w:t>
      </w:r>
      <w:r>
        <w:rPr/>
        <w:t>ability</w:t>
      </w:r>
      <w:r>
        <w:rPr>
          <w:spacing w:val="-17"/>
        </w:rPr>
        <w:t> </w:t>
      </w:r>
      <w:r>
        <w:rPr>
          <w:spacing w:val="4"/>
        </w:rPr>
        <w:t>of</w:t>
      </w:r>
      <w:r>
        <w:rPr>
          <w:spacing w:val="-12"/>
        </w:rPr>
        <w:t> </w:t>
      </w:r>
      <w:r>
        <w:rPr/>
        <w:t>a</w:t>
      </w:r>
      <w:r>
        <w:rPr>
          <w:spacing w:val="-5"/>
        </w:rPr>
        <w:t> </w:t>
      </w:r>
      <w:r>
        <w:rPr/>
        <w:t>company</w:t>
      </w:r>
      <w:r>
        <w:rPr>
          <w:spacing w:val="-13"/>
        </w:rPr>
        <w:t> </w:t>
      </w:r>
      <w:r>
        <w:rPr>
          <w:spacing w:val="2"/>
        </w:rPr>
        <w:t>to</w:t>
      </w:r>
      <w:r>
        <w:rPr>
          <w:spacing w:val="1"/>
        </w:rPr>
        <w:t> </w:t>
      </w:r>
      <w:r>
        <w:rPr>
          <w:spacing w:val="-3"/>
        </w:rPr>
        <w:t>meet</w:t>
      </w:r>
      <w:r>
        <w:rPr>
          <w:spacing w:val="6"/>
        </w:rPr>
        <w:t> </w:t>
      </w:r>
      <w:r>
        <w:rPr/>
        <w:t>its financial</w:t>
      </w:r>
      <w:r>
        <w:rPr>
          <w:spacing w:val="-13"/>
        </w:rPr>
        <w:t> </w:t>
      </w:r>
      <w:r>
        <w:rPr/>
        <w:t>obligations</w:t>
      </w:r>
      <w:r>
        <w:rPr>
          <w:spacing w:val="-7"/>
        </w:rPr>
        <w:t> </w:t>
      </w:r>
      <w:r>
        <w:rPr/>
        <w:t>as</w:t>
      </w:r>
      <w:r>
        <w:rPr>
          <w:spacing w:val="-8"/>
        </w:rPr>
        <w:t> </w:t>
      </w:r>
      <w:r>
        <w:rPr/>
        <w:t>they</w:t>
      </w:r>
      <w:r>
        <w:rPr>
          <w:spacing w:val="-19"/>
        </w:rPr>
        <w:t> </w:t>
      </w:r>
      <w:r>
        <w:rPr/>
        <w:t>come</w:t>
      </w:r>
      <w:r>
        <w:rPr>
          <w:spacing w:val="-10"/>
        </w:rPr>
        <w:t> </w:t>
      </w:r>
      <w:r>
        <w:rPr/>
        <w:t>due.</w:t>
      </w:r>
      <w:r>
        <w:rPr>
          <w:spacing w:val="-8"/>
        </w:rPr>
        <w:t> </w:t>
      </w:r>
      <w:r>
        <w:rPr/>
        <w:t>The</w:t>
      </w:r>
      <w:r>
        <w:rPr>
          <w:spacing w:val="-11"/>
        </w:rPr>
        <w:t> </w:t>
      </w:r>
      <w:r>
        <w:rPr/>
        <w:t>cash</w:t>
      </w:r>
      <w:r>
        <w:rPr>
          <w:spacing w:val="-10"/>
        </w:rPr>
        <w:t> </w:t>
      </w:r>
      <w:r>
        <w:rPr/>
        <w:t>ratio</w:t>
      </w:r>
      <w:r>
        <w:rPr>
          <w:spacing w:val="-4"/>
        </w:rPr>
        <w:t> </w:t>
      </w:r>
      <w:r>
        <w:rPr/>
        <w:t>or</w:t>
      </w:r>
      <w:r>
        <w:rPr>
          <w:spacing w:val="-9"/>
        </w:rPr>
        <w:t> </w:t>
      </w:r>
      <w:r>
        <w:rPr/>
        <w:t>money</w:t>
      </w:r>
      <w:r>
        <w:rPr>
          <w:spacing w:val="-15"/>
        </w:rPr>
        <w:t> </w:t>
      </w:r>
      <w:r>
        <w:rPr/>
        <w:t>coverage</w:t>
      </w:r>
      <w:r>
        <w:rPr>
          <w:spacing w:val="-9"/>
        </w:rPr>
        <w:t> </w:t>
      </w:r>
      <w:r>
        <w:rPr/>
        <w:t>ratio</w:t>
      </w:r>
      <w:r>
        <w:rPr>
          <w:spacing w:val="-5"/>
        </w:rPr>
        <w:t> </w:t>
      </w:r>
      <w:r>
        <w:rPr/>
        <w:t>could</w:t>
      </w:r>
      <w:r>
        <w:rPr>
          <w:spacing w:val="-1"/>
        </w:rPr>
        <w:t> </w:t>
      </w:r>
      <w:r>
        <w:rPr>
          <w:spacing w:val="-3"/>
        </w:rPr>
        <w:t>be</w:t>
      </w:r>
      <w:r>
        <w:rPr>
          <w:spacing w:val="-11"/>
        </w:rPr>
        <w:t> </w:t>
      </w:r>
      <w:r>
        <w:rPr/>
        <w:t>a</w:t>
      </w:r>
      <w:r>
        <w:rPr>
          <w:spacing w:val="-7"/>
        </w:rPr>
        <w:t> </w:t>
      </w:r>
      <w:r>
        <w:rPr/>
        <w:t>liquidity ratio that measures a </w:t>
      </w:r>
      <w:r>
        <w:rPr>
          <w:spacing w:val="-3"/>
        </w:rPr>
        <w:t>firm's </w:t>
      </w:r>
      <w:r>
        <w:rPr/>
        <w:t>ability to pay off its current liabilities with sole cash and cash equivalents. Cash ratio of BCBL 2015 </w:t>
      </w:r>
      <w:r>
        <w:rPr>
          <w:spacing w:val="-5"/>
        </w:rPr>
        <w:t>is </w:t>
      </w:r>
      <w:r>
        <w:rPr/>
        <w:t>0.02 and 2019 </w:t>
      </w:r>
      <w:r>
        <w:rPr>
          <w:spacing w:val="-5"/>
        </w:rPr>
        <w:t>it </w:t>
      </w:r>
      <w:r>
        <w:rPr/>
        <w:t>was 0.01 so its decrease cash ratio, </w:t>
      </w:r>
      <w:r>
        <w:rPr>
          <w:spacing w:val="-3"/>
        </w:rPr>
        <w:t>it’s </w:t>
      </w:r>
      <w:r>
        <w:rPr/>
        <w:t>not good for the BCBL. The cash asset ratio </w:t>
      </w:r>
      <w:r>
        <w:rPr>
          <w:spacing w:val="-5"/>
        </w:rPr>
        <w:t>is </w:t>
      </w:r>
      <w:r>
        <w:rPr/>
        <w:t>that the current worth of marketable securities and cash,</w:t>
      </w:r>
      <w:r>
        <w:rPr>
          <w:spacing w:val="-8"/>
        </w:rPr>
        <w:t> </w:t>
      </w:r>
      <w:r>
        <w:rPr/>
        <w:t>divided</w:t>
      </w:r>
      <w:r>
        <w:rPr>
          <w:spacing w:val="-10"/>
        </w:rPr>
        <w:t> </w:t>
      </w:r>
      <w:r>
        <w:rPr/>
        <w:t>by</w:t>
      </w:r>
      <w:r>
        <w:rPr>
          <w:spacing w:val="-19"/>
        </w:rPr>
        <w:t> </w:t>
      </w:r>
      <w:r>
        <w:rPr/>
        <w:t>the</w:t>
      </w:r>
      <w:r>
        <w:rPr>
          <w:spacing w:val="-16"/>
        </w:rPr>
        <w:t> </w:t>
      </w:r>
      <w:r>
        <w:rPr/>
        <w:t>company's</w:t>
      </w:r>
      <w:r>
        <w:rPr>
          <w:spacing w:val="-11"/>
        </w:rPr>
        <w:t> </w:t>
      </w:r>
      <w:r>
        <w:rPr/>
        <w:t>current</w:t>
      </w:r>
      <w:r>
        <w:rPr>
          <w:spacing w:val="-4"/>
        </w:rPr>
        <w:t> </w:t>
      </w:r>
      <w:r>
        <w:rPr/>
        <w:t>liabilities.</w:t>
      </w:r>
      <w:r>
        <w:rPr>
          <w:spacing w:val="-7"/>
        </w:rPr>
        <w:t> </w:t>
      </w:r>
      <w:r>
        <w:rPr/>
        <w:t>Cash</w:t>
      </w:r>
      <w:r>
        <w:rPr>
          <w:spacing w:val="-15"/>
        </w:rPr>
        <w:t> </w:t>
      </w:r>
      <w:r>
        <w:rPr/>
        <w:t>to</w:t>
      </w:r>
      <w:r>
        <w:rPr>
          <w:spacing w:val="-5"/>
        </w:rPr>
        <w:t> </w:t>
      </w:r>
      <w:r>
        <w:rPr/>
        <w:t>Assets</w:t>
      </w:r>
      <w:r>
        <w:rPr>
          <w:spacing w:val="-12"/>
        </w:rPr>
        <w:t> </w:t>
      </w:r>
      <w:r>
        <w:rPr/>
        <w:t>Ratio</w:t>
      </w:r>
      <w:r>
        <w:rPr>
          <w:spacing w:val="-6"/>
        </w:rPr>
        <w:t> </w:t>
      </w:r>
      <w:r>
        <w:rPr/>
        <w:t>of</w:t>
      </w:r>
      <w:r>
        <w:rPr>
          <w:spacing w:val="-17"/>
        </w:rPr>
        <w:t> </w:t>
      </w:r>
      <w:r>
        <w:rPr/>
        <w:t>BCBL</w:t>
      </w:r>
      <w:r>
        <w:rPr>
          <w:spacing w:val="-13"/>
        </w:rPr>
        <w:t> </w:t>
      </w:r>
      <w:r>
        <w:rPr>
          <w:spacing w:val="-3"/>
        </w:rPr>
        <w:t>is</w:t>
      </w:r>
      <w:r>
        <w:rPr>
          <w:spacing w:val="-12"/>
        </w:rPr>
        <w:t> </w:t>
      </w:r>
      <w:r>
        <w:rPr/>
        <w:t>2013-2017</w:t>
      </w:r>
      <w:r>
        <w:rPr>
          <w:spacing w:val="-11"/>
        </w:rPr>
        <w:t> </w:t>
      </w:r>
      <w:r>
        <w:rPr/>
        <w:t>was 0.07, 0.07, 0.06, 0.07, and 0.07. </w:t>
      </w:r>
      <w:r>
        <w:rPr>
          <w:spacing w:val="-4"/>
        </w:rPr>
        <w:t>And </w:t>
      </w:r>
      <w:r>
        <w:rPr/>
        <w:t>the cash-deposit ratio of scheduled BCBL (cash </w:t>
      </w:r>
      <w:r>
        <w:rPr>
          <w:spacing w:val="-3"/>
        </w:rPr>
        <w:t>in </w:t>
      </w:r>
      <w:r>
        <w:rPr/>
        <w:t>hand and balances</w:t>
      </w:r>
      <w:r>
        <w:rPr>
          <w:spacing w:val="-5"/>
        </w:rPr>
        <w:t> </w:t>
      </w:r>
      <w:r>
        <w:rPr/>
        <w:t>with</w:t>
      </w:r>
      <w:r>
        <w:rPr>
          <w:spacing w:val="-8"/>
        </w:rPr>
        <w:t> </w:t>
      </w:r>
      <w:r>
        <w:rPr/>
        <w:t>the</w:t>
      </w:r>
      <w:r>
        <w:rPr>
          <w:spacing w:val="-5"/>
        </w:rPr>
        <w:t> </w:t>
      </w:r>
      <w:r>
        <w:rPr/>
        <w:t>BCBL</w:t>
      </w:r>
      <w:r>
        <w:rPr>
          <w:spacing w:val="-11"/>
        </w:rPr>
        <w:t> </w:t>
      </w:r>
      <w:r>
        <w:rPr/>
        <w:t>as</w:t>
      </w:r>
      <w:r>
        <w:rPr>
          <w:spacing w:val="-6"/>
        </w:rPr>
        <w:t> </w:t>
      </w:r>
      <w:r>
        <w:rPr/>
        <w:t>a</w:t>
      </w:r>
      <w:r>
        <w:rPr>
          <w:spacing w:val="-5"/>
        </w:rPr>
        <w:t> </w:t>
      </w:r>
      <w:r>
        <w:rPr/>
        <w:t>percentage</w:t>
      </w:r>
      <w:r>
        <w:rPr>
          <w:spacing w:val="-8"/>
        </w:rPr>
        <w:t> </w:t>
      </w:r>
      <w:r>
        <w:rPr/>
        <w:t>of</w:t>
      </w:r>
      <w:r>
        <w:rPr>
          <w:spacing w:val="-12"/>
        </w:rPr>
        <w:t> </w:t>
      </w:r>
      <w:r>
        <w:rPr/>
        <w:t>deposits)</w:t>
      </w:r>
      <w:r>
        <w:rPr>
          <w:spacing w:val="4"/>
        </w:rPr>
        <w:t> </w:t>
      </w:r>
      <w:r>
        <w:rPr>
          <w:spacing w:val="-5"/>
        </w:rPr>
        <w:t>is</w:t>
      </w:r>
      <w:r>
        <w:rPr>
          <w:spacing w:val="-6"/>
        </w:rPr>
        <w:t> </w:t>
      </w:r>
      <w:r>
        <w:rPr/>
        <w:t>observed</w:t>
      </w:r>
      <w:r>
        <w:rPr>
          <w:spacing w:val="-3"/>
        </w:rPr>
        <w:t> </w:t>
      </w:r>
      <w:r>
        <w:rPr/>
        <w:t>to</w:t>
      </w:r>
      <w:r>
        <w:rPr>
          <w:spacing w:val="1"/>
        </w:rPr>
        <w:t> </w:t>
      </w:r>
      <w:r>
        <w:rPr>
          <w:spacing w:val="-3"/>
        </w:rPr>
        <w:t>be</w:t>
      </w:r>
      <w:r>
        <w:rPr>
          <w:spacing w:val="-5"/>
        </w:rPr>
        <w:t> </w:t>
      </w:r>
      <w:r>
        <w:rPr/>
        <w:t>high</w:t>
      </w:r>
      <w:r>
        <w:rPr>
          <w:spacing w:val="-8"/>
        </w:rPr>
        <w:t> </w:t>
      </w:r>
      <w:r>
        <w:rPr/>
        <w:t>at</w:t>
      </w:r>
      <w:r>
        <w:rPr>
          <w:spacing w:val="-2"/>
        </w:rPr>
        <w:t> </w:t>
      </w:r>
      <w:r>
        <w:rPr/>
        <w:t>.0.09</w:t>
      </w:r>
      <w:r>
        <w:rPr>
          <w:spacing w:val="-3"/>
        </w:rPr>
        <w:t> </w:t>
      </w:r>
      <w:r>
        <w:rPr/>
        <w:t>as</w:t>
      </w:r>
      <w:r>
        <w:rPr>
          <w:spacing w:val="-6"/>
        </w:rPr>
        <w:t> </w:t>
      </w:r>
      <w:r>
        <w:rPr>
          <w:spacing w:val="-3"/>
        </w:rPr>
        <w:t>at </w:t>
      </w:r>
      <w:r>
        <w:rPr/>
        <w:t>2016,</w:t>
      </w:r>
      <w:r>
        <w:rPr>
          <w:spacing w:val="-6"/>
        </w:rPr>
        <w:t> </w:t>
      </w:r>
      <w:r>
        <w:rPr>
          <w:spacing w:val="-3"/>
        </w:rPr>
        <w:t>it’s </w:t>
      </w:r>
      <w:r>
        <w:rPr/>
        <w:t>not the good </w:t>
      </w:r>
      <w:r>
        <w:rPr>
          <w:spacing w:val="-4"/>
        </w:rPr>
        <w:t>side </w:t>
      </w:r>
      <w:r>
        <w:rPr/>
        <w:t>for the bank. The loan-to-deposit ratio (LTD) </w:t>
      </w:r>
      <w:r>
        <w:rPr>
          <w:spacing w:val="-3"/>
        </w:rPr>
        <w:t>may be </w:t>
      </w:r>
      <w:r>
        <w:rPr/>
        <w:t>a normally used statistic for assessing a bank's liquidity by dividing the bank's total loans by its total deposits. Loans </w:t>
      </w:r>
      <w:r>
        <w:rPr>
          <w:spacing w:val="2"/>
        </w:rPr>
        <w:t>to </w:t>
      </w:r>
      <w:r>
        <w:rPr/>
        <w:t>Deposits Ratio 2015-2019 was 0.61, 0.66, 0.64, 0.66, and 0.64. A financial quantitative relation that measures the extent of a company's or consumer's leverage. The debt ratio </w:t>
      </w:r>
      <w:r>
        <w:rPr>
          <w:spacing w:val="-5"/>
        </w:rPr>
        <w:t>is </w:t>
      </w:r>
      <w:r>
        <w:rPr/>
        <w:t>outlined as the ratio</w:t>
      </w:r>
      <w:r>
        <w:rPr>
          <w:spacing w:val="-12"/>
        </w:rPr>
        <w:t> </w:t>
      </w:r>
      <w:r>
        <w:rPr/>
        <w:t>of</w:t>
      </w:r>
      <w:r>
        <w:rPr>
          <w:spacing w:val="-20"/>
        </w:rPr>
        <w:t> </w:t>
      </w:r>
      <w:r>
        <w:rPr/>
        <w:t>total</w:t>
      </w:r>
      <w:r>
        <w:rPr>
          <w:spacing w:val="-21"/>
        </w:rPr>
        <w:t> </w:t>
      </w:r>
      <w:r>
        <w:rPr/>
        <w:t>–</w:t>
      </w:r>
      <w:r>
        <w:rPr>
          <w:spacing w:val="-8"/>
        </w:rPr>
        <w:t> </w:t>
      </w:r>
      <w:r>
        <w:rPr/>
        <w:t>long-term</w:t>
      </w:r>
      <w:r>
        <w:rPr>
          <w:spacing w:val="-21"/>
        </w:rPr>
        <w:t> </w:t>
      </w:r>
      <w:r>
        <w:rPr/>
        <w:t>and</w:t>
      </w:r>
      <w:r>
        <w:rPr>
          <w:spacing w:val="-12"/>
        </w:rPr>
        <w:t> </w:t>
      </w:r>
      <w:r>
        <w:rPr/>
        <w:t>short-term</w:t>
      </w:r>
      <w:r>
        <w:rPr>
          <w:spacing w:val="-21"/>
        </w:rPr>
        <w:t> </w:t>
      </w:r>
      <w:r>
        <w:rPr/>
        <w:t>–</w:t>
      </w:r>
      <w:r>
        <w:rPr>
          <w:spacing w:val="-12"/>
        </w:rPr>
        <w:t> </w:t>
      </w:r>
      <w:r>
        <w:rPr/>
        <w:t>debt</w:t>
      </w:r>
      <w:r>
        <w:rPr>
          <w:spacing w:val="-11"/>
        </w:rPr>
        <w:t> </w:t>
      </w:r>
      <w:r>
        <w:rPr/>
        <w:t>to</w:t>
      </w:r>
      <w:r>
        <w:rPr>
          <w:spacing w:val="-12"/>
        </w:rPr>
        <w:t> </w:t>
      </w:r>
      <w:r>
        <w:rPr/>
        <w:t>total</w:t>
      </w:r>
      <w:r>
        <w:rPr>
          <w:spacing w:val="-21"/>
        </w:rPr>
        <w:t> </w:t>
      </w:r>
      <w:r>
        <w:rPr/>
        <w:t>assets,</w:t>
      </w:r>
      <w:r>
        <w:rPr>
          <w:spacing w:val="-9"/>
        </w:rPr>
        <w:t> </w:t>
      </w:r>
      <w:r>
        <w:rPr/>
        <w:t>expressed</w:t>
      </w:r>
      <w:r>
        <w:rPr>
          <w:spacing w:val="-12"/>
        </w:rPr>
        <w:t> </w:t>
      </w:r>
      <w:r>
        <w:rPr/>
        <w:t>as</w:t>
      </w:r>
      <w:r>
        <w:rPr>
          <w:spacing w:val="-14"/>
        </w:rPr>
        <w:t> </w:t>
      </w:r>
      <w:r>
        <w:rPr/>
        <w:t>a</w:t>
      </w:r>
      <w:r>
        <w:rPr>
          <w:spacing w:val="-13"/>
        </w:rPr>
        <w:t> </w:t>
      </w:r>
      <w:r>
        <w:rPr/>
        <w:t>decimal</w:t>
      </w:r>
      <w:r>
        <w:rPr>
          <w:spacing w:val="-16"/>
        </w:rPr>
        <w:t> </w:t>
      </w:r>
      <w:r>
        <w:rPr/>
        <w:t>or</w:t>
      </w:r>
      <w:r>
        <w:rPr>
          <w:spacing w:val="-10"/>
        </w:rPr>
        <w:t> </w:t>
      </w:r>
      <w:r>
        <w:rPr/>
        <w:t>percentage. Banks</w:t>
      </w:r>
      <w:r>
        <w:rPr>
          <w:spacing w:val="-7"/>
        </w:rPr>
        <w:t> </w:t>
      </w:r>
      <w:r>
        <w:rPr/>
        <w:t>Loans</w:t>
      </w:r>
      <w:r>
        <w:rPr>
          <w:spacing w:val="-12"/>
        </w:rPr>
        <w:t> </w:t>
      </w:r>
      <w:r>
        <w:rPr/>
        <w:t>to</w:t>
      </w:r>
      <w:r>
        <w:rPr>
          <w:spacing w:val="-5"/>
        </w:rPr>
        <w:t> </w:t>
      </w:r>
      <w:r>
        <w:rPr/>
        <w:t>Total</w:t>
      </w:r>
      <w:r>
        <w:rPr>
          <w:spacing w:val="-13"/>
        </w:rPr>
        <w:t> </w:t>
      </w:r>
      <w:r>
        <w:rPr/>
        <w:t>Assets</w:t>
      </w:r>
      <w:r>
        <w:rPr>
          <w:spacing w:val="-11"/>
        </w:rPr>
        <w:t> </w:t>
      </w:r>
      <w:r>
        <w:rPr/>
        <w:t>ratio </w:t>
      </w:r>
      <w:r>
        <w:rPr>
          <w:spacing w:val="-3"/>
        </w:rPr>
        <w:t>also</w:t>
      </w:r>
      <w:r>
        <w:rPr>
          <w:spacing w:val="-5"/>
        </w:rPr>
        <w:t> </w:t>
      </w:r>
      <w:r>
        <w:rPr/>
        <w:t>up</w:t>
      </w:r>
      <w:r>
        <w:rPr>
          <w:spacing w:val="-11"/>
        </w:rPr>
        <w:t> </w:t>
      </w:r>
      <w:r>
        <w:rPr/>
        <w:t>and</w:t>
      </w:r>
      <w:r>
        <w:rPr>
          <w:spacing w:val="-4"/>
        </w:rPr>
        <w:t> </w:t>
      </w:r>
      <w:r>
        <w:rPr/>
        <w:t>down</w:t>
      </w:r>
      <w:r>
        <w:rPr>
          <w:spacing w:val="-14"/>
        </w:rPr>
        <w:t> </w:t>
      </w:r>
      <w:r>
        <w:rPr/>
        <w:t>so</w:t>
      </w:r>
      <w:r>
        <w:rPr>
          <w:spacing w:val="-1"/>
        </w:rPr>
        <w:t> </w:t>
      </w:r>
      <w:r>
        <w:rPr>
          <w:spacing w:val="-3"/>
        </w:rPr>
        <w:t>it’s</w:t>
      </w:r>
      <w:r>
        <w:rPr>
          <w:spacing w:val="-12"/>
        </w:rPr>
        <w:t> </w:t>
      </w:r>
      <w:r>
        <w:rPr/>
        <w:t>also</w:t>
      </w:r>
      <w:r>
        <w:rPr>
          <w:spacing w:val="-4"/>
        </w:rPr>
        <w:t> </w:t>
      </w:r>
      <w:r>
        <w:rPr/>
        <w:t>not</w:t>
      </w:r>
      <w:r>
        <w:rPr>
          <w:spacing w:val="-5"/>
        </w:rPr>
        <w:t> </w:t>
      </w:r>
      <w:r>
        <w:rPr/>
        <w:t>perfect</w:t>
      </w:r>
      <w:r>
        <w:rPr>
          <w:spacing w:val="1"/>
        </w:rPr>
        <w:t> </w:t>
      </w:r>
      <w:r>
        <w:rPr/>
        <w:t>good</w:t>
      </w:r>
      <w:r>
        <w:rPr>
          <w:spacing w:val="-9"/>
        </w:rPr>
        <w:t> </w:t>
      </w:r>
      <w:r>
        <w:rPr>
          <w:spacing w:val="-4"/>
        </w:rPr>
        <w:t>side</w:t>
      </w:r>
      <w:r>
        <w:rPr>
          <w:spacing w:val="-7"/>
        </w:rPr>
        <w:t> </w:t>
      </w:r>
      <w:r>
        <w:rPr/>
        <w:t>for</w:t>
      </w:r>
      <w:r>
        <w:rPr>
          <w:spacing w:val="-12"/>
        </w:rPr>
        <w:t> </w:t>
      </w:r>
      <w:r>
        <w:rPr/>
        <w:t>the</w:t>
      </w:r>
      <w:r>
        <w:rPr>
          <w:spacing w:val="-6"/>
        </w:rPr>
        <w:t> </w:t>
      </w:r>
      <w:r>
        <w:rPr/>
        <w:t>Bank.</w:t>
      </w:r>
    </w:p>
    <w:p>
      <w:pPr>
        <w:spacing w:after="0" w:line="360" w:lineRule="auto"/>
        <w:jc w:val="both"/>
        <w:sectPr>
          <w:pgSz w:w="12240" w:h="15840"/>
          <w:pgMar w:header="0" w:footer="1039" w:top="1380" w:bottom="1220" w:left="1100" w:right="1300"/>
        </w:sect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39"/>
        <w:gridCol w:w="1080"/>
        <w:gridCol w:w="994"/>
        <w:gridCol w:w="898"/>
        <w:gridCol w:w="811"/>
        <w:gridCol w:w="989"/>
      </w:tblGrid>
      <w:tr>
        <w:trPr>
          <w:trHeight w:val="268" w:hRule="atLeast"/>
        </w:trPr>
        <w:tc>
          <w:tcPr>
            <w:tcW w:w="8911" w:type="dxa"/>
            <w:gridSpan w:val="6"/>
          </w:tcPr>
          <w:p>
            <w:pPr>
              <w:pStyle w:val="TableParagraph"/>
              <w:spacing w:line="248" w:lineRule="exact"/>
              <w:ind w:left="3328" w:right="4099"/>
              <w:jc w:val="center"/>
              <w:rPr>
                <w:b/>
                <w:sz w:val="24"/>
              </w:rPr>
            </w:pPr>
            <w:r>
              <w:rPr>
                <w:b/>
                <w:sz w:val="24"/>
              </w:rPr>
              <w:t>Activity Ratio</w:t>
            </w:r>
          </w:p>
        </w:tc>
      </w:tr>
      <w:tr>
        <w:trPr>
          <w:trHeight w:val="263" w:hRule="atLeast"/>
        </w:trPr>
        <w:tc>
          <w:tcPr>
            <w:tcW w:w="4139" w:type="dxa"/>
          </w:tcPr>
          <w:p>
            <w:pPr>
              <w:pStyle w:val="TableParagraph"/>
              <w:spacing w:line="244" w:lineRule="exact"/>
              <w:rPr>
                <w:b/>
                <w:sz w:val="24"/>
              </w:rPr>
            </w:pPr>
            <w:r>
              <w:rPr>
                <w:b/>
                <w:sz w:val="24"/>
              </w:rPr>
              <w:t>Particulars</w:t>
            </w:r>
          </w:p>
        </w:tc>
        <w:tc>
          <w:tcPr>
            <w:tcW w:w="1080" w:type="dxa"/>
          </w:tcPr>
          <w:p>
            <w:pPr>
              <w:pStyle w:val="TableParagraph"/>
              <w:spacing w:line="244" w:lineRule="exact"/>
              <w:rPr>
                <w:b/>
                <w:sz w:val="24"/>
              </w:rPr>
            </w:pPr>
            <w:r>
              <w:rPr>
                <w:b/>
                <w:sz w:val="24"/>
              </w:rPr>
              <w:t>2015</w:t>
            </w:r>
          </w:p>
        </w:tc>
        <w:tc>
          <w:tcPr>
            <w:tcW w:w="994" w:type="dxa"/>
          </w:tcPr>
          <w:p>
            <w:pPr>
              <w:pStyle w:val="TableParagraph"/>
              <w:spacing w:line="244" w:lineRule="exact"/>
              <w:rPr>
                <w:b/>
                <w:sz w:val="24"/>
              </w:rPr>
            </w:pPr>
            <w:r>
              <w:rPr>
                <w:b/>
                <w:sz w:val="24"/>
              </w:rPr>
              <w:t>2016</w:t>
            </w:r>
          </w:p>
        </w:tc>
        <w:tc>
          <w:tcPr>
            <w:tcW w:w="898" w:type="dxa"/>
          </w:tcPr>
          <w:p>
            <w:pPr>
              <w:pStyle w:val="TableParagraph"/>
              <w:spacing w:line="244" w:lineRule="exact"/>
              <w:rPr>
                <w:b/>
                <w:sz w:val="24"/>
              </w:rPr>
            </w:pPr>
            <w:r>
              <w:rPr>
                <w:b/>
                <w:sz w:val="24"/>
              </w:rPr>
              <w:t>2017</w:t>
            </w:r>
          </w:p>
        </w:tc>
        <w:tc>
          <w:tcPr>
            <w:tcW w:w="811" w:type="dxa"/>
          </w:tcPr>
          <w:p>
            <w:pPr>
              <w:pStyle w:val="TableParagraph"/>
              <w:spacing w:line="244" w:lineRule="exact"/>
              <w:rPr>
                <w:b/>
                <w:sz w:val="24"/>
              </w:rPr>
            </w:pPr>
            <w:r>
              <w:rPr>
                <w:b/>
                <w:sz w:val="24"/>
              </w:rPr>
              <w:t>2018</w:t>
            </w:r>
          </w:p>
        </w:tc>
        <w:tc>
          <w:tcPr>
            <w:tcW w:w="989" w:type="dxa"/>
          </w:tcPr>
          <w:p>
            <w:pPr>
              <w:pStyle w:val="TableParagraph"/>
              <w:spacing w:line="244" w:lineRule="exact"/>
              <w:ind w:left="0" w:right="212"/>
              <w:jc w:val="right"/>
              <w:rPr>
                <w:b/>
                <w:sz w:val="24"/>
              </w:rPr>
            </w:pPr>
            <w:r>
              <w:rPr>
                <w:b/>
                <w:sz w:val="24"/>
              </w:rPr>
              <w:t>2019</w:t>
            </w:r>
          </w:p>
        </w:tc>
      </w:tr>
      <w:tr>
        <w:trPr>
          <w:trHeight w:val="292" w:hRule="atLeast"/>
        </w:trPr>
        <w:tc>
          <w:tcPr>
            <w:tcW w:w="4139" w:type="dxa"/>
          </w:tcPr>
          <w:p>
            <w:pPr>
              <w:pStyle w:val="TableParagraph"/>
              <w:spacing w:line="261" w:lineRule="exact" w:before="11"/>
              <w:rPr>
                <w:sz w:val="24"/>
              </w:rPr>
            </w:pPr>
            <w:r>
              <w:rPr>
                <w:sz w:val="24"/>
              </w:rPr>
              <w:t>Total Assets Turnover</w:t>
            </w:r>
          </w:p>
        </w:tc>
        <w:tc>
          <w:tcPr>
            <w:tcW w:w="1080" w:type="dxa"/>
          </w:tcPr>
          <w:p>
            <w:pPr>
              <w:pStyle w:val="TableParagraph"/>
              <w:spacing w:line="263" w:lineRule="exact"/>
              <w:rPr>
                <w:sz w:val="24"/>
              </w:rPr>
            </w:pPr>
            <w:r>
              <w:rPr>
                <w:sz w:val="24"/>
              </w:rPr>
              <w:t>0.08</w:t>
            </w:r>
          </w:p>
        </w:tc>
        <w:tc>
          <w:tcPr>
            <w:tcW w:w="994" w:type="dxa"/>
          </w:tcPr>
          <w:p>
            <w:pPr>
              <w:pStyle w:val="TableParagraph"/>
              <w:spacing w:line="263" w:lineRule="exact"/>
              <w:rPr>
                <w:sz w:val="24"/>
              </w:rPr>
            </w:pPr>
            <w:r>
              <w:rPr>
                <w:sz w:val="24"/>
              </w:rPr>
              <w:t>0.08</w:t>
            </w:r>
          </w:p>
        </w:tc>
        <w:tc>
          <w:tcPr>
            <w:tcW w:w="898" w:type="dxa"/>
          </w:tcPr>
          <w:p>
            <w:pPr>
              <w:pStyle w:val="TableParagraph"/>
              <w:spacing w:line="263" w:lineRule="exact"/>
              <w:rPr>
                <w:sz w:val="24"/>
              </w:rPr>
            </w:pPr>
            <w:r>
              <w:rPr>
                <w:sz w:val="24"/>
              </w:rPr>
              <w:t>0.07</w:t>
            </w:r>
          </w:p>
        </w:tc>
        <w:tc>
          <w:tcPr>
            <w:tcW w:w="811" w:type="dxa"/>
          </w:tcPr>
          <w:p>
            <w:pPr>
              <w:pStyle w:val="TableParagraph"/>
              <w:spacing w:line="263" w:lineRule="exact"/>
              <w:rPr>
                <w:sz w:val="24"/>
              </w:rPr>
            </w:pPr>
            <w:r>
              <w:rPr>
                <w:sz w:val="24"/>
              </w:rPr>
              <w:t>0.06</w:t>
            </w:r>
          </w:p>
        </w:tc>
        <w:tc>
          <w:tcPr>
            <w:tcW w:w="989" w:type="dxa"/>
          </w:tcPr>
          <w:p>
            <w:pPr>
              <w:pStyle w:val="TableParagraph"/>
              <w:spacing w:line="263" w:lineRule="exact"/>
              <w:ind w:left="0" w:right="208"/>
              <w:jc w:val="right"/>
              <w:rPr>
                <w:sz w:val="24"/>
              </w:rPr>
            </w:pPr>
            <w:r>
              <w:rPr>
                <w:sz w:val="24"/>
              </w:rPr>
              <w:t>0.05</w:t>
            </w:r>
          </w:p>
        </w:tc>
      </w:tr>
      <w:tr>
        <w:trPr>
          <w:trHeight w:val="283" w:hRule="atLeast"/>
        </w:trPr>
        <w:tc>
          <w:tcPr>
            <w:tcW w:w="4139" w:type="dxa"/>
          </w:tcPr>
          <w:p>
            <w:pPr>
              <w:pStyle w:val="TableParagraph"/>
              <w:spacing w:line="263" w:lineRule="exact"/>
              <w:rPr>
                <w:sz w:val="24"/>
              </w:rPr>
            </w:pPr>
            <w:r>
              <w:rPr>
                <w:sz w:val="24"/>
              </w:rPr>
              <w:t>Fixed Asset Turnover</w:t>
            </w:r>
          </w:p>
        </w:tc>
        <w:tc>
          <w:tcPr>
            <w:tcW w:w="1080" w:type="dxa"/>
          </w:tcPr>
          <w:p>
            <w:pPr>
              <w:pStyle w:val="TableParagraph"/>
              <w:spacing w:line="263" w:lineRule="exact"/>
              <w:rPr>
                <w:sz w:val="24"/>
              </w:rPr>
            </w:pPr>
            <w:r>
              <w:rPr>
                <w:sz w:val="24"/>
              </w:rPr>
              <w:t>10.87</w:t>
            </w:r>
          </w:p>
        </w:tc>
        <w:tc>
          <w:tcPr>
            <w:tcW w:w="994" w:type="dxa"/>
          </w:tcPr>
          <w:p>
            <w:pPr>
              <w:pStyle w:val="TableParagraph"/>
              <w:spacing w:line="263" w:lineRule="exact"/>
              <w:rPr>
                <w:sz w:val="24"/>
              </w:rPr>
            </w:pPr>
            <w:r>
              <w:rPr>
                <w:sz w:val="24"/>
              </w:rPr>
              <w:t>11.95</w:t>
            </w:r>
          </w:p>
        </w:tc>
        <w:tc>
          <w:tcPr>
            <w:tcW w:w="898" w:type="dxa"/>
          </w:tcPr>
          <w:p>
            <w:pPr>
              <w:pStyle w:val="TableParagraph"/>
              <w:spacing w:line="263" w:lineRule="exact"/>
              <w:rPr>
                <w:sz w:val="24"/>
              </w:rPr>
            </w:pPr>
            <w:r>
              <w:rPr>
                <w:sz w:val="24"/>
              </w:rPr>
              <w:t>11.98</w:t>
            </w:r>
          </w:p>
        </w:tc>
        <w:tc>
          <w:tcPr>
            <w:tcW w:w="811" w:type="dxa"/>
          </w:tcPr>
          <w:p>
            <w:pPr>
              <w:pStyle w:val="TableParagraph"/>
              <w:spacing w:line="263" w:lineRule="exact"/>
              <w:rPr>
                <w:sz w:val="24"/>
              </w:rPr>
            </w:pPr>
            <w:r>
              <w:rPr>
                <w:sz w:val="24"/>
              </w:rPr>
              <w:t>12.33</w:t>
            </w:r>
          </w:p>
        </w:tc>
        <w:tc>
          <w:tcPr>
            <w:tcW w:w="989" w:type="dxa"/>
          </w:tcPr>
          <w:p>
            <w:pPr>
              <w:pStyle w:val="TableParagraph"/>
              <w:spacing w:line="263" w:lineRule="exact"/>
              <w:ind w:left="0" w:right="208"/>
              <w:jc w:val="right"/>
              <w:rPr>
                <w:sz w:val="24"/>
              </w:rPr>
            </w:pPr>
            <w:r>
              <w:rPr>
                <w:sz w:val="24"/>
              </w:rPr>
              <w:t>13.26</w:t>
            </w:r>
          </w:p>
        </w:tc>
      </w:tr>
    </w:tbl>
    <w:p>
      <w:pPr>
        <w:pStyle w:val="BodyText"/>
        <w:rPr>
          <w:sz w:val="20"/>
        </w:rPr>
      </w:pPr>
    </w:p>
    <w:p>
      <w:pPr>
        <w:pStyle w:val="BodyText"/>
        <w:rPr>
          <w:sz w:val="14"/>
        </w:rPr>
      </w:pPr>
      <w:r>
        <w:rPr/>
        <w:pict>
          <v:group style="position:absolute;margin-left:71.989998pt;margin-top:10.040977pt;width:468.75pt;height:190.55pt;mso-position-horizontal-relative:page;mso-position-vertical-relative:paragraph;z-index:-251536384;mso-wrap-distance-left:0;mso-wrap-distance-right:0" coordorigin="1440,201" coordsize="9375,3811">
            <v:line style="position:absolute" from="1667,1437" to="1667,3583" stroked="true" strokeweight=".72pt" strokecolor="#d9d9d9">
              <v:stroke dashstyle="solid"/>
            </v:line>
            <v:line style="position:absolute" from="3450,1437" to="3450,3583" stroked="true" strokeweight=".72pt" strokecolor="#d9d9d9">
              <v:stroke dashstyle="solid"/>
            </v:line>
            <v:line style="position:absolute" from="5233,1437" to="5233,3583" stroked="true" strokeweight=".72pt" strokecolor="#d9d9d9">
              <v:stroke dashstyle="solid"/>
            </v:line>
            <v:line style="position:absolute" from="7019,1437" to="7019,3583" stroked="true" strokeweight=".72pt" strokecolor="#d9d9d9">
              <v:stroke dashstyle="solid"/>
            </v:line>
            <v:line style="position:absolute" from="8802,1437" to="8802,3583" stroked="true" strokeweight=".72pt" strokecolor="#d9d9d9">
              <v:stroke dashstyle="solid"/>
            </v:line>
            <v:line style="position:absolute" from="10585,1437" to="10585,3583" stroked="true" strokeweight=".72pt" strokecolor="#d9d9d9">
              <v:stroke dashstyle="solid"/>
            </v:line>
            <v:line style="position:absolute" from="2205,3576" to="2450,3576" stroked="true" strokeweight=".69pt" strokecolor="#5b9bd3">
              <v:stroke dashstyle="solid"/>
            </v:line>
            <v:line style="position:absolute" from="3991,3577" to="4233,3577" stroked="true" strokeweight=".59pt" strokecolor="#5b9bd3">
              <v:stroke dashstyle="solid"/>
            </v:line>
            <v:line style="position:absolute" from="5774,3578" to="6017,3578" stroked="true" strokeweight=".49pt" strokecolor="#5b9bd3">
              <v:stroke dashstyle="solid"/>
            </v:line>
            <v:line style="position:absolute" from="7557,3578" to="7802,3578" stroked="true" strokeweight=".49pt" strokecolor="#5b9bd3">
              <v:stroke dashstyle="solid"/>
            </v:line>
            <v:line style="position:absolute" from="9343,3578" to="9585,3578" stroked="true" strokeweight=".49pt" strokecolor="#5b9bd3">
              <v:stroke dashstyle="solid"/>
            </v:line>
            <v:rect style="position:absolute;left:2668;top:1916;width:242;height:1667" filled="true" fillcolor="#eb7b2f" stroked="false">
              <v:fill type="solid"/>
            </v:rect>
            <v:rect style="position:absolute;left:4451;top:1749;width:245;height:1834" filled="true" fillcolor="#eb7b2f" stroked="false">
              <v:fill type="solid"/>
            </v:rect>
            <v:rect style="position:absolute;left:6236;top:1744;width:243;height:1839" filled="true" fillcolor="#eb7b2f" stroked="false">
              <v:fill type="solid"/>
            </v:rect>
            <v:rect style="position:absolute;left:8020;top:1692;width:242;height:1891" filled="true" fillcolor="#eb7b2f" stroked="false">
              <v:fill type="solid"/>
            </v:rect>
            <v:rect style="position:absolute;left:9803;top:1548;width:245;height:2035" filled="true" fillcolor="#eb7b2f" stroked="false">
              <v:fill type="solid"/>
            </v:rect>
            <v:line style="position:absolute" from="1668,3584" to="10586,3584" stroked="true" strokeweight=".72pt" strokecolor="#d9d9d9">
              <v:stroke dashstyle="solid"/>
            </v:line>
            <v:rect style="position:absolute;left:4317;top:1004;width:101;height:98" filled="true" fillcolor="#5b9bd3" stroked="false">
              <v:fill type="solid"/>
            </v:rect>
            <v:rect style="position:absolute;left:6335;top:1004;width:99;height:98" filled="true" fillcolor="#eb7b2f" stroked="false">
              <v:fill type="solid"/>
            </v:rect>
            <v:rect style="position:absolute;left:1447;top:208;width:9360;height:3797" filled="false" stroked="true" strokeweight=".72pt" strokecolor="#d9d9d9">
              <v:stroke dashstyle="solid"/>
            </v:rect>
            <v:shape style="position:absolute;left:4459;top:421;width:3572;height:730" type="#_x0000_t75" stroked="false">
              <v:imagedata r:id="rId94" o:title=""/>
            </v:shape>
            <v:shape style="position:absolute;left:2347;top:3714;width:442;height:159" type="#_x0000_t75" stroked="false">
              <v:imagedata r:id="rId95" o:title=""/>
            </v:shape>
            <v:shape style="position:absolute;left:4132;top:3714;width:442;height:159" type="#_x0000_t75" stroked="false">
              <v:imagedata r:id="rId95" o:title=""/>
            </v:shape>
            <v:shape style="position:absolute;left:5913;top:3714;width:447;height:159" type="#_x0000_t75" stroked="false">
              <v:imagedata r:id="rId96" o:title=""/>
            </v:shape>
            <v:shape style="position:absolute;left:7699;top:3714;width:442;height:159" type="#_x0000_t75" stroked="false">
              <v:imagedata r:id="rId95" o:title=""/>
            </v:shape>
            <v:shape style="position:absolute;left:9484;top:3714;width:442;height:159" type="#_x0000_t75" stroked="false">
              <v:imagedata r:id="rId95" o:title=""/>
            </v:shape>
            <v:shape style="position:absolute;left:9488;top:3732;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2019</w:t>
                    </w:r>
                  </w:p>
                </w:txbxContent>
              </v:textbox>
              <w10:wrap type="none"/>
            </v:shape>
            <v:shape style="position:absolute;left:7702;top:3732;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2018</w:t>
                    </w:r>
                  </w:p>
                </w:txbxContent>
              </v:textbox>
              <w10:wrap type="none"/>
            </v:shape>
            <v:shape style="position:absolute;left:5916;top:3732;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2017</w:t>
                    </w:r>
                  </w:p>
                </w:txbxContent>
              </v:textbox>
              <w10:wrap type="none"/>
            </v:shape>
            <v:shape style="position:absolute;left:4134;top:3732;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2016</w:t>
                    </w:r>
                  </w:p>
                </w:txbxContent>
              </v:textbox>
              <w10:wrap type="none"/>
            </v:shape>
            <v:shape style="position:absolute;left:2348;top:3732;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2015</w:t>
                    </w:r>
                  </w:p>
                </w:txbxContent>
              </v:textbox>
              <w10:wrap type="none"/>
            </v:shape>
            <v:shape style="position:absolute;left:4460;top:445;width:3570;height:719" type="#_x0000_t202" filled="false" stroked="false">
              <v:textbox inset="0,0,0,0">
                <w:txbxContent>
                  <w:p>
                    <w:pPr>
                      <w:spacing w:line="327" w:lineRule="exact" w:before="0"/>
                      <w:ind w:left="456" w:right="0" w:firstLine="0"/>
                      <w:jc w:val="left"/>
                      <w:rPr>
                        <w:rFonts w:ascii="Calibri"/>
                        <w:b/>
                        <w:sz w:val="32"/>
                      </w:rPr>
                    </w:pPr>
                    <w:r>
                      <w:rPr>
                        <w:rFonts w:ascii="Calibri"/>
                        <w:b/>
                        <w:color w:val="575757"/>
                        <w:sz w:val="32"/>
                      </w:rPr>
                      <w:t>ACTIVITY RATIO</w:t>
                    </w:r>
                  </w:p>
                  <w:p>
                    <w:pPr>
                      <w:tabs>
                        <w:tab w:pos="2016" w:val="left" w:leader="none"/>
                      </w:tabs>
                      <w:spacing w:line="217" w:lineRule="exact" w:before="174"/>
                      <w:ind w:left="0" w:right="0" w:firstLine="0"/>
                      <w:jc w:val="left"/>
                      <w:rPr>
                        <w:rFonts w:ascii="Calibri"/>
                        <w:sz w:val="18"/>
                      </w:rPr>
                    </w:pPr>
                    <w:r>
                      <w:rPr>
                        <w:rFonts w:ascii="Calibri"/>
                        <w:color w:val="575757"/>
                        <w:sz w:val="18"/>
                      </w:rPr>
                      <w:t>Total</w:t>
                    </w:r>
                    <w:r>
                      <w:rPr>
                        <w:rFonts w:ascii="Calibri"/>
                        <w:color w:val="575757"/>
                        <w:spacing w:val="-3"/>
                        <w:sz w:val="18"/>
                      </w:rPr>
                      <w:t> </w:t>
                    </w:r>
                    <w:r>
                      <w:rPr>
                        <w:rFonts w:ascii="Calibri"/>
                        <w:color w:val="575757"/>
                        <w:sz w:val="18"/>
                      </w:rPr>
                      <w:t>Assets</w:t>
                    </w:r>
                    <w:r>
                      <w:rPr>
                        <w:rFonts w:ascii="Calibri"/>
                        <w:color w:val="575757"/>
                        <w:spacing w:val="-7"/>
                        <w:sz w:val="18"/>
                      </w:rPr>
                      <w:t> </w:t>
                    </w:r>
                    <w:r>
                      <w:rPr>
                        <w:rFonts w:ascii="Calibri"/>
                        <w:color w:val="575757"/>
                        <w:sz w:val="18"/>
                      </w:rPr>
                      <w:t>Turnover</w:t>
                      <w:tab/>
                      <w:t>Fixed </w:t>
                    </w:r>
                    <w:r>
                      <w:rPr>
                        <w:rFonts w:ascii="Calibri"/>
                        <w:color w:val="575757"/>
                        <w:spacing w:val="-3"/>
                        <w:sz w:val="18"/>
                      </w:rPr>
                      <w:t>Asset</w:t>
                    </w:r>
                    <w:r>
                      <w:rPr>
                        <w:rFonts w:ascii="Calibri"/>
                        <w:color w:val="575757"/>
                        <w:spacing w:val="3"/>
                        <w:sz w:val="18"/>
                      </w:rPr>
                      <w:t> </w:t>
                    </w:r>
                    <w:r>
                      <w:rPr>
                        <w:rFonts w:ascii="Calibri"/>
                        <w:color w:val="575757"/>
                        <w:sz w:val="18"/>
                      </w:rPr>
                      <w:t>Turnover</w:t>
                    </w:r>
                  </w:p>
                </w:txbxContent>
              </v:textbox>
              <w10:wrap type="none"/>
            </v:shape>
            <w10:wrap type="topAndBottom"/>
          </v:group>
        </w:pict>
      </w:r>
    </w:p>
    <w:p>
      <w:pPr>
        <w:pStyle w:val="BodyText"/>
        <w:spacing w:before="3"/>
        <w:rPr>
          <w:sz w:val="16"/>
        </w:rPr>
      </w:pPr>
    </w:p>
    <w:p>
      <w:pPr>
        <w:pStyle w:val="BodyText"/>
        <w:spacing w:line="360" w:lineRule="auto" w:before="90"/>
        <w:ind w:left="340" w:right="135"/>
        <w:jc w:val="both"/>
      </w:pPr>
      <w:r>
        <w:rPr>
          <w:b/>
        </w:rPr>
        <w:t>Interpretation:</w:t>
      </w:r>
      <w:r>
        <w:rPr>
          <w:b/>
          <w:spacing w:val="53"/>
        </w:rPr>
        <w:t> </w:t>
      </w:r>
      <w:r>
        <w:rPr/>
        <w:t>The</w:t>
      </w:r>
      <w:r>
        <w:rPr>
          <w:spacing w:val="-10"/>
        </w:rPr>
        <w:t> </w:t>
      </w:r>
      <w:r>
        <w:rPr/>
        <w:t>asset</w:t>
      </w:r>
      <w:r>
        <w:rPr>
          <w:spacing w:val="-10"/>
        </w:rPr>
        <w:t> </w:t>
      </w:r>
      <w:r>
        <w:rPr/>
        <w:t>turnover</w:t>
      </w:r>
      <w:r>
        <w:rPr>
          <w:spacing w:val="-11"/>
        </w:rPr>
        <w:t> </w:t>
      </w:r>
      <w:r>
        <w:rPr/>
        <w:t>ratio</w:t>
      </w:r>
      <w:r>
        <w:rPr>
          <w:spacing w:val="-4"/>
        </w:rPr>
        <w:t> </w:t>
      </w:r>
      <w:r>
        <w:rPr>
          <w:spacing w:val="-3"/>
        </w:rPr>
        <w:t>is</w:t>
      </w:r>
      <w:r>
        <w:rPr>
          <w:spacing w:val="-12"/>
        </w:rPr>
        <w:t> </w:t>
      </w:r>
      <w:r>
        <w:rPr/>
        <w:t>calculated</w:t>
      </w:r>
      <w:r>
        <w:rPr>
          <w:spacing w:val="-8"/>
        </w:rPr>
        <w:t> </w:t>
      </w:r>
      <w:r>
        <w:rPr/>
        <w:t>by</w:t>
      </w:r>
      <w:r>
        <w:rPr>
          <w:spacing w:val="-24"/>
        </w:rPr>
        <w:t> </w:t>
      </w:r>
      <w:r>
        <w:rPr/>
        <w:t>dividing</w:t>
      </w:r>
      <w:r>
        <w:rPr>
          <w:spacing w:val="-9"/>
        </w:rPr>
        <w:t> </w:t>
      </w:r>
      <w:r>
        <w:rPr/>
        <w:t>net</w:t>
      </w:r>
      <w:r>
        <w:rPr>
          <w:spacing w:val="-4"/>
        </w:rPr>
        <w:t> </w:t>
      </w:r>
      <w:r>
        <w:rPr>
          <w:spacing w:val="-3"/>
        </w:rPr>
        <w:t>sales</w:t>
      </w:r>
      <w:r>
        <w:rPr>
          <w:spacing w:val="-7"/>
        </w:rPr>
        <w:t> </w:t>
      </w:r>
      <w:r>
        <w:rPr/>
        <w:t>by</w:t>
      </w:r>
      <w:r>
        <w:rPr>
          <w:spacing w:val="-19"/>
        </w:rPr>
        <w:t> </w:t>
      </w:r>
      <w:r>
        <w:rPr/>
        <w:t>average</w:t>
      </w:r>
      <w:r>
        <w:rPr>
          <w:spacing w:val="-10"/>
        </w:rPr>
        <w:t> </w:t>
      </w:r>
      <w:r>
        <w:rPr/>
        <w:t>total</w:t>
      </w:r>
      <w:r>
        <w:rPr>
          <w:spacing w:val="-17"/>
        </w:rPr>
        <w:t> </w:t>
      </w:r>
      <w:r>
        <w:rPr/>
        <w:t>assets. Net</w:t>
      </w:r>
      <w:r>
        <w:rPr>
          <w:spacing w:val="-1"/>
        </w:rPr>
        <w:t> </w:t>
      </w:r>
      <w:r>
        <w:rPr>
          <w:spacing w:val="-3"/>
        </w:rPr>
        <w:t>sales,</w:t>
      </w:r>
      <w:r>
        <w:rPr>
          <w:spacing w:val="3"/>
        </w:rPr>
        <w:t> </w:t>
      </w:r>
      <w:r>
        <w:rPr/>
        <w:t>found</w:t>
      </w:r>
      <w:r>
        <w:rPr>
          <w:spacing w:val="-6"/>
        </w:rPr>
        <w:t> </w:t>
      </w:r>
      <w:r>
        <w:rPr/>
        <w:t>on</w:t>
      </w:r>
      <w:r>
        <w:rPr>
          <w:spacing w:val="-9"/>
        </w:rPr>
        <w:t> </w:t>
      </w:r>
      <w:r>
        <w:rPr/>
        <w:t>the</w:t>
      </w:r>
      <w:r>
        <w:rPr>
          <w:spacing w:val="-6"/>
        </w:rPr>
        <w:t> </w:t>
      </w:r>
      <w:r>
        <w:rPr/>
        <w:t>income</w:t>
      </w:r>
      <w:r>
        <w:rPr>
          <w:spacing w:val="-5"/>
        </w:rPr>
        <w:t> </w:t>
      </w:r>
      <w:r>
        <w:rPr/>
        <w:t>statement,</w:t>
      </w:r>
      <w:r>
        <w:rPr>
          <w:spacing w:val="-1"/>
        </w:rPr>
        <w:t> </w:t>
      </w:r>
      <w:r>
        <w:rPr/>
        <w:t>area</w:t>
      </w:r>
      <w:r>
        <w:rPr>
          <w:spacing w:val="-5"/>
        </w:rPr>
        <w:t> </w:t>
      </w:r>
      <w:r>
        <w:rPr>
          <w:spacing w:val="-4"/>
        </w:rPr>
        <w:t>unit</w:t>
      </w:r>
      <w:r>
        <w:rPr>
          <w:spacing w:val="4"/>
        </w:rPr>
        <w:t> </w:t>
      </w:r>
      <w:r>
        <w:rPr/>
        <w:t>wont</w:t>
      </w:r>
      <w:r>
        <w:rPr>
          <w:spacing w:val="-4"/>
        </w:rPr>
        <w:t> </w:t>
      </w:r>
      <w:r>
        <w:rPr/>
        <w:t>to</w:t>
      </w:r>
      <w:r>
        <w:rPr>
          <w:spacing w:val="-4"/>
        </w:rPr>
        <w:t> </w:t>
      </w:r>
      <w:r>
        <w:rPr/>
        <w:t>calculate</w:t>
      </w:r>
      <w:r>
        <w:rPr>
          <w:spacing w:val="-10"/>
        </w:rPr>
        <w:t> </w:t>
      </w:r>
      <w:r>
        <w:rPr/>
        <w:t>this</w:t>
      </w:r>
      <w:r>
        <w:rPr>
          <w:spacing w:val="-7"/>
        </w:rPr>
        <w:t> </w:t>
      </w:r>
      <w:r>
        <w:rPr/>
        <w:t>ratio returns</w:t>
      </w:r>
      <w:r>
        <w:rPr>
          <w:spacing w:val="-6"/>
        </w:rPr>
        <w:t> </w:t>
      </w:r>
      <w:r>
        <w:rPr/>
        <w:t>and</w:t>
      </w:r>
      <w:r>
        <w:rPr>
          <w:spacing w:val="-4"/>
        </w:rPr>
        <w:t> </w:t>
      </w:r>
      <w:r>
        <w:rPr/>
        <w:t>refunds should be backed out of total sales to measure the really measure the </w:t>
      </w:r>
      <w:r>
        <w:rPr>
          <w:spacing w:val="-3"/>
        </w:rPr>
        <w:t>firm's </w:t>
      </w:r>
      <w:r>
        <w:rPr/>
        <w:t>assets' ability </w:t>
      </w:r>
      <w:r>
        <w:rPr>
          <w:spacing w:val="2"/>
        </w:rPr>
        <w:t>to </w:t>
      </w:r>
      <w:r>
        <w:rPr/>
        <w:t>generate sales. Banks Total Assets asset turnover 2015 to 2019 was 0.08 to .05 </w:t>
      </w:r>
      <w:r>
        <w:rPr>
          <w:spacing w:val="-3"/>
        </w:rPr>
        <w:t>it's </w:t>
      </w:r>
      <w:r>
        <w:rPr/>
        <w:t>defined that </w:t>
      </w:r>
      <w:r>
        <w:rPr>
          <w:spacing w:val="-5"/>
        </w:rPr>
        <w:t>it </w:t>
      </w:r>
      <w:r>
        <w:rPr/>
        <w:t>has decreased the bank total assets turnover. The fixed asset turnover ratio </w:t>
      </w:r>
      <w:r>
        <w:rPr>
          <w:spacing w:val="-3"/>
        </w:rPr>
        <w:t>is </w:t>
      </w:r>
      <w:r>
        <w:rPr/>
        <w:t>a potency ratio that measures</w:t>
      </w:r>
      <w:r>
        <w:rPr>
          <w:spacing w:val="-17"/>
        </w:rPr>
        <w:t> </w:t>
      </w:r>
      <w:r>
        <w:rPr/>
        <w:t>a</w:t>
      </w:r>
      <w:r>
        <w:rPr>
          <w:spacing w:val="-16"/>
        </w:rPr>
        <w:t> </w:t>
      </w:r>
      <w:r>
        <w:rPr/>
        <w:t>company’s</w:t>
      </w:r>
      <w:r>
        <w:rPr>
          <w:spacing w:val="-17"/>
        </w:rPr>
        <w:t> </w:t>
      </w:r>
      <w:r>
        <w:rPr/>
        <w:t>return</w:t>
      </w:r>
      <w:r>
        <w:rPr>
          <w:spacing w:val="-20"/>
        </w:rPr>
        <w:t> </w:t>
      </w:r>
      <w:r>
        <w:rPr/>
        <w:t>on</w:t>
      </w:r>
      <w:r>
        <w:rPr>
          <w:spacing w:val="-20"/>
        </w:rPr>
        <w:t> </w:t>
      </w:r>
      <w:r>
        <w:rPr/>
        <w:t>their</w:t>
      </w:r>
      <w:r>
        <w:rPr>
          <w:spacing w:val="-9"/>
        </w:rPr>
        <w:t> </w:t>
      </w:r>
      <w:r>
        <w:rPr/>
        <w:t>investment</w:t>
      </w:r>
      <w:r>
        <w:rPr>
          <w:spacing w:val="-4"/>
        </w:rPr>
        <w:t> </w:t>
      </w:r>
      <w:r>
        <w:rPr>
          <w:spacing w:val="-3"/>
        </w:rPr>
        <w:t>in</w:t>
      </w:r>
      <w:r>
        <w:rPr>
          <w:spacing w:val="-15"/>
        </w:rPr>
        <w:t> </w:t>
      </w:r>
      <w:r>
        <w:rPr/>
        <w:t>property,</w:t>
      </w:r>
      <w:r>
        <w:rPr>
          <w:spacing w:val="-13"/>
        </w:rPr>
        <w:t> </w:t>
      </w:r>
      <w:r>
        <w:rPr/>
        <w:t>plant,</w:t>
      </w:r>
      <w:r>
        <w:rPr>
          <w:spacing w:val="-12"/>
        </w:rPr>
        <w:t> </w:t>
      </w:r>
      <w:r>
        <w:rPr/>
        <w:t>and</w:t>
      </w:r>
      <w:r>
        <w:rPr>
          <w:spacing w:val="-15"/>
        </w:rPr>
        <w:t> </w:t>
      </w:r>
      <w:r>
        <w:rPr/>
        <w:t>equipment</w:t>
      </w:r>
      <w:r>
        <w:rPr>
          <w:spacing w:val="-10"/>
        </w:rPr>
        <w:t> </w:t>
      </w:r>
      <w:r>
        <w:rPr/>
        <w:t>by</w:t>
      </w:r>
      <w:r>
        <w:rPr>
          <w:spacing w:val="-19"/>
        </w:rPr>
        <w:t> </w:t>
      </w:r>
      <w:r>
        <w:rPr/>
        <w:t>examination net sales with fixed assets. The Banks Fixed Assets Turnover 2015 was 10.87 and next four years it’s gradually</w:t>
      </w:r>
      <w:r>
        <w:rPr>
          <w:spacing w:val="-7"/>
        </w:rPr>
        <w:t> </w:t>
      </w:r>
      <w:r>
        <w:rPr/>
        <w:t>increased.</w:t>
      </w:r>
    </w:p>
    <w:p>
      <w:pPr>
        <w:pStyle w:val="BodyText"/>
        <w:rPr>
          <w:sz w:val="20"/>
        </w:rPr>
      </w:pPr>
    </w:p>
    <w:p>
      <w:pPr>
        <w:pStyle w:val="BodyText"/>
        <w:spacing w:before="8"/>
        <w:rPr>
          <w:sz w:val="16"/>
        </w:rPr>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9"/>
        <w:gridCol w:w="836"/>
        <w:gridCol w:w="840"/>
        <w:gridCol w:w="836"/>
        <w:gridCol w:w="841"/>
        <w:gridCol w:w="836"/>
      </w:tblGrid>
      <w:tr>
        <w:trPr>
          <w:trHeight w:val="570" w:hRule="atLeast"/>
        </w:trPr>
        <w:tc>
          <w:tcPr>
            <w:tcW w:w="9188" w:type="dxa"/>
            <w:gridSpan w:val="6"/>
          </w:tcPr>
          <w:p>
            <w:pPr>
              <w:pStyle w:val="TableParagraph"/>
              <w:spacing w:line="274" w:lineRule="exact" w:before="20"/>
              <w:ind w:left="4065" w:right="4047"/>
              <w:jc w:val="center"/>
              <w:rPr>
                <w:b/>
                <w:sz w:val="24"/>
              </w:rPr>
            </w:pPr>
            <w:r>
              <w:rPr>
                <w:b/>
                <w:sz w:val="24"/>
              </w:rPr>
              <w:t>Efficiency Ratio</w:t>
            </w:r>
          </w:p>
        </w:tc>
      </w:tr>
      <w:tr>
        <w:trPr>
          <w:trHeight w:val="292" w:hRule="atLeast"/>
        </w:trPr>
        <w:tc>
          <w:tcPr>
            <w:tcW w:w="4999" w:type="dxa"/>
          </w:tcPr>
          <w:p>
            <w:pPr>
              <w:pStyle w:val="TableParagraph"/>
              <w:spacing w:line="257" w:lineRule="exact" w:before="15"/>
              <w:rPr>
                <w:b/>
                <w:sz w:val="24"/>
              </w:rPr>
            </w:pPr>
            <w:r>
              <w:rPr>
                <w:b/>
                <w:sz w:val="24"/>
              </w:rPr>
              <w:t>Particulars</w:t>
            </w:r>
          </w:p>
        </w:tc>
        <w:tc>
          <w:tcPr>
            <w:tcW w:w="836" w:type="dxa"/>
          </w:tcPr>
          <w:p>
            <w:pPr>
              <w:pStyle w:val="TableParagraph"/>
              <w:spacing w:line="257" w:lineRule="exact" w:before="15"/>
              <w:ind w:left="109"/>
              <w:rPr>
                <w:b/>
                <w:sz w:val="24"/>
              </w:rPr>
            </w:pPr>
            <w:r>
              <w:rPr>
                <w:b/>
                <w:sz w:val="24"/>
              </w:rPr>
              <w:t>2015</w:t>
            </w:r>
          </w:p>
        </w:tc>
        <w:tc>
          <w:tcPr>
            <w:tcW w:w="840" w:type="dxa"/>
          </w:tcPr>
          <w:p>
            <w:pPr>
              <w:pStyle w:val="TableParagraph"/>
              <w:spacing w:line="257" w:lineRule="exact" w:before="15"/>
              <w:ind w:left="109"/>
              <w:rPr>
                <w:b/>
                <w:sz w:val="24"/>
              </w:rPr>
            </w:pPr>
            <w:r>
              <w:rPr>
                <w:b/>
                <w:sz w:val="24"/>
              </w:rPr>
              <w:t>2016</w:t>
            </w:r>
          </w:p>
        </w:tc>
        <w:tc>
          <w:tcPr>
            <w:tcW w:w="836" w:type="dxa"/>
          </w:tcPr>
          <w:p>
            <w:pPr>
              <w:pStyle w:val="TableParagraph"/>
              <w:spacing w:line="257" w:lineRule="exact" w:before="15"/>
              <w:ind w:left="109"/>
              <w:rPr>
                <w:b/>
                <w:sz w:val="24"/>
              </w:rPr>
            </w:pPr>
            <w:r>
              <w:rPr>
                <w:b/>
                <w:sz w:val="24"/>
              </w:rPr>
              <w:t>2017</w:t>
            </w:r>
          </w:p>
        </w:tc>
        <w:tc>
          <w:tcPr>
            <w:tcW w:w="841" w:type="dxa"/>
          </w:tcPr>
          <w:p>
            <w:pPr>
              <w:pStyle w:val="TableParagraph"/>
              <w:spacing w:line="257" w:lineRule="exact" w:before="15"/>
              <w:ind w:left="109"/>
              <w:rPr>
                <w:b/>
                <w:sz w:val="24"/>
              </w:rPr>
            </w:pPr>
            <w:r>
              <w:rPr>
                <w:b/>
                <w:sz w:val="24"/>
              </w:rPr>
              <w:t>2018</w:t>
            </w:r>
          </w:p>
        </w:tc>
        <w:tc>
          <w:tcPr>
            <w:tcW w:w="836" w:type="dxa"/>
          </w:tcPr>
          <w:p>
            <w:pPr>
              <w:pStyle w:val="TableParagraph"/>
              <w:spacing w:line="257" w:lineRule="exact" w:before="15"/>
              <w:ind w:left="108"/>
              <w:rPr>
                <w:b/>
                <w:sz w:val="24"/>
              </w:rPr>
            </w:pPr>
            <w:r>
              <w:rPr>
                <w:b/>
                <w:sz w:val="24"/>
              </w:rPr>
              <w:t>2019</w:t>
            </w:r>
          </w:p>
        </w:tc>
      </w:tr>
      <w:tr>
        <w:trPr>
          <w:trHeight w:val="301" w:hRule="atLeast"/>
        </w:trPr>
        <w:tc>
          <w:tcPr>
            <w:tcW w:w="4999" w:type="dxa"/>
          </w:tcPr>
          <w:p>
            <w:pPr>
              <w:pStyle w:val="TableParagraph"/>
              <w:spacing w:line="261" w:lineRule="exact" w:before="20"/>
              <w:rPr>
                <w:sz w:val="24"/>
              </w:rPr>
            </w:pPr>
            <w:r>
              <w:rPr>
                <w:sz w:val="24"/>
              </w:rPr>
              <w:t>Interest Income to Expense</w:t>
            </w:r>
          </w:p>
        </w:tc>
        <w:tc>
          <w:tcPr>
            <w:tcW w:w="836" w:type="dxa"/>
          </w:tcPr>
          <w:p>
            <w:pPr>
              <w:pStyle w:val="TableParagraph"/>
              <w:spacing w:line="261" w:lineRule="exact" w:before="20"/>
              <w:ind w:left="109"/>
              <w:rPr>
                <w:sz w:val="24"/>
              </w:rPr>
            </w:pPr>
            <w:r>
              <w:rPr>
                <w:sz w:val="24"/>
              </w:rPr>
              <w:t>0.03</w:t>
            </w:r>
          </w:p>
        </w:tc>
        <w:tc>
          <w:tcPr>
            <w:tcW w:w="840" w:type="dxa"/>
          </w:tcPr>
          <w:p>
            <w:pPr>
              <w:pStyle w:val="TableParagraph"/>
              <w:spacing w:line="261" w:lineRule="exact" w:before="20"/>
              <w:ind w:left="109"/>
              <w:rPr>
                <w:sz w:val="24"/>
              </w:rPr>
            </w:pPr>
            <w:r>
              <w:rPr>
                <w:sz w:val="24"/>
              </w:rPr>
              <w:t>0.04</w:t>
            </w:r>
          </w:p>
        </w:tc>
        <w:tc>
          <w:tcPr>
            <w:tcW w:w="836" w:type="dxa"/>
          </w:tcPr>
          <w:p>
            <w:pPr>
              <w:pStyle w:val="TableParagraph"/>
              <w:spacing w:line="261" w:lineRule="exact" w:before="20"/>
              <w:ind w:left="109"/>
              <w:rPr>
                <w:sz w:val="24"/>
              </w:rPr>
            </w:pPr>
            <w:r>
              <w:rPr>
                <w:sz w:val="24"/>
              </w:rPr>
              <w:t>0.03</w:t>
            </w:r>
          </w:p>
        </w:tc>
        <w:tc>
          <w:tcPr>
            <w:tcW w:w="841" w:type="dxa"/>
          </w:tcPr>
          <w:p>
            <w:pPr>
              <w:pStyle w:val="TableParagraph"/>
              <w:spacing w:line="261" w:lineRule="exact" w:before="20"/>
              <w:ind w:left="109"/>
              <w:rPr>
                <w:sz w:val="24"/>
              </w:rPr>
            </w:pPr>
            <w:r>
              <w:rPr>
                <w:sz w:val="24"/>
              </w:rPr>
              <w:t>0.04</w:t>
            </w:r>
          </w:p>
        </w:tc>
        <w:tc>
          <w:tcPr>
            <w:tcW w:w="836" w:type="dxa"/>
          </w:tcPr>
          <w:p>
            <w:pPr>
              <w:pStyle w:val="TableParagraph"/>
              <w:spacing w:line="261" w:lineRule="exact" w:before="20"/>
              <w:ind w:left="108"/>
              <w:rPr>
                <w:sz w:val="24"/>
              </w:rPr>
            </w:pPr>
            <w:r>
              <w:rPr>
                <w:sz w:val="24"/>
              </w:rPr>
              <w:t>0.04</w:t>
            </w:r>
          </w:p>
        </w:tc>
      </w:tr>
      <w:tr>
        <w:trPr>
          <w:trHeight w:val="301" w:hRule="atLeast"/>
        </w:trPr>
        <w:tc>
          <w:tcPr>
            <w:tcW w:w="4999" w:type="dxa"/>
          </w:tcPr>
          <w:p>
            <w:pPr>
              <w:pStyle w:val="TableParagraph"/>
              <w:spacing w:line="261" w:lineRule="exact" w:before="20"/>
              <w:rPr>
                <w:sz w:val="24"/>
              </w:rPr>
            </w:pPr>
            <w:r>
              <w:rPr>
                <w:sz w:val="24"/>
              </w:rPr>
              <w:t>Operating Expense to assets</w:t>
            </w:r>
          </w:p>
        </w:tc>
        <w:tc>
          <w:tcPr>
            <w:tcW w:w="836" w:type="dxa"/>
          </w:tcPr>
          <w:p>
            <w:pPr>
              <w:pStyle w:val="TableParagraph"/>
              <w:spacing w:line="261" w:lineRule="exact" w:before="20"/>
              <w:ind w:left="109"/>
              <w:rPr>
                <w:sz w:val="24"/>
              </w:rPr>
            </w:pPr>
            <w:r>
              <w:rPr>
                <w:sz w:val="24"/>
              </w:rPr>
              <w:t>0.03</w:t>
            </w:r>
          </w:p>
        </w:tc>
        <w:tc>
          <w:tcPr>
            <w:tcW w:w="840" w:type="dxa"/>
          </w:tcPr>
          <w:p>
            <w:pPr>
              <w:pStyle w:val="TableParagraph"/>
              <w:spacing w:line="261" w:lineRule="exact" w:before="20"/>
              <w:ind w:left="109"/>
              <w:rPr>
                <w:sz w:val="24"/>
              </w:rPr>
            </w:pPr>
            <w:r>
              <w:rPr>
                <w:sz w:val="24"/>
              </w:rPr>
              <w:t>0.03</w:t>
            </w:r>
          </w:p>
        </w:tc>
        <w:tc>
          <w:tcPr>
            <w:tcW w:w="836" w:type="dxa"/>
          </w:tcPr>
          <w:p>
            <w:pPr>
              <w:pStyle w:val="TableParagraph"/>
              <w:spacing w:line="261" w:lineRule="exact" w:before="20"/>
              <w:ind w:left="109"/>
              <w:rPr>
                <w:sz w:val="24"/>
              </w:rPr>
            </w:pPr>
            <w:r>
              <w:rPr>
                <w:sz w:val="24"/>
              </w:rPr>
              <w:t>0.03</w:t>
            </w:r>
          </w:p>
        </w:tc>
        <w:tc>
          <w:tcPr>
            <w:tcW w:w="841" w:type="dxa"/>
          </w:tcPr>
          <w:p>
            <w:pPr>
              <w:pStyle w:val="TableParagraph"/>
              <w:spacing w:line="261" w:lineRule="exact" w:before="20"/>
              <w:ind w:left="109"/>
              <w:rPr>
                <w:sz w:val="24"/>
              </w:rPr>
            </w:pPr>
            <w:r>
              <w:rPr>
                <w:sz w:val="24"/>
              </w:rPr>
              <w:t>0.03</w:t>
            </w:r>
          </w:p>
        </w:tc>
        <w:tc>
          <w:tcPr>
            <w:tcW w:w="836" w:type="dxa"/>
          </w:tcPr>
          <w:p>
            <w:pPr>
              <w:pStyle w:val="TableParagraph"/>
              <w:spacing w:line="261" w:lineRule="exact" w:before="20"/>
              <w:ind w:left="108"/>
              <w:rPr>
                <w:sz w:val="24"/>
              </w:rPr>
            </w:pPr>
            <w:r>
              <w:rPr>
                <w:sz w:val="24"/>
              </w:rPr>
              <w:t>0.03</w:t>
            </w:r>
          </w:p>
        </w:tc>
      </w:tr>
      <w:tr>
        <w:trPr>
          <w:trHeight w:val="302" w:hRule="atLeast"/>
        </w:trPr>
        <w:tc>
          <w:tcPr>
            <w:tcW w:w="4999" w:type="dxa"/>
          </w:tcPr>
          <w:p>
            <w:pPr>
              <w:pStyle w:val="TableParagraph"/>
              <w:spacing w:line="261" w:lineRule="exact" w:before="21"/>
              <w:rPr>
                <w:sz w:val="24"/>
              </w:rPr>
            </w:pPr>
            <w:r>
              <w:rPr>
                <w:sz w:val="24"/>
              </w:rPr>
              <w:t>Operating Income to assets</w:t>
            </w:r>
          </w:p>
        </w:tc>
        <w:tc>
          <w:tcPr>
            <w:tcW w:w="836" w:type="dxa"/>
          </w:tcPr>
          <w:p>
            <w:pPr>
              <w:pStyle w:val="TableParagraph"/>
              <w:spacing w:line="261" w:lineRule="exact" w:before="21"/>
              <w:ind w:left="109"/>
              <w:rPr>
                <w:sz w:val="24"/>
              </w:rPr>
            </w:pPr>
            <w:r>
              <w:rPr>
                <w:sz w:val="24"/>
              </w:rPr>
              <w:t>0.03</w:t>
            </w:r>
          </w:p>
        </w:tc>
        <w:tc>
          <w:tcPr>
            <w:tcW w:w="840" w:type="dxa"/>
          </w:tcPr>
          <w:p>
            <w:pPr>
              <w:pStyle w:val="TableParagraph"/>
              <w:spacing w:line="261" w:lineRule="exact" w:before="21"/>
              <w:ind w:left="109"/>
              <w:rPr>
                <w:sz w:val="24"/>
              </w:rPr>
            </w:pPr>
            <w:r>
              <w:rPr>
                <w:sz w:val="24"/>
              </w:rPr>
              <w:t>0.05</w:t>
            </w:r>
          </w:p>
        </w:tc>
        <w:tc>
          <w:tcPr>
            <w:tcW w:w="836" w:type="dxa"/>
          </w:tcPr>
          <w:p>
            <w:pPr>
              <w:pStyle w:val="TableParagraph"/>
              <w:spacing w:line="261" w:lineRule="exact" w:before="21"/>
              <w:ind w:left="109"/>
              <w:rPr>
                <w:sz w:val="24"/>
              </w:rPr>
            </w:pPr>
            <w:r>
              <w:rPr>
                <w:sz w:val="24"/>
              </w:rPr>
              <w:t>0.03</w:t>
            </w:r>
          </w:p>
        </w:tc>
        <w:tc>
          <w:tcPr>
            <w:tcW w:w="841" w:type="dxa"/>
          </w:tcPr>
          <w:p>
            <w:pPr>
              <w:pStyle w:val="TableParagraph"/>
              <w:spacing w:line="261" w:lineRule="exact" w:before="21"/>
              <w:ind w:left="109"/>
              <w:rPr>
                <w:sz w:val="24"/>
              </w:rPr>
            </w:pPr>
            <w:r>
              <w:rPr>
                <w:sz w:val="24"/>
              </w:rPr>
              <w:t>0.04</w:t>
            </w:r>
          </w:p>
        </w:tc>
        <w:tc>
          <w:tcPr>
            <w:tcW w:w="836" w:type="dxa"/>
          </w:tcPr>
          <w:p>
            <w:pPr>
              <w:pStyle w:val="TableParagraph"/>
              <w:spacing w:line="261" w:lineRule="exact" w:before="21"/>
              <w:ind w:left="108"/>
              <w:rPr>
                <w:sz w:val="24"/>
              </w:rPr>
            </w:pPr>
            <w:r>
              <w:rPr>
                <w:sz w:val="24"/>
              </w:rPr>
              <w:t>0.04</w:t>
            </w:r>
          </w:p>
        </w:tc>
      </w:tr>
      <w:tr>
        <w:trPr>
          <w:trHeight w:val="301" w:hRule="atLeast"/>
        </w:trPr>
        <w:tc>
          <w:tcPr>
            <w:tcW w:w="4999" w:type="dxa"/>
          </w:tcPr>
          <w:p>
            <w:pPr>
              <w:pStyle w:val="TableParagraph"/>
              <w:spacing w:line="261" w:lineRule="exact" w:before="20"/>
              <w:rPr>
                <w:sz w:val="24"/>
              </w:rPr>
            </w:pPr>
            <w:r>
              <w:rPr>
                <w:sz w:val="24"/>
              </w:rPr>
              <w:t>Operating Expense to Revenue</w:t>
            </w:r>
          </w:p>
        </w:tc>
        <w:tc>
          <w:tcPr>
            <w:tcW w:w="836" w:type="dxa"/>
          </w:tcPr>
          <w:p>
            <w:pPr>
              <w:pStyle w:val="TableParagraph"/>
              <w:spacing w:line="261" w:lineRule="exact" w:before="20"/>
              <w:ind w:left="109"/>
              <w:rPr>
                <w:sz w:val="24"/>
              </w:rPr>
            </w:pPr>
            <w:r>
              <w:rPr>
                <w:sz w:val="24"/>
              </w:rPr>
              <w:t>0.82</w:t>
            </w:r>
          </w:p>
        </w:tc>
        <w:tc>
          <w:tcPr>
            <w:tcW w:w="840" w:type="dxa"/>
          </w:tcPr>
          <w:p>
            <w:pPr>
              <w:pStyle w:val="TableParagraph"/>
              <w:spacing w:line="261" w:lineRule="exact" w:before="20"/>
              <w:ind w:left="109"/>
              <w:rPr>
                <w:sz w:val="24"/>
              </w:rPr>
            </w:pPr>
            <w:r>
              <w:rPr>
                <w:sz w:val="24"/>
              </w:rPr>
              <w:t>0.72</w:t>
            </w:r>
          </w:p>
        </w:tc>
        <w:tc>
          <w:tcPr>
            <w:tcW w:w="836" w:type="dxa"/>
          </w:tcPr>
          <w:p>
            <w:pPr>
              <w:pStyle w:val="TableParagraph"/>
              <w:spacing w:line="261" w:lineRule="exact" w:before="20"/>
              <w:ind w:left="109"/>
              <w:rPr>
                <w:sz w:val="24"/>
              </w:rPr>
            </w:pPr>
            <w:r>
              <w:rPr>
                <w:sz w:val="24"/>
              </w:rPr>
              <w:t>0.97</w:t>
            </w:r>
          </w:p>
        </w:tc>
        <w:tc>
          <w:tcPr>
            <w:tcW w:w="841" w:type="dxa"/>
          </w:tcPr>
          <w:p>
            <w:pPr>
              <w:pStyle w:val="TableParagraph"/>
              <w:spacing w:line="261" w:lineRule="exact" w:before="20"/>
              <w:ind w:left="109"/>
              <w:rPr>
                <w:sz w:val="24"/>
              </w:rPr>
            </w:pPr>
            <w:r>
              <w:rPr>
                <w:sz w:val="24"/>
              </w:rPr>
              <w:t>0.80</w:t>
            </w:r>
          </w:p>
        </w:tc>
        <w:tc>
          <w:tcPr>
            <w:tcW w:w="836" w:type="dxa"/>
          </w:tcPr>
          <w:p>
            <w:pPr>
              <w:pStyle w:val="TableParagraph"/>
              <w:spacing w:line="261" w:lineRule="exact" w:before="20"/>
              <w:ind w:left="108"/>
              <w:rPr>
                <w:sz w:val="24"/>
              </w:rPr>
            </w:pPr>
            <w:r>
              <w:rPr>
                <w:sz w:val="24"/>
              </w:rPr>
              <w:t>0.74</w:t>
            </w:r>
          </w:p>
        </w:tc>
      </w:tr>
    </w:tbl>
    <w:p>
      <w:pPr>
        <w:spacing w:after="0" w:line="261" w:lineRule="exact"/>
        <w:rPr>
          <w:sz w:val="24"/>
        </w:rPr>
        <w:sectPr>
          <w:pgSz w:w="12240" w:h="15840"/>
          <w:pgMar w:header="0" w:footer="1039" w:top="1440" w:bottom="1220" w:left="1100" w:right="1300"/>
        </w:sectPr>
      </w:pPr>
    </w:p>
    <w:p>
      <w:pPr>
        <w:pStyle w:val="BodyText"/>
        <w:ind w:left="339"/>
        <w:rPr>
          <w:sz w:val="20"/>
        </w:rPr>
      </w:pPr>
      <w:r>
        <w:rPr>
          <w:sz w:val="20"/>
        </w:rPr>
        <w:pict>
          <v:group style="width:465.05pt;height:202.6pt;mso-position-horizontal-relative:char;mso-position-vertical-relative:line" coordorigin="0,0" coordsize="9301,4052">
            <v:line style="position:absolute" from="227,1366" to="227,3671" stroked="true" strokeweight=".72pt" strokecolor="#d9d9d9">
              <v:stroke dashstyle="solid"/>
            </v:line>
            <v:line style="position:absolute" from="1996,1366" to="1996,3671" stroked="true" strokeweight=".72pt" strokecolor="#d9d9d9">
              <v:stroke dashstyle="solid"/>
            </v:line>
            <v:line style="position:absolute" from="3764,1366" to="3764,3671" stroked="true" strokeweight=".72pt" strokecolor="#d9d9d9">
              <v:stroke dashstyle="solid"/>
            </v:line>
            <v:line style="position:absolute" from="5533,1366" to="5533,3671" stroked="true" strokeweight=".72pt" strokecolor="#d9d9d9">
              <v:stroke dashstyle="solid"/>
            </v:line>
            <v:line style="position:absolute" from="7302,1366" to="7302,3671" stroked="true" strokeweight=".72pt" strokecolor="#d9d9d9">
              <v:stroke dashstyle="solid"/>
            </v:line>
            <v:line style="position:absolute" from="9071,1366" to="9071,3671" stroked="true" strokeweight=".72pt" strokecolor="#d9d9d9">
              <v:stroke dashstyle="solid"/>
            </v:line>
            <v:line style="position:absolute" from="580,3645" to="738,3645" stroked="true" strokeweight="2.63pt" strokecolor="#5b9bd3">
              <v:stroke dashstyle="solid"/>
            </v:line>
            <v:line style="position:absolute" from="2348,3632" to="2507,3632" stroked="true" strokeweight="3.89pt" strokecolor="#5b9bd3">
              <v:stroke dashstyle="solid"/>
            </v:line>
            <v:line style="position:absolute" from="4117,3644" to="4276,3644" stroked="true" strokeweight="2.71pt" strokecolor="#5b9bd3">
              <v:stroke dashstyle="solid"/>
            </v:line>
            <v:line style="position:absolute" from="5886,3635" to="6044,3635" stroked="true" strokeweight="3.59pt" strokecolor="#5b9bd3">
              <v:stroke dashstyle="solid"/>
            </v:line>
            <v:line style="position:absolute" from="7655,3634" to="7813,3634" stroked="true" strokeweight="3.67pt" strokecolor="#5b9bd3">
              <v:stroke dashstyle="solid"/>
            </v:line>
            <v:line style="position:absolute" from="880,3644" to="1038,3644" stroked="true" strokeweight="2.71pt" strokecolor="#eb7b2f">
              <v:stroke dashstyle="solid"/>
            </v:line>
            <v:line style="position:absolute" from="2648,3640" to="2809,3640" stroked="true" strokeweight="3.15pt" strokecolor="#eb7b2f">
              <v:stroke dashstyle="solid"/>
            </v:line>
            <v:line style="position:absolute" from="4417,3642" to="4578,3642" stroked="true" strokeweight="2.93pt" strokecolor="#eb7b2f">
              <v:stroke dashstyle="solid"/>
            </v:line>
            <v:line style="position:absolute" from="6188,3642" to="6347,3642" stroked="true" strokeweight="2.93pt" strokecolor="#eb7b2f">
              <v:stroke dashstyle="solid"/>
            </v:line>
            <v:line style="position:absolute" from="7957,3645" to="8116,3645" stroked="true" strokeweight="2.63pt" strokecolor="#eb7b2f">
              <v:stroke dashstyle="solid"/>
            </v:line>
            <v:line style="position:absolute" from="1183,3637" to="1341,3637" stroked="true" strokeweight="3.37pt" strokecolor="#a3a3a3">
              <v:stroke dashstyle="solid"/>
            </v:line>
            <v:line style="position:absolute" from="2952,3627" to="3110,3627" stroked="true" strokeweight="4.42pt" strokecolor="#a3a3a3">
              <v:stroke dashstyle="solid"/>
            </v:line>
            <v:line style="position:absolute" from="4721,3640" to="4879,3640" stroked="true" strokeweight="3.06pt" strokecolor="#a3a3a3">
              <v:stroke dashstyle="solid"/>
            </v:line>
            <v:line style="position:absolute" from="6489,3634" to="6648,3634" stroked="true" strokeweight="3.67pt" strokecolor="#a3a3a3">
              <v:stroke dashstyle="solid"/>
            </v:line>
            <v:line style="position:absolute" from="8258,3634" to="8417,3634" stroked="true" strokeweight="3.67pt" strokecolor="#a3a3a3">
              <v:stroke dashstyle="solid"/>
            </v:line>
            <v:rect style="position:absolute;left:1485;top:2099;width:159;height:1571" filled="true" fillcolor="#ffc000" stroked="false">
              <v:fill type="solid"/>
            </v:rect>
            <v:rect style="position:absolute;left:3254;top:2290;width:159;height:1380" filled="true" fillcolor="#ffc000" stroked="false">
              <v:fill type="solid"/>
            </v:rect>
            <v:rect style="position:absolute;left:5023;top:1808;width:158;height:1862" filled="true" fillcolor="#ffc000" stroked="false">
              <v:fill type="solid"/>
            </v:rect>
            <v:rect style="position:absolute;left:6792;top:2143;width:158;height:1527" filled="true" fillcolor="#ffc000" stroked="false">
              <v:fill type="solid"/>
            </v:rect>
            <v:rect style="position:absolute;left:8561;top:2256;width:158;height:1414" filled="true" fillcolor="#ffc000" stroked="false">
              <v:fill type="solid"/>
            </v:rect>
            <v:line style="position:absolute" from="228,3671" to="9072,3671" stroked="true" strokeweight=".72pt" strokecolor="#d9d9d9">
              <v:stroke dashstyle="solid"/>
            </v:line>
            <v:rect style="position:absolute;left:2263;top:715;width:101;height:87" filled="true" fillcolor="#5b9bd3" stroked="false">
              <v:fill type="solid"/>
            </v:rect>
            <v:rect style="position:absolute;left:4713;top:715;width:99;height:87" filled="true" fillcolor="#eb7b2f" stroked="false">
              <v:fill type="solid"/>
            </v:rect>
            <v:rect style="position:absolute;left:2263;top:1009;width:101;height:89" filled="true" fillcolor="#a3a3a3" stroked="false">
              <v:fill type="solid"/>
            </v:rect>
            <v:rect style="position:absolute;left:4713;top:1009;width:99;height:89" filled="true" fillcolor="#ffc000" stroked="false">
              <v:fill type="solid"/>
            </v:rect>
            <v:rect style="position:absolute;left:7;top:7;width:9286;height:4037" filled="false" stroked="true" strokeweight=".72pt" strokecolor="#d9d9d9">
              <v:stroke dashstyle="solid"/>
            </v:rect>
            <v:shape style="position:absolute;left:3269;top:196;width:2751;height:279" type="#_x0000_t75" stroked="false">
              <v:imagedata r:id="rId97" o:title=""/>
            </v:shape>
            <v:shape style="position:absolute;left:2405;top:685;width:2021;height:159" type="#_x0000_t75" stroked="false">
              <v:imagedata r:id="rId98" o:title=""/>
            </v:shape>
            <v:shape style="position:absolute;left:4857;top:685;width:2079;height:159" type="#_x0000_t75" stroked="false">
              <v:imagedata r:id="rId99" o:title=""/>
            </v:shape>
            <v:shape style="position:absolute;left:2405;top:983;width:4724;height:154" type="#_x0000_t75" stroked="false">
              <v:imagedata r:id="rId100" o:title=""/>
            </v:shape>
            <v:shape style="position:absolute;left:897;top:3786;width:447;height:144" type="#_x0000_t75" stroked="false">
              <v:imagedata r:id="rId101" o:title=""/>
            </v:shape>
            <v:shape style="position:absolute;left:2669;top:3786;width:442;height:144" type="#_x0000_t75" stroked="false">
              <v:imagedata r:id="rId101" o:title=""/>
            </v:shape>
            <v:shape style="position:absolute;left:4435;top:3786;width:447;height:144" type="#_x0000_t75" stroked="false">
              <v:imagedata r:id="rId101" o:title=""/>
            </v:shape>
            <v:shape style="position:absolute;left:6206;top:3786;width:442;height:144" type="#_x0000_t75" stroked="false">
              <v:imagedata r:id="rId101" o:title=""/>
            </v:shape>
            <v:shape style="position:absolute;left:7977;top:3786;width:442;height:144" type="#_x0000_t75" stroked="false">
              <v:imagedata r:id="rId101" o:title=""/>
            </v:shape>
            <v:shape style="position:absolute;left:7981;top:380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2019</w:t>
                    </w:r>
                  </w:p>
                </w:txbxContent>
              </v:textbox>
              <w10:wrap type="none"/>
            </v:shape>
            <v:shape style="position:absolute;left:6209;top:380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2018</w:t>
                    </w:r>
                  </w:p>
                </w:txbxContent>
              </v:textbox>
              <w10:wrap type="none"/>
            </v:shape>
            <v:shape style="position:absolute;left:4437;top:380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2017</w:t>
                    </w:r>
                  </w:p>
                </w:txbxContent>
              </v:textbox>
              <w10:wrap type="none"/>
            </v:shape>
            <v:shape style="position:absolute;left:2670;top:380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2016</w:t>
                    </w:r>
                  </w:p>
                </w:txbxContent>
              </v:textbox>
              <w10:wrap type="none"/>
            </v:shape>
            <v:shape style="position:absolute;left:898;top:380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2015</w:t>
                    </w:r>
                  </w:p>
                </w:txbxContent>
              </v:textbox>
              <w10:wrap type="none"/>
            </v:shape>
            <v:shape style="position:absolute;left:4855;top:692;width:2267;height:481" type="#_x0000_t202" filled="false" stroked="false">
              <v:textbox inset="0,0,0,0">
                <w:txbxContent>
                  <w:p>
                    <w:pPr>
                      <w:spacing w:line="185" w:lineRule="exact" w:before="0"/>
                      <w:ind w:left="4" w:right="0" w:firstLine="0"/>
                      <w:jc w:val="left"/>
                      <w:rPr>
                        <w:rFonts w:ascii="Calibri"/>
                        <w:sz w:val="18"/>
                      </w:rPr>
                    </w:pPr>
                    <w:r>
                      <w:rPr>
                        <w:rFonts w:ascii="Calibri"/>
                        <w:color w:val="575757"/>
                        <w:sz w:val="18"/>
                      </w:rPr>
                      <w:t>Operating Expense to assets</w:t>
                    </w:r>
                  </w:p>
                  <w:p>
                    <w:pPr>
                      <w:spacing w:line="217" w:lineRule="exact" w:before="78"/>
                      <w:ind w:left="0" w:right="0" w:firstLine="0"/>
                      <w:jc w:val="left"/>
                      <w:rPr>
                        <w:rFonts w:ascii="Calibri"/>
                        <w:sz w:val="18"/>
                      </w:rPr>
                    </w:pPr>
                    <w:r>
                      <w:rPr>
                        <w:rFonts w:ascii="Calibri"/>
                        <w:color w:val="575757"/>
                        <w:sz w:val="18"/>
                      </w:rPr>
                      <w:t>Operating Expense to Revenue</w:t>
                    </w:r>
                  </w:p>
                </w:txbxContent>
              </v:textbox>
              <w10:wrap type="none"/>
            </v:shape>
            <v:shape style="position:absolute;left:2406;top:692;width:2022;height:481" type="#_x0000_t202" filled="false" stroked="false">
              <v:textbox inset="0,0,0,0">
                <w:txbxContent>
                  <w:p>
                    <w:pPr>
                      <w:spacing w:line="185" w:lineRule="exact" w:before="0"/>
                      <w:ind w:left="0" w:right="0" w:firstLine="0"/>
                      <w:jc w:val="left"/>
                      <w:rPr>
                        <w:rFonts w:ascii="Calibri"/>
                        <w:sz w:val="18"/>
                      </w:rPr>
                    </w:pPr>
                    <w:r>
                      <w:rPr>
                        <w:rFonts w:ascii="Calibri"/>
                        <w:color w:val="575757"/>
                        <w:sz w:val="18"/>
                      </w:rPr>
                      <w:t>Interest Income to</w:t>
                    </w:r>
                    <w:r>
                      <w:rPr>
                        <w:rFonts w:ascii="Calibri"/>
                        <w:color w:val="575757"/>
                        <w:spacing w:val="-10"/>
                        <w:sz w:val="18"/>
                      </w:rPr>
                      <w:t> </w:t>
                    </w:r>
                    <w:r>
                      <w:rPr>
                        <w:rFonts w:ascii="Calibri"/>
                        <w:color w:val="575757"/>
                        <w:sz w:val="18"/>
                      </w:rPr>
                      <w:t>Expense</w:t>
                    </w:r>
                  </w:p>
                  <w:p>
                    <w:pPr>
                      <w:spacing w:line="217" w:lineRule="exact" w:before="78"/>
                      <w:ind w:left="0" w:right="0" w:firstLine="0"/>
                      <w:jc w:val="left"/>
                      <w:rPr>
                        <w:rFonts w:ascii="Calibri"/>
                        <w:sz w:val="18"/>
                      </w:rPr>
                    </w:pPr>
                    <w:r>
                      <w:rPr>
                        <w:rFonts w:ascii="Calibri"/>
                        <w:color w:val="575757"/>
                        <w:sz w:val="18"/>
                      </w:rPr>
                      <w:t>Operating Income to</w:t>
                    </w:r>
                    <w:r>
                      <w:rPr>
                        <w:rFonts w:ascii="Calibri"/>
                        <w:color w:val="575757"/>
                        <w:spacing w:val="-13"/>
                        <w:sz w:val="18"/>
                      </w:rPr>
                      <w:t> </w:t>
                    </w:r>
                    <w:r>
                      <w:rPr>
                        <w:rFonts w:ascii="Calibri"/>
                        <w:color w:val="575757"/>
                        <w:sz w:val="18"/>
                      </w:rPr>
                      <w:t>assets</w:t>
                    </w:r>
                  </w:p>
                </w:txbxContent>
              </v:textbox>
              <w10:wrap type="none"/>
            </v:shape>
            <v:shape style="position:absolute;left:3271;top:209;width:2426;height:322" type="#_x0000_t202" filled="false" stroked="false">
              <v:textbox inset="0,0,0,0">
                <w:txbxContent>
                  <w:p>
                    <w:pPr>
                      <w:spacing w:line="322" w:lineRule="exact" w:before="0"/>
                      <w:ind w:left="0" w:right="0" w:firstLine="0"/>
                      <w:jc w:val="left"/>
                      <w:rPr>
                        <w:rFonts w:ascii="Calibri"/>
                        <w:b/>
                        <w:sz w:val="32"/>
                      </w:rPr>
                    </w:pPr>
                    <w:r>
                      <w:rPr>
                        <w:rFonts w:ascii="Calibri"/>
                        <w:b/>
                        <w:color w:val="575757"/>
                        <w:sz w:val="32"/>
                      </w:rPr>
                      <w:t>EFFICIENCY RATIO</w:t>
                    </w:r>
                  </w:p>
                </w:txbxContent>
              </v:textbox>
              <w10:wrap type="none"/>
            </v:shape>
          </v:group>
        </w:pict>
      </w:r>
      <w:r>
        <w:rPr>
          <w:sz w:val="20"/>
        </w:rPr>
      </w:r>
    </w:p>
    <w:p>
      <w:pPr>
        <w:pStyle w:val="BodyText"/>
        <w:rPr>
          <w:sz w:val="20"/>
        </w:rPr>
      </w:pPr>
    </w:p>
    <w:p>
      <w:pPr>
        <w:pStyle w:val="BodyText"/>
        <w:spacing w:line="360" w:lineRule="auto" w:before="219"/>
        <w:ind w:left="340" w:right="137"/>
        <w:jc w:val="both"/>
      </w:pPr>
      <w:r>
        <w:rPr>
          <w:b/>
        </w:rPr>
        <w:t>Interpretation: </w:t>
      </w:r>
      <w:r>
        <w:rPr/>
        <w:t>Interest expense </w:t>
      </w:r>
      <w:r>
        <w:rPr>
          <w:spacing w:val="-3"/>
        </w:rPr>
        <w:t>is </w:t>
      </w:r>
      <w:r>
        <w:rPr/>
        <w:t>going </w:t>
      </w:r>
      <w:r>
        <w:rPr>
          <w:spacing w:val="2"/>
        </w:rPr>
        <w:t>to </w:t>
      </w:r>
      <w:r>
        <w:rPr>
          <w:spacing w:val="-3"/>
        </w:rPr>
        <w:t>be </w:t>
      </w:r>
      <w:r>
        <w:rPr/>
        <w:t>on the higher facet during periods </w:t>
      </w:r>
      <w:r>
        <w:rPr>
          <w:spacing w:val="4"/>
        </w:rPr>
        <w:t>of </w:t>
      </w:r>
      <w:r>
        <w:rPr/>
        <w:t>rampant inflation</w:t>
      </w:r>
      <w:r>
        <w:rPr>
          <w:spacing w:val="-16"/>
        </w:rPr>
        <w:t> </w:t>
      </w:r>
      <w:r>
        <w:rPr/>
        <w:t>since</w:t>
      </w:r>
      <w:r>
        <w:rPr>
          <w:spacing w:val="-13"/>
        </w:rPr>
        <w:t> </w:t>
      </w:r>
      <w:r>
        <w:rPr>
          <w:spacing w:val="-3"/>
        </w:rPr>
        <w:t>most</w:t>
      </w:r>
      <w:r>
        <w:rPr>
          <w:spacing w:val="-12"/>
        </w:rPr>
        <w:t> </w:t>
      </w:r>
      <w:r>
        <w:rPr/>
        <w:t>companies</w:t>
      </w:r>
      <w:r>
        <w:rPr>
          <w:spacing w:val="-18"/>
        </w:rPr>
        <w:t> </w:t>
      </w:r>
      <w:r>
        <w:rPr/>
        <w:t>will</w:t>
      </w:r>
      <w:r>
        <w:rPr>
          <w:spacing w:val="-16"/>
        </w:rPr>
        <w:t> </w:t>
      </w:r>
      <w:r>
        <w:rPr/>
        <w:t>have</w:t>
      </w:r>
      <w:r>
        <w:rPr>
          <w:spacing w:val="-13"/>
        </w:rPr>
        <w:t> </w:t>
      </w:r>
      <w:r>
        <w:rPr/>
        <w:t>incurred</w:t>
      </w:r>
      <w:r>
        <w:rPr>
          <w:spacing w:val="-17"/>
        </w:rPr>
        <w:t> </w:t>
      </w:r>
      <w:r>
        <w:rPr/>
        <w:t>debt</w:t>
      </w:r>
      <w:r>
        <w:rPr>
          <w:spacing w:val="-12"/>
        </w:rPr>
        <w:t> </w:t>
      </w:r>
      <w:r>
        <w:rPr/>
        <w:t>that</w:t>
      </w:r>
      <w:r>
        <w:rPr>
          <w:spacing w:val="-12"/>
        </w:rPr>
        <w:t> </w:t>
      </w:r>
      <w:r>
        <w:rPr/>
        <w:t>carries</w:t>
      </w:r>
      <w:r>
        <w:rPr>
          <w:spacing w:val="-18"/>
        </w:rPr>
        <w:t> </w:t>
      </w:r>
      <w:r>
        <w:rPr/>
        <w:t>a</w:t>
      </w:r>
      <w:r>
        <w:rPr>
          <w:spacing w:val="-14"/>
        </w:rPr>
        <w:t> </w:t>
      </w:r>
      <w:r>
        <w:rPr/>
        <w:t>higher</w:t>
      </w:r>
      <w:r>
        <w:rPr>
          <w:spacing w:val="-10"/>
        </w:rPr>
        <w:t> </w:t>
      </w:r>
      <w:r>
        <w:rPr/>
        <w:t>interest</w:t>
      </w:r>
      <w:r>
        <w:rPr>
          <w:spacing w:val="-12"/>
        </w:rPr>
        <w:t> </w:t>
      </w:r>
      <w:r>
        <w:rPr/>
        <w:t>rate.</w:t>
      </w:r>
      <w:r>
        <w:rPr>
          <w:spacing w:val="-14"/>
        </w:rPr>
        <w:t> </w:t>
      </w:r>
      <w:r>
        <w:rPr/>
        <w:t>The</w:t>
      </w:r>
      <w:r>
        <w:rPr>
          <w:spacing w:val="-17"/>
        </w:rPr>
        <w:t> </w:t>
      </w:r>
      <w:r>
        <w:rPr/>
        <w:t>Banks Interest</w:t>
      </w:r>
      <w:r>
        <w:rPr>
          <w:spacing w:val="-15"/>
        </w:rPr>
        <w:t> </w:t>
      </w:r>
      <w:r>
        <w:rPr/>
        <w:t>Income</w:t>
      </w:r>
      <w:r>
        <w:rPr>
          <w:spacing w:val="-21"/>
        </w:rPr>
        <w:t> </w:t>
      </w:r>
      <w:r>
        <w:rPr>
          <w:spacing w:val="2"/>
        </w:rPr>
        <w:t>to</w:t>
      </w:r>
      <w:r>
        <w:rPr>
          <w:spacing w:val="-15"/>
        </w:rPr>
        <w:t> </w:t>
      </w:r>
      <w:r>
        <w:rPr/>
        <w:t>Expense</w:t>
      </w:r>
      <w:r>
        <w:rPr>
          <w:spacing w:val="-17"/>
        </w:rPr>
        <w:t> </w:t>
      </w:r>
      <w:r>
        <w:rPr>
          <w:spacing w:val="-3"/>
        </w:rPr>
        <w:t>is</w:t>
      </w:r>
      <w:r>
        <w:rPr>
          <w:spacing w:val="-18"/>
        </w:rPr>
        <w:t> </w:t>
      </w:r>
      <w:r>
        <w:rPr/>
        <w:t>2015</w:t>
      </w:r>
      <w:r>
        <w:rPr>
          <w:spacing w:val="-15"/>
        </w:rPr>
        <w:t> </w:t>
      </w:r>
      <w:r>
        <w:rPr/>
        <w:t>to</w:t>
      </w:r>
      <w:r>
        <w:rPr>
          <w:spacing w:val="-16"/>
        </w:rPr>
        <w:t> </w:t>
      </w:r>
      <w:r>
        <w:rPr/>
        <w:t>2019</w:t>
      </w:r>
      <w:r>
        <w:rPr>
          <w:spacing w:val="-20"/>
        </w:rPr>
        <w:t> </w:t>
      </w:r>
      <w:r>
        <w:rPr/>
        <w:t>was</w:t>
      </w:r>
      <w:r>
        <w:rPr>
          <w:spacing w:val="-17"/>
        </w:rPr>
        <w:t> </w:t>
      </w:r>
      <w:r>
        <w:rPr/>
        <w:t>0.03,</w:t>
      </w:r>
      <w:r>
        <w:rPr>
          <w:spacing w:val="-13"/>
        </w:rPr>
        <w:t> </w:t>
      </w:r>
      <w:r>
        <w:rPr/>
        <w:t>0.04,</w:t>
      </w:r>
      <w:r>
        <w:rPr>
          <w:spacing w:val="-19"/>
        </w:rPr>
        <w:t> </w:t>
      </w:r>
      <w:r>
        <w:rPr/>
        <w:t>0.03,</w:t>
      </w:r>
      <w:r>
        <w:rPr>
          <w:spacing w:val="-17"/>
        </w:rPr>
        <w:t> </w:t>
      </w:r>
      <w:r>
        <w:rPr/>
        <w:t>0.04,</w:t>
      </w:r>
      <w:r>
        <w:rPr>
          <w:spacing w:val="-18"/>
        </w:rPr>
        <w:t> </w:t>
      </w:r>
      <w:r>
        <w:rPr/>
        <w:t>and</w:t>
      </w:r>
      <w:r>
        <w:rPr>
          <w:spacing w:val="-20"/>
        </w:rPr>
        <w:t> </w:t>
      </w:r>
      <w:r>
        <w:rPr/>
        <w:t>0.04.</w:t>
      </w:r>
      <w:r>
        <w:rPr>
          <w:spacing w:val="-18"/>
        </w:rPr>
        <w:t> </w:t>
      </w:r>
      <w:r>
        <w:rPr/>
        <w:t>Operating</w:t>
      </w:r>
      <w:r>
        <w:rPr>
          <w:spacing w:val="-19"/>
        </w:rPr>
        <w:t> </w:t>
      </w:r>
      <w:r>
        <w:rPr/>
        <w:t>Expense</w:t>
      </w:r>
    </w:p>
    <w:p>
      <w:pPr>
        <w:pStyle w:val="BodyText"/>
        <w:spacing w:line="360" w:lineRule="auto"/>
        <w:ind w:left="340" w:right="139"/>
        <w:jc w:val="both"/>
      </w:pPr>
      <w:r>
        <w:rPr/>
        <w:t>to Assets </w:t>
      </w:r>
      <w:r>
        <w:rPr>
          <w:spacing w:val="-5"/>
        </w:rPr>
        <w:t>is </w:t>
      </w:r>
      <w:r>
        <w:rPr/>
        <w:t>2015 </w:t>
      </w:r>
      <w:r>
        <w:rPr>
          <w:spacing w:val="2"/>
        </w:rPr>
        <w:t>to </w:t>
      </w:r>
      <w:r>
        <w:rPr/>
        <w:t>2019 </w:t>
      </w:r>
      <w:r>
        <w:rPr>
          <w:spacing w:val="-3"/>
        </w:rPr>
        <w:t>it’s </w:t>
      </w:r>
      <w:r>
        <w:rPr/>
        <w:t>as above or </w:t>
      </w:r>
      <w:r>
        <w:rPr>
          <w:spacing w:val="-4"/>
        </w:rPr>
        <w:t>same </w:t>
      </w:r>
      <w:r>
        <w:rPr/>
        <w:t>its 0.03, 0.03, 0.03, 0.03, and 0.03. Operating Income to Assets 2014 </w:t>
      </w:r>
      <w:r>
        <w:rPr>
          <w:spacing w:val="-5"/>
        </w:rPr>
        <w:t>is </w:t>
      </w:r>
      <w:r>
        <w:rPr/>
        <w:t>highest was 0.05 and 2015 to 2019 </w:t>
      </w:r>
      <w:r>
        <w:rPr>
          <w:spacing w:val="-3"/>
        </w:rPr>
        <w:t>it’s </w:t>
      </w:r>
      <w:r>
        <w:rPr/>
        <w:t>gradually Decreased. The operating</w:t>
      </w:r>
      <w:r>
        <w:rPr>
          <w:spacing w:val="-17"/>
        </w:rPr>
        <w:t> </w:t>
      </w:r>
      <w:r>
        <w:rPr/>
        <w:t>expense</w:t>
      </w:r>
      <w:r>
        <w:rPr>
          <w:spacing w:val="-12"/>
        </w:rPr>
        <w:t> </w:t>
      </w:r>
      <w:r>
        <w:rPr/>
        <w:t>ratio</w:t>
      </w:r>
      <w:r>
        <w:rPr>
          <w:spacing w:val="-8"/>
        </w:rPr>
        <w:t> </w:t>
      </w:r>
      <w:r>
        <w:rPr/>
        <w:t>(OER)</w:t>
      </w:r>
      <w:r>
        <w:rPr>
          <w:spacing w:val="-15"/>
        </w:rPr>
        <w:t> </w:t>
      </w:r>
      <w:r>
        <w:rPr>
          <w:spacing w:val="-5"/>
        </w:rPr>
        <w:t>is</w:t>
      </w:r>
      <w:r>
        <w:rPr>
          <w:spacing w:val="-15"/>
        </w:rPr>
        <w:t> </w:t>
      </w:r>
      <w:r>
        <w:rPr/>
        <w:t>a</w:t>
      </w:r>
      <w:r>
        <w:rPr>
          <w:spacing w:val="-9"/>
        </w:rPr>
        <w:t> </w:t>
      </w:r>
      <w:r>
        <w:rPr/>
        <w:t>measure</w:t>
      </w:r>
      <w:r>
        <w:rPr>
          <w:spacing w:val="-13"/>
        </w:rPr>
        <w:t> </w:t>
      </w:r>
      <w:r>
        <w:rPr/>
        <w:t>of</w:t>
      </w:r>
      <w:r>
        <w:rPr>
          <w:spacing w:val="-21"/>
        </w:rPr>
        <w:t> </w:t>
      </w:r>
      <w:r>
        <w:rPr/>
        <w:t>what</w:t>
      </w:r>
      <w:r>
        <w:rPr>
          <w:spacing w:val="-7"/>
        </w:rPr>
        <w:t> </w:t>
      </w:r>
      <w:r>
        <w:rPr>
          <w:spacing w:val="-5"/>
        </w:rPr>
        <w:t>it</w:t>
      </w:r>
      <w:r>
        <w:rPr>
          <w:spacing w:val="-8"/>
        </w:rPr>
        <w:t> </w:t>
      </w:r>
      <w:r>
        <w:rPr/>
        <w:t>costs</w:t>
      </w:r>
      <w:r>
        <w:rPr>
          <w:spacing w:val="-19"/>
        </w:rPr>
        <w:t> </w:t>
      </w:r>
      <w:r>
        <w:rPr/>
        <w:t>to</w:t>
      </w:r>
      <w:r>
        <w:rPr>
          <w:spacing w:val="-13"/>
        </w:rPr>
        <w:t> </w:t>
      </w:r>
      <w:r>
        <w:rPr/>
        <w:t>operate</w:t>
      </w:r>
      <w:r>
        <w:rPr>
          <w:spacing w:val="-13"/>
        </w:rPr>
        <w:t> </w:t>
      </w:r>
      <w:r>
        <w:rPr/>
        <w:t>a</w:t>
      </w:r>
      <w:r>
        <w:rPr>
          <w:spacing w:val="-13"/>
        </w:rPr>
        <w:t> </w:t>
      </w:r>
      <w:r>
        <w:rPr/>
        <w:t>piece</w:t>
      </w:r>
      <w:r>
        <w:rPr>
          <w:spacing w:val="-13"/>
        </w:rPr>
        <w:t> </w:t>
      </w:r>
      <w:r>
        <w:rPr/>
        <w:t>of</w:t>
      </w:r>
      <w:r>
        <w:rPr>
          <w:spacing w:val="-20"/>
        </w:rPr>
        <w:t> </w:t>
      </w:r>
      <w:r>
        <w:rPr/>
        <w:t>property</w:t>
      </w:r>
      <w:r>
        <w:rPr>
          <w:spacing w:val="-26"/>
        </w:rPr>
        <w:t> </w:t>
      </w:r>
      <w:r>
        <w:rPr/>
        <w:t>compared to the income that the property brings </w:t>
      </w:r>
      <w:r>
        <w:rPr>
          <w:spacing w:val="-3"/>
        </w:rPr>
        <w:t>in </w:t>
      </w:r>
      <w:r>
        <w:rPr/>
        <w:t>the higher the BEP ratio. Operating Expense </w:t>
      </w:r>
      <w:r>
        <w:rPr>
          <w:spacing w:val="2"/>
        </w:rPr>
        <w:t>to </w:t>
      </w:r>
      <w:r>
        <w:rPr/>
        <w:t>Revenue its</w:t>
      </w:r>
      <w:r>
        <w:rPr>
          <w:spacing w:val="-13"/>
        </w:rPr>
        <w:t> </w:t>
      </w:r>
      <w:r>
        <w:rPr/>
        <w:t>best</w:t>
      </w:r>
      <w:r>
        <w:rPr>
          <w:spacing w:val="-9"/>
        </w:rPr>
        <w:t> </w:t>
      </w:r>
      <w:r>
        <w:rPr/>
        <w:t>side</w:t>
      </w:r>
      <w:r>
        <w:rPr>
          <w:spacing w:val="-15"/>
        </w:rPr>
        <w:t> </w:t>
      </w:r>
      <w:r>
        <w:rPr>
          <w:spacing w:val="4"/>
        </w:rPr>
        <w:t>of</w:t>
      </w:r>
      <w:r>
        <w:rPr>
          <w:spacing w:val="-21"/>
        </w:rPr>
        <w:t> </w:t>
      </w:r>
      <w:r>
        <w:rPr/>
        <w:t>the</w:t>
      </w:r>
      <w:r>
        <w:rPr>
          <w:spacing w:val="-9"/>
        </w:rPr>
        <w:t> </w:t>
      </w:r>
      <w:r>
        <w:rPr/>
        <w:t>bank</w:t>
      </w:r>
      <w:r>
        <w:rPr>
          <w:spacing w:val="-14"/>
        </w:rPr>
        <w:t> </w:t>
      </w:r>
      <w:r>
        <w:rPr/>
        <w:t>and</w:t>
      </w:r>
      <w:r>
        <w:rPr>
          <w:spacing w:val="-10"/>
        </w:rPr>
        <w:t> </w:t>
      </w:r>
      <w:r>
        <w:rPr/>
        <w:t>its</w:t>
      </w:r>
      <w:r>
        <w:rPr>
          <w:spacing w:val="-12"/>
        </w:rPr>
        <w:t> </w:t>
      </w:r>
      <w:r>
        <w:rPr/>
        <w:t>year</w:t>
      </w:r>
      <w:r>
        <w:rPr>
          <w:spacing w:val="-13"/>
        </w:rPr>
        <w:t> </w:t>
      </w:r>
      <w:r>
        <w:rPr/>
        <w:t>of</w:t>
      </w:r>
      <w:r>
        <w:rPr>
          <w:spacing w:val="-22"/>
        </w:rPr>
        <w:t> </w:t>
      </w:r>
      <w:r>
        <w:rPr/>
        <w:t>2015</w:t>
      </w:r>
      <w:r>
        <w:rPr>
          <w:spacing w:val="-14"/>
        </w:rPr>
        <w:t> </w:t>
      </w:r>
      <w:r>
        <w:rPr/>
        <w:t>was</w:t>
      </w:r>
      <w:r>
        <w:rPr>
          <w:spacing w:val="-16"/>
        </w:rPr>
        <w:t> </w:t>
      </w:r>
      <w:r>
        <w:rPr/>
        <w:t>0.82,</w:t>
      </w:r>
      <w:r>
        <w:rPr>
          <w:spacing w:val="-13"/>
        </w:rPr>
        <w:t> </w:t>
      </w:r>
      <w:r>
        <w:rPr/>
        <w:t>2016</w:t>
      </w:r>
      <w:r>
        <w:rPr>
          <w:spacing w:val="-14"/>
        </w:rPr>
        <w:t> </w:t>
      </w:r>
      <w:r>
        <w:rPr/>
        <w:t>was</w:t>
      </w:r>
      <w:r>
        <w:rPr>
          <w:spacing w:val="-16"/>
        </w:rPr>
        <w:t> </w:t>
      </w:r>
      <w:r>
        <w:rPr/>
        <w:t>0.72,</w:t>
      </w:r>
      <w:r>
        <w:rPr>
          <w:spacing w:val="-12"/>
        </w:rPr>
        <w:t> </w:t>
      </w:r>
      <w:r>
        <w:rPr/>
        <w:t>2015</w:t>
      </w:r>
      <w:r>
        <w:rPr>
          <w:spacing w:val="-14"/>
        </w:rPr>
        <w:t> </w:t>
      </w:r>
      <w:r>
        <w:rPr/>
        <w:t>was</w:t>
      </w:r>
      <w:r>
        <w:rPr>
          <w:spacing w:val="-17"/>
        </w:rPr>
        <w:t> </w:t>
      </w:r>
      <w:r>
        <w:rPr/>
        <w:t>0.97</w:t>
      </w:r>
      <w:r>
        <w:rPr>
          <w:spacing w:val="-14"/>
        </w:rPr>
        <w:t> </w:t>
      </w:r>
      <w:r>
        <w:rPr/>
        <w:t>and</w:t>
      </w:r>
      <w:r>
        <w:rPr>
          <w:spacing w:val="-11"/>
        </w:rPr>
        <w:t> </w:t>
      </w:r>
      <w:r>
        <w:rPr/>
        <w:t>its</w:t>
      </w:r>
      <w:r>
        <w:rPr>
          <w:spacing w:val="-12"/>
        </w:rPr>
        <w:t> </w:t>
      </w:r>
      <w:r>
        <w:rPr/>
        <w:t>highest </w:t>
      </w:r>
      <w:r>
        <w:rPr>
          <w:spacing w:val="-3"/>
        </w:rPr>
        <w:t>in </w:t>
      </w:r>
      <w:r>
        <w:rPr/>
        <w:t>the year and 2018 was 0.80 and 2019 was</w:t>
      </w:r>
      <w:r>
        <w:rPr>
          <w:spacing w:val="17"/>
        </w:rPr>
        <w:t> </w:t>
      </w:r>
      <w:r>
        <w:rPr/>
        <w:t>0.74.</w:t>
      </w:r>
    </w:p>
    <w:p>
      <w:pPr>
        <w:pStyle w:val="BodyText"/>
        <w:spacing w:before="5"/>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42"/>
        <w:gridCol w:w="1086"/>
        <w:gridCol w:w="1081"/>
        <w:gridCol w:w="1081"/>
        <w:gridCol w:w="1080"/>
        <w:gridCol w:w="1080"/>
      </w:tblGrid>
      <w:tr>
        <w:trPr>
          <w:trHeight w:val="513" w:hRule="atLeast"/>
        </w:trPr>
        <w:tc>
          <w:tcPr>
            <w:tcW w:w="9250" w:type="dxa"/>
            <w:gridSpan w:val="6"/>
          </w:tcPr>
          <w:p>
            <w:pPr>
              <w:pStyle w:val="TableParagraph"/>
              <w:spacing w:line="250" w:lineRule="exact"/>
              <w:ind w:left="3981" w:right="3965"/>
              <w:jc w:val="center"/>
              <w:rPr>
                <w:b/>
                <w:sz w:val="24"/>
              </w:rPr>
            </w:pPr>
            <w:r>
              <w:rPr>
                <w:b/>
                <w:sz w:val="24"/>
              </w:rPr>
              <w:t>Profitability</w:t>
            </w:r>
          </w:p>
          <w:p>
            <w:pPr>
              <w:pStyle w:val="TableParagraph"/>
              <w:spacing w:line="243" w:lineRule="exact"/>
              <w:ind w:left="3981" w:right="3960"/>
              <w:jc w:val="center"/>
              <w:rPr>
                <w:b/>
                <w:sz w:val="24"/>
              </w:rPr>
            </w:pPr>
            <w:r>
              <w:rPr>
                <w:b/>
                <w:sz w:val="24"/>
              </w:rPr>
              <w:t>Ratio</w:t>
            </w:r>
          </w:p>
        </w:tc>
      </w:tr>
      <w:tr>
        <w:trPr>
          <w:trHeight w:val="258" w:hRule="atLeast"/>
        </w:trPr>
        <w:tc>
          <w:tcPr>
            <w:tcW w:w="3842" w:type="dxa"/>
          </w:tcPr>
          <w:p>
            <w:pPr>
              <w:pStyle w:val="TableParagraph"/>
              <w:spacing w:line="239" w:lineRule="exact"/>
              <w:rPr>
                <w:b/>
                <w:sz w:val="24"/>
              </w:rPr>
            </w:pPr>
            <w:r>
              <w:rPr>
                <w:b/>
                <w:sz w:val="24"/>
              </w:rPr>
              <w:t>Particulars</w:t>
            </w:r>
          </w:p>
        </w:tc>
        <w:tc>
          <w:tcPr>
            <w:tcW w:w="1086" w:type="dxa"/>
          </w:tcPr>
          <w:p>
            <w:pPr>
              <w:pStyle w:val="TableParagraph"/>
              <w:spacing w:line="239" w:lineRule="exact"/>
              <w:ind w:left="109"/>
              <w:rPr>
                <w:b/>
                <w:sz w:val="24"/>
              </w:rPr>
            </w:pPr>
            <w:r>
              <w:rPr>
                <w:b/>
                <w:sz w:val="24"/>
              </w:rPr>
              <w:t>2015</w:t>
            </w:r>
          </w:p>
        </w:tc>
        <w:tc>
          <w:tcPr>
            <w:tcW w:w="1081" w:type="dxa"/>
          </w:tcPr>
          <w:p>
            <w:pPr>
              <w:pStyle w:val="TableParagraph"/>
              <w:spacing w:line="239" w:lineRule="exact"/>
              <w:ind w:left="108"/>
              <w:rPr>
                <w:b/>
                <w:sz w:val="24"/>
              </w:rPr>
            </w:pPr>
            <w:r>
              <w:rPr>
                <w:b/>
                <w:sz w:val="24"/>
              </w:rPr>
              <w:t>2016</w:t>
            </w:r>
          </w:p>
        </w:tc>
        <w:tc>
          <w:tcPr>
            <w:tcW w:w="1081" w:type="dxa"/>
          </w:tcPr>
          <w:p>
            <w:pPr>
              <w:pStyle w:val="TableParagraph"/>
              <w:spacing w:line="239" w:lineRule="exact"/>
              <w:ind w:left="108"/>
              <w:rPr>
                <w:b/>
                <w:sz w:val="24"/>
              </w:rPr>
            </w:pPr>
            <w:r>
              <w:rPr>
                <w:b/>
                <w:sz w:val="24"/>
              </w:rPr>
              <w:t>2017</w:t>
            </w:r>
          </w:p>
        </w:tc>
        <w:tc>
          <w:tcPr>
            <w:tcW w:w="1080" w:type="dxa"/>
          </w:tcPr>
          <w:p>
            <w:pPr>
              <w:pStyle w:val="TableParagraph"/>
              <w:spacing w:line="239" w:lineRule="exact"/>
              <w:ind w:left="107"/>
              <w:rPr>
                <w:b/>
                <w:sz w:val="24"/>
              </w:rPr>
            </w:pPr>
            <w:r>
              <w:rPr>
                <w:b/>
                <w:sz w:val="24"/>
              </w:rPr>
              <w:t>2018</w:t>
            </w:r>
          </w:p>
        </w:tc>
        <w:tc>
          <w:tcPr>
            <w:tcW w:w="1080" w:type="dxa"/>
          </w:tcPr>
          <w:p>
            <w:pPr>
              <w:pStyle w:val="TableParagraph"/>
              <w:spacing w:line="239" w:lineRule="exact"/>
              <w:ind w:left="108"/>
              <w:rPr>
                <w:b/>
                <w:sz w:val="24"/>
              </w:rPr>
            </w:pPr>
            <w:r>
              <w:rPr>
                <w:b/>
                <w:sz w:val="24"/>
              </w:rPr>
              <w:t>2019</w:t>
            </w:r>
          </w:p>
        </w:tc>
      </w:tr>
      <w:tr>
        <w:trPr>
          <w:trHeight w:val="254" w:hRule="atLeast"/>
        </w:trPr>
        <w:tc>
          <w:tcPr>
            <w:tcW w:w="3842" w:type="dxa"/>
          </w:tcPr>
          <w:p>
            <w:pPr>
              <w:pStyle w:val="TableParagraph"/>
              <w:spacing w:line="235" w:lineRule="exact"/>
              <w:rPr>
                <w:sz w:val="24"/>
              </w:rPr>
            </w:pPr>
            <w:r>
              <w:rPr>
                <w:sz w:val="24"/>
              </w:rPr>
              <w:t>Return on Asset</w:t>
            </w:r>
          </w:p>
        </w:tc>
        <w:tc>
          <w:tcPr>
            <w:tcW w:w="1086" w:type="dxa"/>
          </w:tcPr>
          <w:p>
            <w:pPr>
              <w:pStyle w:val="TableParagraph"/>
              <w:spacing w:line="235" w:lineRule="exact"/>
              <w:ind w:left="109"/>
              <w:rPr>
                <w:sz w:val="24"/>
              </w:rPr>
            </w:pPr>
            <w:r>
              <w:rPr>
                <w:sz w:val="24"/>
              </w:rPr>
              <w:t>0.08%</w:t>
            </w:r>
          </w:p>
        </w:tc>
        <w:tc>
          <w:tcPr>
            <w:tcW w:w="1081" w:type="dxa"/>
          </w:tcPr>
          <w:p>
            <w:pPr>
              <w:pStyle w:val="TableParagraph"/>
              <w:spacing w:line="235" w:lineRule="exact"/>
              <w:ind w:left="108"/>
              <w:rPr>
                <w:sz w:val="24"/>
              </w:rPr>
            </w:pPr>
            <w:r>
              <w:rPr>
                <w:sz w:val="24"/>
              </w:rPr>
              <w:t>0.11%</w:t>
            </w:r>
          </w:p>
        </w:tc>
        <w:tc>
          <w:tcPr>
            <w:tcW w:w="1081" w:type="dxa"/>
          </w:tcPr>
          <w:p>
            <w:pPr>
              <w:pStyle w:val="TableParagraph"/>
              <w:spacing w:line="235" w:lineRule="exact"/>
              <w:ind w:left="108"/>
              <w:rPr>
                <w:sz w:val="24"/>
              </w:rPr>
            </w:pPr>
            <w:r>
              <w:rPr>
                <w:sz w:val="24"/>
              </w:rPr>
              <w:t>0.03%</w:t>
            </w:r>
          </w:p>
        </w:tc>
        <w:tc>
          <w:tcPr>
            <w:tcW w:w="1080" w:type="dxa"/>
          </w:tcPr>
          <w:p>
            <w:pPr>
              <w:pStyle w:val="TableParagraph"/>
              <w:spacing w:line="235" w:lineRule="exact"/>
              <w:ind w:left="107"/>
              <w:rPr>
                <w:sz w:val="24"/>
              </w:rPr>
            </w:pPr>
            <w:r>
              <w:rPr>
                <w:sz w:val="24"/>
              </w:rPr>
              <w:t>0.14%</w:t>
            </w:r>
          </w:p>
        </w:tc>
        <w:tc>
          <w:tcPr>
            <w:tcW w:w="1080" w:type="dxa"/>
          </w:tcPr>
          <w:p>
            <w:pPr>
              <w:pStyle w:val="TableParagraph"/>
              <w:spacing w:line="235" w:lineRule="exact"/>
              <w:ind w:left="108"/>
              <w:rPr>
                <w:sz w:val="24"/>
              </w:rPr>
            </w:pPr>
            <w:r>
              <w:rPr>
                <w:sz w:val="24"/>
              </w:rPr>
              <w:t>0.14%</w:t>
            </w:r>
          </w:p>
        </w:tc>
      </w:tr>
      <w:tr>
        <w:trPr>
          <w:trHeight w:val="254" w:hRule="atLeast"/>
        </w:trPr>
        <w:tc>
          <w:tcPr>
            <w:tcW w:w="3842" w:type="dxa"/>
          </w:tcPr>
          <w:p>
            <w:pPr>
              <w:pStyle w:val="TableParagraph"/>
              <w:spacing w:line="234" w:lineRule="exact"/>
              <w:rPr>
                <w:sz w:val="24"/>
              </w:rPr>
            </w:pPr>
            <w:r>
              <w:rPr>
                <w:sz w:val="24"/>
              </w:rPr>
              <w:t>Return on Equity</w:t>
            </w:r>
          </w:p>
        </w:tc>
        <w:tc>
          <w:tcPr>
            <w:tcW w:w="1086" w:type="dxa"/>
          </w:tcPr>
          <w:p>
            <w:pPr>
              <w:pStyle w:val="TableParagraph"/>
              <w:spacing w:line="234" w:lineRule="exact"/>
              <w:ind w:left="109"/>
              <w:rPr>
                <w:sz w:val="24"/>
              </w:rPr>
            </w:pPr>
            <w:r>
              <w:rPr>
                <w:sz w:val="24"/>
              </w:rPr>
              <w:t>0.61%</w:t>
            </w:r>
          </w:p>
        </w:tc>
        <w:tc>
          <w:tcPr>
            <w:tcW w:w="1081" w:type="dxa"/>
          </w:tcPr>
          <w:p>
            <w:pPr>
              <w:pStyle w:val="TableParagraph"/>
              <w:spacing w:line="234" w:lineRule="exact"/>
              <w:ind w:left="108"/>
              <w:rPr>
                <w:sz w:val="24"/>
              </w:rPr>
            </w:pPr>
            <w:r>
              <w:rPr>
                <w:sz w:val="24"/>
              </w:rPr>
              <w:t>0.92%</w:t>
            </w:r>
          </w:p>
        </w:tc>
        <w:tc>
          <w:tcPr>
            <w:tcW w:w="1081" w:type="dxa"/>
          </w:tcPr>
          <w:p>
            <w:pPr>
              <w:pStyle w:val="TableParagraph"/>
              <w:spacing w:line="234" w:lineRule="exact"/>
              <w:ind w:left="108"/>
              <w:rPr>
                <w:sz w:val="24"/>
              </w:rPr>
            </w:pPr>
            <w:r>
              <w:rPr>
                <w:sz w:val="24"/>
              </w:rPr>
              <w:t>0.25%</w:t>
            </w:r>
          </w:p>
        </w:tc>
        <w:tc>
          <w:tcPr>
            <w:tcW w:w="1080" w:type="dxa"/>
          </w:tcPr>
          <w:p>
            <w:pPr>
              <w:pStyle w:val="TableParagraph"/>
              <w:spacing w:line="234" w:lineRule="exact"/>
              <w:ind w:left="107"/>
              <w:rPr>
                <w:sz w:val="24"/>
              </w:rPr>
            </w:pPr>
            <w:r>
              <w:rPr>
                <w:sz w:val="24"/>
              </w:rPr>
              <w:t>1.28%</w:t>
            </w:r>
          </w:p>
        </w:tc>
        <w:tc>
          <w:tcPr>
            <w:tcW w:w="1080" w:type="dxa"/>
          </w:tcPr>
          <w:p>
            <w:pPr>
              <w:pStyle w:val="TableParagraph"/>
              <w:spacing w:line="234" w:lineRule="exact"/>
              <w:ind w:left="108"/>
              <w:rPr>
                <w:sz w:val="24"/>
              </w:rPr>
            </w:pPr>
            <w:r>
              <w:rPr>
                <w:sz w:val="24"/>
              </w:rPr>
              <w:t>1.44%</w:t>
            </w:r>
          </w:p>
        </w:tc>
      </w:tr>
      <w:tr>
        <w:trPr>
          <w:trHeight w:val="258" w:hRule="atLeast"/>
        </w:trPr>
        <w:tc>
          <w:tcPr>
            <w:tcW w:w="3842" w:type="dxa"/>
          </w:tcPr>
          <w:p>
            <w:pPr>
              <w:pStyle w:val="TableParagraph"/>
              <w:spacing w:line="239" w:lineRule="exact"/>
              <w:rPr>
                <w:sz w:val="24"/>
              </w:rPr>
            </w:pPr>
            <w:r>
              <w:rPr>
                <w:sz w:val="24"/>
              </w:rPr>
              <w:t>Return on Deposit</w:t>
            </w:r>
          </w:p>
        </w:tc>
        <w:tc>
          <w:tcPr>
            <w:tcW w:w="1086" w:type="dxa"/>
          </w:tcPr>
          <w:p>
            <w:pPr>
              <w:pStyle w:val="TableParagraph"/>
              <w:spacing w:line="239" w:lineRule="exact"/>
              <w:ind w:left="109"/>
              <w:rPr>
                <w:sz w:val="24"/>
              </w:rPr>
            </w:pPr>
            <w:r>
              <w:rPr>
                <w:sz w:val="24"/>
              </w:rPr>
              <w:t>0.10%</w:t>
            </w:r>
          </w:p>
        </w:tc>
        <w:tc>
          <w:tcPr>
            <w:tcW w:w="1081" w:type="dxa"/>
          </w:tcPr>
          <w:p>
            <w:pPr>
              <w:pStyle w:val="TableParagraph"/>
              <w:spacing w:line="239" w:lineRule="exact"/>
              <w:ind w:left="108"/>
              <w:rPr>
                <w:sz w:val="24"/>
              </w:rPr>
            </w:pPr>
            <w:r>
              <w:rPr>
                <w:sz w:val="24"/>
              </w:rPr>
              <w:t>0.13%</w:t>
            </w:r>
          </w:p>
        </w:tc>
        <w:tc>
          <w:tcPr>
            <w:tcW w:w="1081" w:type="dxa"/>
          </w:tcPr>
          <w:p>
            <w:pPr>
              <w:pStyle w:val="TableParagraph"/>
              <w:spacing w:line="239" w:lineRule="exact"/>
              <w:ind w:left="108"/>
              <w:rPr>
                <w:sz w:val="24"/>
              </w:rPr>
            </w:pPr>
            <w:r>
              <w:rPr>
                <w:sz w:val="24"/>
              </w:rPr>
              <w:t>0.04%</w:t>
            </w:r>
          </w:p>
        </w:tc>
        <w:tc>
          <w:tcPr>
            <w:tcW w:w="1080" w:type="dxa"/>
          </w:tcPr>
          <w:p>
            <w:pPr>
              <w:pStyle w:val="TableParagraph"/>
              <w:spacing w:line="239" w:lineRule="exact"/>
              <w:ind w:left="107"/>
              <w:rPr>
                <w:sz w:val="24"/>
              </w:rPr>
            </w:pPr>
            <w:r>
              <w:rPr>
                <w:sz w:val="24"/>
              </w:rPr>
              <w:t>0.18%</w:t>
            </w:r>
          </w:p>
        </w:tc>
        <w:tc>
          <w:tcPr>
            <w:tcW w:w="1080" w:type="dxa"/>
          </w:tcPr>
          <w:p>
            <w:pPr>
              <w:pStyle w:val="TableParagraph"/>
              <w:spacing w:line="239" w:lineRule="exact"/>
              <w:ind w:left="108"/>
              <w:rPr>
                <w:sz w:val="24"/>
              </w:rPr>
            </w:pPr>
            <w:r>
              <w:rPr>
                <w:sz w:val="24"/>
              </w:rPr>
              <w:t>0.17%</w:t>
            </w:r>
          </w:p>
        </w:tc>
      </w:tr>
      <w:tr>
        <w:trPr>
          <w:trHeight w:val="253" w:hRule="atLeast"/>
        </w:trPr>
        <w:tc>
          <w:tcPr>
            <w:tcW w:w="3842" w:type="dxa"/>
          </w:tcPr>
          <w:p>
            <w:pPr>
              <w:pStyle w:val="TableParagraph"/>
              <w:spacing w:line="234" w:lineRule="exact"/>
              <w:rPr>
                <w:sz w:val="24"/>
              </w:rPr>
            </w:pPr>
            <w:r>
              <w:rPr>
                <w:sz w:val="24"/>
              </w:rPr>
              <w:t>Net Interest Margin</w:t>
            </w:r>
          </w:p>
        </w:tc>
        <w:tc>
          <w:tcPr>
            <w:tcW w:w="1086" w:type="dxa"/>
          </w:tcPr>
          <w:p>
            <w:pPr>
              <w:pStyle w:val="TableParagraph"/>
              <w:spacing w:line="234" w:lineRule="exact"/>
              <w:ind w:left="109"/>
              <w:rPr>
                <w:sz w:val="24"/>
              </w:rPr>
            </w:pPr>
            <w:r>
              <w:rPr>
                <w:sz w:val="24"/>
              </w:rPr>
              <w:t>1.41%</w:t>
            </w:r>
          </w:p>
        </w:tc>
        <w:tc>
          <w:tcPr>
            <w:tcW w:w="1081" w:type="dxa"/>
          </w:tcPr>
          <w:p>
            <w:pPr>
              <w:pStyle w:val="TableParagraph"/>
              <w:spacing w:line="234" w:lineRule="exact"/>
              <w:ind w:left="108"/>
              <w:rPr>
                <w:sz w:val="24"/>
              </w:rPr>
            </w:pPr>
            <w:r>
              <w:rPr>
                <w:sz w:val="24"/>
              </w:rPr>
              <w:t>2.27%</w:t>
            </w:r>
          </w:p>
        </w:tc>
        <w:tc>
          <w:tcPr>
            <w:tcW w:w="1081" w:type="dxa"/>
          </w:tcPr>
          <w:p>
            <w:pPr>
              <w:pStyle w:val="TableParagraph"/>
              <w:spacing w:line="234" w:lineRule="exact"/>
              <w:ind w:left="108"/>
              <w:rPr>
                <w:sz w:val="24"/>
              </w:rPr>
            </w:pPr>
            <w:r>
              <w:rPr>
                <w:sz w:val="24"/>
              </w:rPr>
              <w:t>1.54%</w:t>
            </w:r>
          </w:p>
        </w:tc>
        <w:tc>
          <w:tcPr>
            <w:tcW w:w="1080" w:type="dxa"/>
          </w:tcPr>
          <w:p>
            <w:pPr>
              <w:pStyle w:val="TableParagraph"/>
              <w:spacing w:line="234" w:lineRule="exact"/>
              <w:ind w:left="107"/>
              <w:rPr>
                <w:sz w:val="24"/>
              </w:rPr>
            </w:pPr>
            <w:r>
              <w:rPr>
                <w:sz w:val="24"/>
              </w:rPr>
              <w:t>1.99%</w:t>
            </w:r>
          </w:p>
        </w:tc>
        <w:tc>
          <w:tcPr>
            <w:tcW w:w="1080" w:type="dxa"/>
          </w:tcPr>
          <w:p>
            <w:pPr>
              <w:pStyle w:val="TableParagraph"/>
              <w:spacing w:line="234" w:lineRule="exact"/>
              <w:ind w:left="108"/>
              <w:rPr>
                <w:sz w:val="24"/>
              </w:rPr>
            </w:pPr>
            <w:r>
              <w:rPr>
                <w:sz w:val="24"/>
              </w:rPr>
              <w:t>2.04%</w:t>
            </w:r>
          </w:p>
        </w:tc>
      </w:tr>
      <w:tr>
        <w:trPr>
          <w:trHeight w:val="258" w:hRule="atLeast"/>
        </w:trPr>
        <w:tc>
          <w:tcPr>
            <w:tcW w:w="3842" w:type="dxa"/>
          </w:tcPr>
          <w:p>
            <w:pPr>
              <w:pStyle w:val="TableParagraph"/>
              <w:spacing w:line="239" w:lineRule="exact"/>
              <w:rPr>
                <w:sz w:val="24"/>
              </w:rPr>
            </w:pPr>
            <w:r>
              <w:rPr>
                <w:sz w:val="24"/>
              </w:rPr>
              <w:t>Net operating Margin</w:t>
            </w:r>
          </w:p>
        </w:tc>
        <w:tc>
          <w:tcPr>
            <w:tcW w:w="1086" w:type="dxa"/>
          </w:tcPr>
          <w:p>
            <w:pPr>
              <w:pStyle w:val="TableParagraph"/>
              <w:spacing w:line="239" w:lineRule="exact"/>
              <w:ind w:left="109"/>
              <w:rPr>
                <w:sz w:val="24"/>
              </w:rPr>
            </w:pPr>
            <w:r>
              <w:rPr>
                <w:sz w:val="24"/>
              </w:rPr>
              <w:t>41.16%</w:t>
            </w:r>
          </w:p>
        </w:tc>
        <w:tc>
          <w:tcPr>
            <w:tcW w:w="1081" w:type="dxa"/>
          </w:tcPr>
          <w:p>
            <w:pPr>
              <w:pStyle w:val="TableParagraph"/>
              <w:spacing w:line="239" w:lineRule="exact"/>
              <w:ind w:left="108"/>
              <w:rPr>
                <w:sz w:val="24"/>
              </w:rPr>
            </w:pPr>
            <w:r>
              <w:rPr>
                <w:sz w:val="24"/>
              </w:rPr>
              <w:t>58.24%</w:t>
            </w:r>
          </w:p>
        </w:tc>
        <w:tc>
          <w:tcPr>
            <w:tcW w:w="1081" w:type="dxa"/>
          </w:tcPr>
          <w:p>
            <w:pPr>
              <w:pStyle w:val="TableParagraph"/>
              <w:spacing w:line="239" w:lineRule="exact"/>
              <w:ind w:left="108"/>
              <w:rPr>
                <w:sz w:val="24"/>
              </w:rPr>
            </w:pPr>
            <w:r>
              <w:rPr>
                <w:sz w:val="24"/>
              </w:rPr>
              <w:t>48.63%</w:t>
            </w:r>
          </w:p>
        </w:tc>
        <w:tc>
          <w:tcPr>
            <w:tcW w:w="1080" w:type="dxa"/>
          </w:tcPr>
          <w:p>
            <w:pPr>
              <w:pStyle w:val="TableParagraph"/>
              <w:spacing w:line="239" w:lineRule="exact"/>
              <w:ind w:left="107"/>
              <w:rPr>
                <w:sz w:val="24"/>
              </w:rPr>
            </w:pPr>
            <w:r>
              <w:rPr>
                <w:sz w:val="24"/>
              </w:rPr>
              <w:t>64.54%</w:t>
            </w:r>
          </w:p>
        </w:tc>
        <w:tc>
          <w:tcPr>
            <w:tcW w:w="1080" w:type="dxa"/>
          </w:tcPr>
          <w:p>
            <w:pPr>
              <w:pStyle w:val="TableParagraph"/>
              <w:spacing w:line="239" w:lineRule="exact"/>
              <w:ind w:left="108"/>
              <w:rPr>
                <w:sz w:val="24"/>
              </w:rPr>
            </w:pPr>
            <w:r>
              <w:rPr>
                <w:sz w:val="24"/>
              </w:rPr>
              <w:t>69.85%</w:t>
            </w:r>
          </w:p>
        </w:tc>
      </w:tr>
      <w:tr>
        <w:trPr>
          <w:trHeight w:val="258" w:hRule="atLeast"/>
        </w:trPr>
        <w:tc>
          <w:tcPr>
            <w:tcW w:w="3842" w:type="dxa"/>
          </w:tcPr>
          <w:p>
            <w:pPr>
              <w:pStyle w:val="TableParagraph"/>
              <w:spacing w:line="239" w:lineRule="exact"/>
              <w:rPr>
                <w:sz w:val="24"/>
              </w:rPr>
            </w:pPr>
            <w:r>
              <w:rPr>
                <w:sz w:val="24"/>
              </w:rPr>
              <w:t>EPS</w:t>
            </w:r>
          </w:p>
        </w:tc>
        <w:tc>
          <w:tcPr>
            <w:tcW w:w="1086" w:type="dxa"/>
          </w:tcPr>
          <w:p>
            <w:pPr>
              <w:pStyle w:val="TableParagraph"/>
              <w:spacing w:line="239" w:lineRule="exact"/>
              <w:ind w:left="109"/>
              <w:rPr>
                <w:sz w:val="24"/>
              </w:rPr>
            </w:pPr>
            <w:r>
              <w:rPr>
                <w:sz w:val="24"/>
              </w:rPr>
              <w:t>1.01</w:t>
            </w:r>
          </w:p>
        </w:tc>
        <w:tc>
          <w:tcPr>
            <w:tcW w:w="1081" w:type="dxa"/>
          </w:tcPr>
          <w:p>
            <w:pPr>
              <w:pStyle w:val="TableParagraph"/>
              <w:spacing w:line="239" w:lineRule="exact"/>
              <w:ind w:left="108"/>
              <w:rPr>
                <w:sz w:val="24"/>
              </w:rPr>
            </w:pPr>
            <w:r>
              <w:rPr>
                <w:sz w:val="24"/>
              </w:rPr>
              <w:t>1.54</w:t>
            </w:r>
          </w:p>
        </w:tc>
        <w:tc>
          <w:tcPr>
            <w:tcW w:w="1081" w:type="dxa"/>
          </w:tcPr>
          <w:p>
            <w:pPr>
              <w:pStyle w:val="TableParagraph"/>
              <w:spacing w:line="239" w:lineRule="exact"/>
              <w:ind w:left="108"/>
              <w:rPr>
                <w:sz w:val="24"/>
              </w:rPr>
            </w:pPr>
            <w:r>
              <w:rPr>
                <w:sz w:val="24"/>
              </w:rPr>
              <w:t>0.43</w:t>
            </w:r>
          </w:p>
        </w:tc>
        <w:tc>
          <w:tcPr>
            <w:tcW w:w="1080" w:type="dxa"/>
          </w:tcPr>
          <w:p>
            <w:pPr>
              <w:pStyle w:val="TableParagraph"/>
              <w:spacing w:line="239" w:lineRule="exact"/>
              <w:ind w:left="107"/>
              <w:rPr>
                <w:sz w:val="24"/>
              </w:rPr>
            </w:pPr>
            <w:r>
              <w:rPr>
                <w:sz w:val="24"/>
              </w:rPr>
              <w:t>2.25</w:t>
            </w:r>
          </w:p>
        </w:tc>
        <w:tc>
          <w:tcPr>
            <w:tcW w:w="1080" w:type="dxa"/>
          </w:tcPr>
          <w:p>
            <w:pPr>
              <w:pStyle w:val="TableParagraph"/>
              <w:spacing w:line="239" w:lineRule="exact"/>
              <w:ind w:left="108"/>
              <w:rPr>
                <w:sz w:val="24"/>
              </w:rPr>
            </w:pPr>
            <w:r>
              <w:rPr>
                <w:sz w:val="24"/>
              </w:rPr>
              <w:t>2.57</w:t>
            </w:r>
          </w:p>
        </w:tc>
      </w:tr>
    </w:tbl>
    <w:p>
      <w:pPr>
        <w:spacing w:after="0" w:line="239" w:lineRule="exact"/>
        <w:rPr>
          <w:sz w:val="24"/>
        </w:rPr>
        <w:sectPr>
          <w:pgSz w:w="12240" w:h="15840"/>
          <w:pgMar w:header="0" w:footer="1039" w:top="1460" w:bottom="1220" w:left="1100" w:right="1300"/>
        </w:sectPr>
      </w:pPr>
    </w:p>
    <w:p>
      <w:pPr>
        <w:pStyle w:val="BodyText"/>
        <w:ind w:left="668"/>
        <w:rPr>
          <w:sz w:val="20"/>
        </w:rPr>
      </w:pPr>
      <w:r>
        <w:rPr>
          <w:sz w:val="20"/>
        </w:rPr>
        <w:pict>
          <v:group style="width:450.8pt;height:211.65pt;mso-position-horizontal-relative:char;mso-position-vertical-relative:line" coordorigin="0,0" coordsize="9016,4233">
            <v:line style="position:absolute" from="390,3852" to="620,3852" stroked="true" strokeweight=".13055pt" strokecolor="#5b9bd3">
              <v:stroke dashstyle="solid"/>
            </v:line>
            <v:line style="position:absolute" from="677,3842" to="907,3842" stroked="true" strokeweight="1.0444pt" strokecolor="#eb7b2f">
              <v:stroke dashstyle="solid"/>
            </v:line>
            <v:line style="position:absolute" from="962,3852" to="1191,3852" stroked="true" strokeweight=".13055pt" strokecolor="#a3a3a3">
              <v:stroke dashstyle="solid"/>
            </v:line>
            <v:line style="position:absolute" from="1248,3829" to="1477,3829" stroked="true" strokeweight="2.437pt" strokecolor="#ffc000">
              <v:stroke dashstyle="solid"/>
            </v:line>
            <v:rect style="position:absolute;left:1534;top:2433;width:230;height:1419" filled="true" fillcolor="#4470c4" stroked="false">
              <v:fill type="solid"/>
            </v:rect>
            <v:line style="position:absolute" from="2106,3850" to="2335,3850" stroked="true" strokeweight=".21756pt" strokecolor="#5b9bd3">
              <v:stroke dashstyle="solid"/>
            </v:line>
            <v:line style="position:absolute" from="2392,3837" to="2621,3837" stroked="true" strokeweight="1.5667pt" strokecolor="#eb7b2f">
              <v:stroke dashstyle="solid"/>
            </v:line>
            <v:line style="position:absolute" from="2677,3850" to="2906,3850" stroked="true" strokeweight=".21756pt" strokecolor="#a3a3a3">
              <v:stroke dashstyle="solid"/>
            </v:line>
            <v:line style="position:absolute" from="2963,3814" to="3192,3814" stroked="true" strokeweight="3.8731pt" strokecolor="#ffc000">
              <v:stroke dashstyle="solid"/>
            </v:line>
            <v:rect style="position:absolute;left:3250;top:1845;width:230;height:2008" filled="true" fillcolor="#4470c4" stroked="false">
              <v:fill type="solid"/>
            </v:rect>
            <v:line style="position:absolute" from="3821,3852" to="4050,3852" stroked="true" strokeweight=".13055pt" strokecolor="#5b9bd3">
              <v:stroke dashstyle="solid"/>
            </v:line>
            <v:line style="position:absolute" from="4107,3848" to="4336,3848" stroked="true" strokeweight=".43521pt" strokecolor="#eb7b2f">
              <v:stroke dashstyle="solid"/>
            </v:line>
            <v:line style="position:absolute" from="4391,3852" to="4621,3852" stroked="true" strokeweight=".13055pt" strokecolor="#a3a3a3">
              <v:stroke dashstyle="solid"/>
            </v:line>
            <v:line style="position:absolute" from="4678,3826" to="4908,3826" stroked="true" strokeweight="2.6111pt" strokecolor="#ffc000">
              <v:stroke dashstyle="solid"/>
            </v:line>
            <v:rect style="position:absolute;left:4965;top:2175;width:230;height:1679" filled="true" fillcolor="#4470c4" stroked="false">
              <v:fill type="solid"/>
            </v:rect>
            <v:line style="position:absolute" from="5536,3850" to="5765,3850" stroked="true" strokeweight=".21756pt" strokecolor="#5b9bd3">
              <v:stroke dashstyle="solid"/>
            </v:line>
            <v:line style="position:absolute" from="5823,3831" to="6052,3831" stroked="true" strokeweight="2.2195pt" strokecolor="#eb7b2f">
              <v:stroke dashstyle="solid"/>
            </v:line>
            <v:line style="position:absolute" from="6107,3850" to="6336,3850" stroked="true" strokeweight=".34811pt" strokecolor="#a3a3a3">
              <v:stroke dashstyle="solid"/>
            </v:line>
            <v:line style="position:absolute" from="6394,3818" to="6623,3818" stroked="true" strokeweight="3.4815pt" strokecolor="#ffc000">
              <v:stroke dashstyle="solid"/>
            </v:line>
            <v:rect style="position:absolute;left:6679;top:1627;width:230;height:2225" filled="true" fillcolor="#4470c4" stroked="false">
              <v:fill type="solid"/>
            </v:rect>
            <v:line style="position:absolute" from="7251,3850" to="7480,3850" stroked="true" strokeweight=".21756pt" strokecolor="#5b9bd3">
              <v:stroke dashstyle="solid"/>
            </v:line>
            <v:line style="position:absolute" from="7538,3827" to="7767,3827" stroked="true" strokeweight="2.524100pt" strokecolor="#eb7b2f">
              <v:stroke dashstyle="solid"/>
            </v:line>
            <v:line style="position:absolute" from="7824,3850" to="8053,3850" stroked="true" strokeweight=".34811pt" strokecolor="#a3a3a3">
              <v:stroke dashstyle="solid"/>
            </v:line>
            <v:line style="position:absolute" from="8109,3818" to="8338,3818" stroked="true" strokeweight="3.4815pt" strokecolor="#ffc000">
              <v:stroke dashstyle="solid"/>
            </v:line>
            <v:rect style="position:absolute;left:8395;top:1444;width:230;height:2410" filled="true" fillcolor="#4470c4" stroked="false">
              <v:fill type="solid"/>
            </v:rect>
            <v:line style="position:absolute" from="220,3852" to="8796,3852" stroked="true" strokeweight=".72pt" strokecolor="#d9d9d9">
              <v:stroke dashstyle="solid"/>
            </v:line>
            <v:rect style="position:absolute;left:626;top:713;width:96;height:87" filled="true" fillcolor="#5b9bd3" stroked="false">
              <v:fill type="solid"/>
            </v:rect>
            <v:rect style="position:absolute;left:2045;top:713;width:98;height:87" filled="true" fillcolor="#eb7b2f" stroked="false">
              <v:fill type="solid"/>
            </v:rect>
            <v:rect style="position:absolute;left:3529;top:713;width:96;height:87" filled="true" fillcolor="#a3a3a3" stroked="false">
              <v:fill type="solid"/>
            </v:rect>
            <v:rect style="position:absolute;left:5110;top:713;width:96;height:87" filled="true" fillcolor="#ffc000" stroked="false">
              <v:fill type="solid"/>
            </v:rect>
            <v:rect style="position:absolute;left:6800;top:713;width:96;height:87" filled="true" fillcolor="#4470c4" stroked="false">
              <v:fill type="solid"/>
            </v:rect>
            <v:rect style="position:absolute;left:7;top:7;width:9002;height:4218" filled="false" stroked="true" strokeweight=".72pt" strokecolor="#d9d9d9">
              <v:stroke dashstyle="solid"/>
            </v:rect>
            <v:shape style="position:absolute;left:764;top:198;width:7714;height:644" type="#_x0000_t75" stroked="false">
              <v:imagedata r:id="rId102" o:title=""/>
            </v:shape>
            <v:shape style="position:absolute;left:875;top:3971;width:423;height:140" type="#_x0000_t75" stroked="false">
              <v:imagedata r:id="rId103" o:title=""/>
            </v:shape>
            <v:shape style="position:absolute;left:2588;top:3971;width:428;height:140" type="#_x0000_t75" stroked="false">
              <v:imagedata r:id="rId104" o:title=""/>
            </v:shape>
            <v:shape style="position:absolute;left:4302;top:3971;width:428;height:140" type="#_x0000_t75" stroked="false">
              <v:imagedata r:id="rId104" o:title=""/>
            </v:shape>
            <v:shape style="position:absolute;left:6020;top:3971;width:428;height:140" type="#_x0000_t75" stroked="false">
              <v:imagedata r:id="rId104" o:title=""/>
            </v:shape>
            <v:shape style="position:absolute;left:7734;top:3971;width:428;height:140" type="#_x0000_t75" stroked="false">
              <v:imagedata r:id="rId104" o:title=""/>
            </v:shape>
            <v:shape style="position:absolute;left:7737;top:398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2019</w:t>
                    </w:r>
                  </w:p>
                </w:txbxContent>
              </v:textbox>
              <w10:wrap type="none"/>
            </v:shape>
            <v:shape style="position:absolute;left:6023;top:398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2018</w:t>
                    </w:r>
                  </w:p>
                </w:txbxContent>
              </v:textbox>
              <w10:wrap type="none"/>
            </v:shape>
            <v:shape style="position:absolute;left:4304;top:3983;width:428;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20157</w:t>
                    </w:r>
                  </w:p>
                </w:txbxContent>
              </v:textbox>
              <w10:wrap type="none"/>
            </v:shape>
            <v:shape style="position:absolute;left:2590;top:398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2016</w:t>
                    </w:r>
                  </w:p>
                </w:txbxContent>
              </v:textbox>
              <w10:wrap type="none"/>
            </v:shape>
            <v:shape style="position:absolute;left:876;top:3983;width:347;height:159" type="#_x0000_t202" filled="false" stroked="false">
              <v:textbox inset="0,0,0,0">
                <w:txbxContent>
                  <w:p>
                    <w:pPr>
                      <w:spacing w:line="158" w:lineRule="exact" w:before="0"/>
                      <w:ind w:left="0" w:right="0" w:firstLine="0"/>
                      <w:jc w:val="left"/>
                      <w:rPr>
                        <w:rFonts w:ascii="Calibri"/>
                        <w:sz w:val="16"/>
                      </w:rPr>
                    </w:pPr>
                    <w:r>
                      <w:rPr>
                        <w:rFonts w:ascii="Calibri"/>
                        <w:color w:val="575757"/>
                        <w:sz w:val="16"/>
                      </w:rPr>
                      <w:t>2015</w:t>
                    </w:r>
                  </w:p>
                </w:txbxContent>
              </v:textbox>
              <w10:wrap type="none"/>
            </v:shape>
            <v:shape style="position:absolute;left:3507;top:216;width:1988;height:649" type="#_x0000_t202" filled="false" stroked="false">
              <v:textbox inset="0,0,0,0">
                <w:txbxContent>
                  <w:p>
                    <w:pPr>
                      <w:spacing w:line="295" w:lineRule="exact" w:before="0"/>
                      <w:ind w:left="0" w:right="18" w:firstLine="0"/>
                      <w:jc w:val="center"/>
                      <w:rPr>
                        <w:rFonts w:ascii="Calibri"/>
                        <w:b/>
                        <w:sz w:val="32"/>
                      </w:rPr>
                    </w:pPr>
                    <w:r>
                      <w:rPr>
                        <w:rFonts w:ascii="Calibri"/>
                        <w:b/>
                        <w:color w:val="575757"/>
                        <w:sz w:val="32"/>
                      </w:rPr>
                      <w:t>PROFITABILITY</w:t>
                    </w:r>
                  </w:p>
                  <w:p>
                    <w:pPr>
                      <w:spacing w:line="353" w:lineRule="exact" w:before="0"/>
                      <w:ind w:left="0" w:right="11" w:firstLine="0"/>
                      <w:jc w:val="center"/>
                      <w:rPr>
                        <w:rFonts w:ascii="Calibri"/>
                        <w:b/>
                        <w:sz w:val="32"/>
                      </w:rPr>
                    </w:pPr>
                    <w:r>
                      <w:rPr>
                        <w:rFonts w:ascii="Calibri"/>
                        <w:b/>
                        <w:color w:val="575757"/>
                        <w:sz w:val="32"/>
                      </w:rPr>
                      <w:t>RATIO</w:t>
                    </w:r>
                  </w:p>
                </w:txbxContent>
              </v:textbox>
              <w10:wrap type="none"/>
            </v:shape>
          </v:group>
        </w:pict>
      </w:r>
      <w:r>
        <w:rPr>
          <w:sz w:val="20"/>
        </w:rPr>
      </w:r>
    </w:p>
    <w:p>
      <w:pPr>
        <w:pStyle w:val="BodyText"/>
        <w:spacing w:before="9"/>
        <w:rPr>
          <w:sz w:val="28"/>
        </w:rPr>
      </w:pPr>
    </w:p>
    <w:p>
      <w:pPr>
        <w:pStyle w:val="BodyText"/>
        <w:spacing w:line="360" w:lineRule="auto" w:before="90"/>
        <w:ind w:left="340" w:right="130"/>
        <w:jc w:val="both"/>
      </w:pPr>
      <w:r>
        <w:rPr>
          <w:b/>
        </w:rPr>
        <w:t>Interpretation: </w:t>
      </w:r>
      <w:r>
        <w:rPr/>
        <w:t>Profitability</w:t>
      </w:r>
      <w:r>
        <w:rPr>
          <w:spacing w:val="-23"/>
        </w:rPr>
        <w:t> </w:t>
      </w:r>
      <w:r>
        <w:rPr/>
        <w:t>ratios</w:t>
      </w:r>
      <w:r>
        <w:rPr>
          <w:spacing w:val="-17"/>
        </w:rPr>
        <w:t> </w:t>
      </w:r>
      <w:r>
        <w:rPr/>
        <w:t>square</w:t>
      </w:r>
      <w:r>
        <w:rPr>
          <w:spacing w:val="-12"/>
        </w:rPr>
        <w:t> </w:t>
      </w:r>
      <w:r>
        <w:rPr/>
        <w:t>measure</w:t>
      </w:r>
      <w:r>
        <w:rPr>
          <w:spacing w:val="-12"/>
        </w:rPr>
        <w:t> </w:t>
      </w:r>
      <w:r>
        <w:rPr/>
        <w:t>a</w:t>
      </w:r>
      <w:r>
        <w:rPr>
          <w:spacing w:val="-16"/>
        </w:rPr>
        <w:t> </w:t>
      </w:r>
      <w:r>
        <w:rPr/>
        <w:t>class</w:t>
      </w:r>
      <w:r>
        <w:rPr>
          <w:spacing w:val="-18"/>
        </w:rPr>
        <w:t> </w:t>
      </w:r>
      <w:r>
        <w:rPr>
          <w:spacing w:val="4"/>
        </w:rPr>
        <w:t>of</w:t>
      </w:r>
      <w:r>
        <w:rPr>
          <w:spacing w:val="-19"/>
        </w:rPr>
        <w:t> </w:t>
      </w:r>
      <w:r>
        <w:rPr/>
        <w:t>financial</w:t>
      </w:r>
      <w:r>
        <w:rPr>
          <w:spacing w:val="-14"/>
        </w:rPr>
        <w:t> </w:t>
      </w:r>
      <w:r>
        <w:rPr/>
        <w:t>metrics</w:t>
      </w:r>
      <w:r>
        <w:rPr>
          <w:spacing w:val="-17"/>
        </w:rPr>
        <w:t> </w:t>
      </w:r>
      <w:r>
        <w:rPr/>
        <w:t>that</w:t>
      </w:r>
      <w:r>
        <w:rPr>
          <w:spacing w:val="-11"/>
        </w:rPr>
        <w:t> </w:t>
      </w:r>
      <w:r>
        <w:rPr/>
        <w:t>square</w:t>
      </w:r>
      <w:r>
        <w:rPr>
          <w:spacing w:val="-12"/>
        </w:rPr>
        <w:t> </w:t>
      </w:r>
      <w:r>
        <w:rPr/>
        <w:t>measure used</w:t>
      </w:r>
      <w:r>
        <w:rPr>
          <w:spacing w:val="-6"/>
        </w:rPr>
        <w:t> </w:t>
      </w:r>
      <w:r>
        <w:rPr/>
        <w:t>to</w:t>
      </w:r>
      <w:r>
        <w:rPr>
          <w:spacing w:val="-2"/>
        </w:rPr>
        <w:t> </w:t>
      </w:r>
      <w:r>
        <w:rPr/>
        <w:t>assess</w:t>
      </w:r>
      <w:r>
        <w:rPr>
          <w:spacing w:val="-9"/>
        </w:rPr>
        <w:t> </w:t>
      </w:r>
      <w:r>
        <w:rPr/>
        <w:t>a</w:t>
      </w:r>
      <w:r>
        <w:rPr>
          <w:spacing w:val="-8"/>
        </w:rPr>
        <w:t> </w:t>
      </w:r>
      <w:r>
        <w:rPr/>
        <w:t>business's</w:t>
      </w:r>
      <w:r>
        <w:rPr>
          <w:spacing w:val="-7"/>
        </w:rPr>
        <w:t> </w:t>
      </w:r>
      <w:r>
        <w:rPr/>
        <w:t>ability</w:t>
      </w:r>
      <w:r>
        <w:rPr>
          <w:spacing w:val="-19"/>
        </w:rPr>
        <w:t> </w:t>
      </w:r>
      <w:r>
        <w:rPr>
          <w:spacing w:val="2"/>
        </w:rPr>
        <w:t>to</w:t>
      </w:r>
      <w:r>
        <w:rPr>
          <w:spacing w:val="-2"/>
        </w:rPr>
        <w:t> </w:t>
      </w:r>
      <w:r>
        <w:rPr/>
        <w:t>generate</w:t>
      </w:r>
      <w:r>
        <w:rPr>
          <w:spacing w:val="-7"/>
        </w:rPr>
        <w:t> </w:t>
      </w:r>
      <w:r>
        <w:rPr/>
        <w:t>earnings</w:t>
      </w:r>
      <w:r>
        <w:rPr>
          <w:spacing w:val="-8"/>
        </w:rPr>
        <w:t> </w:t>
      </w:r>
      <w:r>
        <w:rPr/>
        <w:t>compared</w:t>
      </w:r>
      <w:r>
        <w:rPr>
          <w:spacing w:val="-6"/>
        </w:rPr>
        <w:t> </w:t>
      </w:r>
      <w:r>
        <w:rPr>
          <w:spacing w:val="2"/>
        </w:rPr>
        <w:t>to</w:t>
      </w:r>
      <w:r>
        <w:rPr>
          <w:spacing w:val="-6"/>
        </w:rPr>
        <w:t> </w:t>
      </w:r>
      <w:r>
        <w:rPr/>
        <w:t>its</w:t>
      </w:r>
      <w:r>
        <w:rPr>
          <w:spacing w:val="-9"/>
        </w:rPr>
        <w:t> </w:t>
      </w:r>
      <w:r>
        <w:rPr/>
        <w:t>expenses</w:t>
      </w:r>
      <w:r>
        <w:rPr>
          <w:spacing w:val="-8"/>
        </w:rPr>
        <w:t> </w:t>
      </w:r>
      <w:r>
        <w:rPr/>
        <w:t>and</w:t>
      </w:r>
      <w:r>
        <w:rPr>
          <w:spacing w:val="-7"/>
        </w:rPr>
        <w:t> </w:t>
      </w:r>
      <w:r>
        <w:rPr/>
        <w:t>other</w:t>
      </w:r>
      <w:r>
        <w:rPr>
          <w:spacing w:val="-8"/>
        </w:rPr>
        <w:t> </w:t>
      </w:r>
      <w:r>
        <w:rPr/>
        <w:t>relevant costs incurred during a particular period of time. Come back on assets (ROA) could </w:t>
      </w:r>
      <w:r>
        <w:rPr>
          <w:spacing w:val="-3"/>
        </w:rPr>
        <w:t>be </w:t>
      </w:r>
      <w:r>
        <w:rPr/>
        <w:t>a</w:t>
      </w:r>
      <w:r>
        <w:rPr>
          <w:spacing w:val="-41"/>
        </w:rPr>
        <w:t> </w:t>
      </w:r>
      <w:r>
        <w:rPr/>
        <w:t>financial ratio that shows the percentage of profit a company earns </w:t>
      </w:r>
      <w:r>
        <w:rPr>
          <w:spacing w:val="-3"/>
        </w:rPr>
        <w:t>in </w:t>
      </w:r>
      <w:r>
        <w:rPr/>
        <w:t>relation to its overall resources. It’s normally</w:t>
      </w:r>
      <w:r>
        <w:rPr>
          <w:spacing w:val="-16"/>
        </w:rPr>
        <w:t> </w:t>
      </w:r>
      <w:r>
        <w:rPr/>
        <w:t>defined</w:t>
      </w:r>
      <w:r>
        <w:rPr>
          <w:spacing w:val="-3"/>
        </w:rPr>
        <w:t> </w:t>
      </w:r>
      <w:r>
        <w:rPr/>
        <w:t>as</w:t>
      </w:r>
      <w:r>
        <w:rPr>
          <w:spacing w:val="-5"/>
        </w:rPr>
        <w:t> </w:t>
      </w:r>
      <w:r>
        <w:rPr/>
        <w:t>net</w:t>
      </w:r>
      <w:r>
        <w:rPr>
          <w:spacing w:val="1"/>
        </w:rPr>
        <w:t> </w:t>
      </w:r>
      <w:r>
        <w:rPr>
          <w:spacing w:val="-2"/>
        </w:rPr>
        <w:t>income</w:t>
      </w:r>
      <w:r>
        <w:rPr>
          <w:spacing w:val="-8"/>
        </w:rPr>
        <w:t> </w:t>
      </w:r>
      <w:r>
        <w:rPr/>
        <w:t>divided</w:t>
      </w:r>
      <w:r>
        <w:rPr>
          <w:spacing w:val="-3"/>
        </w:rPr>
        <w:t> </w:t>
      </w:r>
      <w:r>
        <w:rPr/>
        <w:t>by</w:t>
      </w:r>
      <w:r>
        <w:rPr>
          <w:spacing w:val="-17"/>
        </w:rPr>
        <w:t> </w:t>
      </w:r>
      <w:r>
        <w:rPr/>
        <w:t>total</w:t>
      </w:r>
      <w:r>
        <w:rPr>
          <w:spacing w:val="-12"/>
        </w:rPr>
        <w:t> </w:t>
      </w:r>
      <w:r>
        <w:rPr/>
        <w:t>assets. Return</w:t>
      </w:r>
      <w:r>
        <w:rPr>
          <w:spacing w:val="-13"/>
        </w:rPr>
        <w:t> </w:t>
      </w:r>
      <w:r>
        <w:rPr/>
        <w:t>on</w:t>
      </w:r>
      <w:r>
        <w:rPr>
          <w:spacing w:val="-12"/>
        </w:rPr>
        <w:t> </w:t>
      </w:r>
      <w:r>
        <w:rPr/>
        <w:t>Assets</w:t>
      </w:r>
      <w:r>
        <w:rPr>
          <w:spacing w:val="-5"/>
        </w:rPr>
        <w:t> </w:t>
      </w:r>
      <w:r>
        <w:rPr/>
        <w:t>of</w:t>
      </w:r>
      <w:r>
        <w:rPr>
          <w:spacing w:val="-16"/>
        </w:rPr>
        <w:t> </w:t>
      </w:r>
      <w:r>
        <w:rPr/>
        <w:t>the</w:t>
      </w:r>
      <w:r>
        <w:rPr>
          <w:spacing w:val="-9"/>
        </w:rPr>
        <w:t> </w:t>
      </w:r>
      <w:r>
        <w:rPr/>
        <w:t>Bank</w:t>
      </w:r>
      <w:r>
        <w:rPr>
          <w:spacing w:val="-7"/>
        </w:rPr>
        <w:t> </w:t>
      </w:r>
      <w:r>
        <w:rPr/>
        <w:t>2015</w:t>
      </w:r>
      <w:r>
        <w:rPr>
          <w:spacing w:val="-4"/>
        </w:rPr>
        <w:t> </w:t>
      </w:r>
      <w:r>
        <w:rPr/>
        <w:t>to</w:t>
      </w:r>
      <w:r>
        <w:rPr>
          <w:spacing w:val="-3"/>
        </w:rPr>
        <w:t> </w:t>
      </w:r>
      <w:r>
        <w:rPr/>
        <w:t>2019 was 0.08%, 0.11%, 0.03%, 0.14%, and 0.14%. </w:t>
      </w:r>
      <w:r>
        <w:rPr>
          <w:spacing w:val="-3"/>
        </w:rPr>
        <w:t>The </w:t>
      </w:r>
      <w:r>
        <w:rPr/>
        <w:t>return on equity ratio or ROE </w:t>
      </w:r>
      <w:r>
        <w:rPr>
          <w:spacing w:val="-3"/>
        </w:rPr>
        <w:t>could be </w:t>
      </w:r>
      <w:r>
        <w:rPr/>
        <w:t>a profitability ratio that measures the power of a firm </w:t>
      </w:r>
      <w:r>
        <w:rPr>
          <w:spacing w:val="2"/>
        </w:rPr>
        <w:t>to </w:t>
      </w:r>
      <w:r>
        <w:rPr/>
        <w:t>generate profits from its shareholder’s investments within the company. Return on Equity 2015 </w:t>
      </w:r>
      <w:r>
        <w:rPr>
          <w:spacing w:val="-5"/>
        </w:rPr>
        <w:t>is </w:t>
      </w:r>
      <w:r>
        <w:rPr/>
        <w:t>0.61%, 2016 </w:t>
      </w:r>
      <w:r>
        <w:rPr>
          <w:spacing w:val="-3"/>
        </w:rPr>
        <w:t>is </w:t>
      </w:r>
      <w:r>
        <w:rPr/>
        <w:t>0.92%, 2017 </w:t>
      </w:r>
      <w:r>
        <w:rPr>
          <w:spacing w:val="-5"/>
        </w:rPr>
        <w:t>is</w:t>
      </w:r>
      <w:r>
        <w:rPr>
          <w:spacing w:val="12"/>
        </w:rPr>
        <w:t> </w:t>
      </w:r>
      <w:r>
        <w:rPr>
          <w:spacing w:val="-27"/>
        </w:rPr>
        <w:t>0.25%,</w:t>
      </w:r>
    </w:p>
    <w:p>
      <w:pPr>
        <w:pStyle w:val="BodyText"/>
        <w:spacing w:line="360" w:lineRule="auto" w:before="1"/>
        <w:ind w:left="340" w:right="132"/>
        <w:jc w:val="both"/>
      </w:pPr>
      <w:r>
        <w:rPr/>
        <w:t>2018 </w:t>
      </w:r>
      <w:r>
        <w:rPr>
          <w:spacing w:val="-3"/>
        </w:rPr>
        <w:t>is </w:t>
      </w:r>
      <w:r>
        <w:rPr/>
        <w:t>1.28% and 2019 </w:t>
      </w:r>
      <w:r>
        <w:rPr>
          <w:spacing w:val="-3"/>
        </w:rPr>
        <w:t>is </w:t>
      </w:r>
      <w:r>
        <w:rPr/>
        <w:t>highest ratio </w:t>
      </w:r>
      <w:r>
        <w:rPr>
          <w:spacing w:val="-3"/>
        </w:rPr>
        <w:t>is </w:t>
      </w:r>
      <w:r>
        <w:rPr/>
        <w:t>1.44%. Return on Deposits Highest </w:t>
      </w:r>
      <w:r>
        <w:rPr>
          <w:spacing w:val="-3"/>
        </w:rPr>
        <w:t>is </w:t>
      </w:r>
      <w:r>
        <w:rPr/>
        <w:t>2019 was</w:t>
      </w:r>
      <w:r>
        <w:rPr>
          <w:spacing w:val="-39"/>
        </w:rPr>
        <w:t> </w:t>
      </w:r>
      <w:r>
        <w:rPr/>
        <w:t>0.17%. Net interest margin (NIM) </w:t>
      </w:r>
      <w:r>
        <w:rPr>
          <w:spacing w:val="-3"/>
        </w:rPr>
        <w:t>is </w:t>
      </w:r>
      <w:r>
        <w:rPr/>
        <w:t>a measure of the distinction between the interest </w:t>
      </w:r>
      <w:r>
        <w:rPr>
          <w:spacing w:val="-2"/>
        </w:rPr>
        <w:t>income </w:t>
      </w:r>
      <w:r>
        <w:rPr/>
        <w:t>generated by banks or different financial institutions and the amount of interest </w:t>
      </w:r>
      <w:r>
        <w:rPr>
          <w:spacing w:val="-3"/>
        </w:rPr>
        <w:t>paid </w:t>
      </w:r>
      <w:r>
        <w:rPr/>
        <w:t>out to their lenders (for example, deposits), relative </w:t>
      </w:r>
      <w:r>
        <w:rPr>
          <w:spacing w:val="2"/>
        </w:rPr>
        <w:t>to </w:t>
      </w:r>
      <w:r>
        <w:rPr/>
        <w:t>the amount of their (interest-earning) assets. Operating margin </w:t>
      </w:r>
      <w:r>
        <w:rPr>
          <w:spacing w:val="-3"/>
        </w:rPr>
        <w:t>is </w:t>
      </w:r>
      <w:r>
        <w:rPr/>
        <w:t>a margin ratio used to measure a company's pricing strategy and operating efficiency.Net </w:t>
      </w:r>
      <w:r>
        <w:rPr>
          <w:spacing w:val="-3"/>
        </w:rPr>
        <w:t>Profit </w:t>
      </w:r>
      <w:r>
        <w:rPr/>
        <w:t>Margin</w:t>
      </w:r>
      <w:r>
        <w:rPr>
          <w:spacing w:val="-9"/>
        </w:rPr>
        <w:t> </w:t>
      </w:r>
      <w:r>
        <w:rPr>
          <w:spacing w:val="-3"/>
        </w:rPr>
        <w:t>is</w:t>
      </w:r>
      <w:r>
        <w:rPr>
          <w:spacing w:val="-12"/>
        </w:rPr>
        <w:t> </w:t>
      </w:r>
      <w:r>
        <w:rPr/>
        <w:t>2015</w:t>
      </w:r>
      <w:r>
        <w:rPr>
          <w:spacing w:val="-10"/>
        </w:rPr>
        <w:t> </w:t>
      </w:r>
      <w:r>
        <w:rPr/>
        <w:t>to</w:t>
      </w:r>
      <w:r>
        <w:rPr>
          <w:spacing w:val="-5"/>
        </w:rPr>
        <w:t> </w:t>
      </w:r>
      <w:r>
        <w:rPr/>
        <w:t>2019</w:t>
      </w:r>
      <w:r>
        <w:rPr>
          <w:spacing w:val="-10"/>
        </w:rPr>
        <w:t> </w:t>
      </w:r>
      <w:r>
        <w:rPr/>
        <w:t>was</w:t>
      </w:r>
      <w:r>
        <w:rPr>
          <w:spacing w:val="-11"/>
        </w:rPr>
        <w:t> </w:t>
      </w:r>
      <w:r>
        <w:rPr/>
        <w:t>1.41%,</w:t>
      </w:r>
      <w:r>
        <w:rPr>
          <w:spacing w:val="-11"/>
        </w:rPr>
        <w:t> </w:t>
      </w:r>
      <w:r>
        <w:rPr/>
        <w:t>2.27%,</w:t>
      </w:r>
      <w:r>
        <w:rPr>
          <w:spacing w:val="-12"/>
        </w:rPr>
        <w:t> </w:t>
      </w:r>
      <w:r>
        <w:rPr/>
        <w:t>1.54%,</w:t>
      </w:r>
      <w:r>
        <w:rPr>
          <w:spacing w:val="-11"/>
        </w:rPr>
        <w:t> </w:t>
      </w:r>
      <w:r>
        <w:rPr/>
        <w:t>1.99%,</w:t>
      </w:r>
      <w:r>
        <w:rPr>
          <w:spacing w:val="-12"/>
        </w:rPr>
        <w:t> </w:t>
      </w:r>
      <w:r>
        <w:rPr/>
        <w:t>2.04%</w:t>
      </w:r>
      <w:r>
        <w:rPr>
          <w:spacing w:val="-11"/>
        </w:rPr>
        <w:t> </w:t>
      </w:r>
      <w:r>
        <w:rPr/>
        <w:t>above</w:t>
      </w:r>
      <w:r>
        <w:rPr>
          <w:spacing w:val="-10"/>
        </w:rPr>
        <w:t> </w:t>
      </w:r>
      <w:r>
        <w:rPr/>
        <w:t>and</w:t>
      </w:r>
      <w:r>
        <w:rPr>
          <w:spacing w:val="-4"/>
        </w:rPr>
        <w:t> </w:t>
      </w:r>
      <w:r>
        <w:rPr/>
        <w:t>its</w:t>
      </w:r>
      <w:r>
        <w:rPr>
          <w:spacing w:val="-7"/>
        </w:rPr>
        <w:t> </w:t>
      </w:r>
      <w:r>
        <w:rPr/>
        <w:t>increased</w:t>
      </w:r>
      <w:r>
        <w:rPr>
          <w:spacing w:val="-4"/>
        </w:rPr>
        <w:t> </w:t>
      </w:r>
      <w:r>
        <w:rPr/>
        <w:t>from</w:t>
      </w:r>
      <w:r>
        <w:rPr>
          <w:spacing w:val="-18"/>
        </w:rPr>
        <w:t> </w:t>
      </w:r>
      <w:r>
        <w:rPr/>
        <w:t>the First Year </w:t>
      </w:r>
      <w:r>
        <w:rPr>
          <w:spacing w:val="-4"/>
        </w:rPr>
        <w:t>so </w:t>
      </w:r>
      <w:r>
        <w:rPr>
          <w:spacing w:val="-3"/>
        </w:rPr>
        <w:t>it’s </w:t>
      </w:r>
      <w:r>
        <w:rPr/>
        <w:t>good for the </w:t>
      </w:r>
      <w:r>
        <w:rPr>
          <w:spacing w:val="-3"/>
        </w:rPr>
        <w:t>bank. </w:t>
      </w:r>
      <w:r>
        <w:rPr/>
        <w:t>Operating margin </w:t>
      </w:r>
      <w:r>
        <w:rPr>
          <w:spacing w:val="-3"/>
        </w:rPr>
        <w:t>is </w:t>
      </w:r>
      <w:r>
        <w:rPr/>
        <w:t>a measure of what proportion of a company's revenue </w:t>
      </w:r>
      <w:r>
        <w:rPr>
          <w:spacing w:val="-3"/>
        </w:rPr>
        <w:t>is </w:t>
      </w:r>
      <w:r>
        <w:rPr>
          <w:spacing w:val="-4"/>
        </w:rPr>
        <w:t>left </w:t>
      </w:r>
      <w:r>
        <w:rPr/>
        <w:t>over after paying for variable costs of production </w:t>
      </w:r>
      <w:r>
        <w:rPr>
          <w:spacing w:val="-3"/>
        </w:rPr>
        <w:t>like </w:t>
      </w:r>
      <w:r>
        <w:rPr/>
        <w:t>wages, raw materials. Net Operating margin the AIBL </w:t>
      </w:r>
      <w:r>
        <w:rPr>
          <w:spacing w:val="-3"/>
        </w:rPr>
        <w:t>is </w:t>
      </w:r>
      <w:r>
        <w:rPr/>
        <w:t>2015 was 41.16% 2016 was 58.24% and 2017 was 48.63% then </w:t>
      </w:r>
      <w:r>
        <w:rPr>
          <w:spacing w:val="-3"/>
        </w:rPr>
        <w:t>it’s </w:t>
      </w:r>
      <w:r>
        <w:rPr/>
        <w:t>increased the </w:t>
      </w:r>
      <w:r>
        <w:rPr>
          <w:spacing w:val="-3"/>
        </w:rPr>
        <w:t>last </w:t>
      </w:r>
      <w:r>
        <w:rPr/>
        <w:t>two </w:t>
      </w:r>
      <w:r>
        <w:rPr>
          <w:spacing w:val="-3"/>
        </w:rPr>
        <w:t>years </w:t>
      </w:r>
      <w:r>
        <w:rPr/>
        <w:t>it’s</w:t>
      </w:r>
      <w:r>
        <w:rPr>
          <w:spacing w:val="39"/>
        </w:rPr>
        <w:t> </w:t>
      </w:r>
      <w:r>
        <w:rPr/>
        <w:t>good.</w:t>
      </w:r>
    </w:p>
    <w:p>
      <w:pPr>
        <w:spacing w:after="0" w:line="360" w:lineRule="auto"/>
        <w:jc w:val="both"/>
        <w:sectPr>
          <w:pgSz w:w="12240" w:h="15840"/>
          <w:pgMar w:header="0" w:footer="1039" w:top="1440" w:bottom="1220" w:left="1100" w:right="1300"/>
        </w:sectPr>
      </w:pPr>
    </w:p>
    <w:p>
      <w:pPr>
        <w:pStyle w:val="Heading1"/>
        <w:numPr>
          <w:ilvl w:val="1"/>
          <w:numId w:val="14"/>
        </w:numPr>
        <w:tabs>
          <w:tab w:pos="825" w:val="left" w:leader="none"/>
        </w:tabs>
        <w:spacing w:line="368" w:lineRule="exact" w:before="59" w:after="0"/>
        <w:ind w:left="824" w:right="0" w:hanging="485"/>
        <w:jc w:val="left"/>
      </w:pPr>
      <w:r>
        <w:rPr/>
        <w:t>Financial Performance Analysis of Premier Bank</w:t>
      </w:r>
      <w:r>
        <w:rPr>
          <w:spacing w:val="-19"/>
        </w:rPr>
        <w:t> </w:t>
      </w:r>
      <w:r>
        <w:rPr/>
        <w:t>Limited</w:t>
      </w:r>
    </w:p>
    <w:p>
      <w:pPr>
        <w:pStyle w:val="Heading3"/>
        <w:spacing w:line="276" w:lineRule="exact"/>
        <w:jc w:val="both"/>
      </w:pPr>
      <w:r>
        <w:rPr/>
        <w:t>Liquidity Ratio</w:t>
      </w:r>
    </w:p>
    <w:tbl>
      <w:tblPr>
        <w:tblW w:w="0" w:type="auto"/>
        <w:jc w:val="left"/>
        <w:tblInd w:w="482"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146"/>
        <w:gridCol w:w="1263"/>
        <w:gridCol w:w="1167"/>
        <w:gridCol w:w="1171"/>
        <w:gridCol w:w="1172"/>
        <w:gridCol w:w="1042"/>
      </w:tblGrid>
      <w:tr>
        <w:trPr>
          <w:trHeight w:val="437" w:hRule="atLeast"/>
        </w:trPr>
        <w:tc>
          <w:tcPr>
            <w:tcW w:w="3146" w:type="dxa"/>
            <w:tcBorders>
              <w:top w:val="nil"/>
              <w:left w:val="nil"/>
              <w:bottom w:val="nil"/>
              <w:right w:val="nil"/>
            </w:tcBorders>
            <w:shd w:val="clear" w:color="auto" w:fill="5B9BD3"/>
          </w:tcPr>
          <w:p>
            <w:pPr>
              <w:pStyle w:val="TableParagraph"/>
              <w:spacing w:line="414" w:lineRule="exact"/>
              <w:ind w:left="792"/>
              <w:rPr>
                <w:b/>
                <w:sz w:val="36"/>
              </w:rPr>
            </w:pPr>
            <w:r>
              <w:rPr>
                <w:b/>
                <w:sz w:val="36"/>
              </w:rPr>
              <w:t>Particular</w:t>
            </w:r>
          </w:p>
        </w:tc>
        <w:tc>
          <w:tcPr>
            <w:tcW w:w="1263" w:type="dxa"/>
            <w:tcBorders>
              <w:top w:val="nil"/>
              <w:left w:val="nil"/>
              <w:bottom w:val="nil"/>
              <w:right w:val="nil"/>
            </w:tcBorders>
            <w:shd w:val="clear" w:color="auto" w:fill="5B9BD3"/>
          </w:tcPr>
          <w:p>
            <w:pPr>
              <w:pStyle w:val="TableParagraph"/>
              <w:spacing w:line="414" w:lineRule="exact"/>
              <w:ind w:left="273"/>
              <w:rPr>
                <w:b/>
                <w:sz w:val="36"/>
              </w:rPr>
            </w:pPr>
            <w:r>
              <w:rPr>
                <w:b/>
                <w:sz w:val="36"/>
              </w:rPr>
              <w:t>2015</w:t>
            </w:r>
          </w:p>
        </w:tc>
        <w:tc>
          <w:tcPr>
            <w:tcW w:w="1167" w:type="dxa"/>
            <w:tcBorders>
              <w:top w:val="nil"/>
              <w:left w:val="nil"/>
              <w:bottom w:val="nil"/>
              <w:right w:val="nil"/>
            </w:tcBorders>
            <w:shd w:val="clear" w:color="auto" w:fill="5B9BD3"/>
          </w:tcPr>
          <w:p>
            <w:pPr>
              <w:pStyle w:val="TableParagraph"/>
              <w:spacing w:line="414" w:lineRule="exact"/>
              <w:ind w:left="210" w:right="196"/>
              <w:jc w:val="center"/>
              <w:rPr>
                <w:b/>
                <w:sz w:val="36"/>
              </w:rPr>
            </w:pPr>
            <w:r>
              <w:rPr>
                <w:b/>
                <w:sz w:val="36"/>
              </w:rPr>
              <w:t>2016</w:t>
            </w:r>
          </w:p>
        </w:tc>
        <w:tc>
          <w:tcPr>
            <w:tcW w:w="1171" w:type="dxa"/>
            <w:tcBorders>
              <w:top w:val="nil"/>
              <w:left w:val="nil"/>
              <w:bottom w:val="nil"/>
              <w:right w:val="nil"/>
            </w:tcBorders>
            <w:shd w:val="clear" w:color="auto" w:fill="5B9BD3"/>
          </w:tcPr>
          <w:p>
            <w:pPr>
              <w:pStyle w:val="TableParagraph"/>
              <w:spacing w:line="414" w:lineRule="exact"/>
              <w:ind w:left="210" w:right="201"/>
              <w:jc w:val="center"/>
              <w:rPr>
                <w:b/>
                <w:sz w:val="36"/>
              </w:rPr>
            </w:pPr>
            <w:r>
              <w:rPr>
                <w:b/>
                <w:sz w:val="36"/>
              </w:rPr>
              <w:t>2017</w:t>
            </w:r>
          </w:p>
        </w:tc>
        <w:tc>
          <w:tcPr>
            <w:tcW w:w="1172" w:type="dxa"/>
            <w:tcBorders>
              <w:top w:val="nil"/>
              <w:left w:val="nil"/>
              <w:bottom w:val="nil"/>
              <w:right w:val="nil"/>
            </w:tcBorders>
            <w:shd w:val="clear" w:color="auto" w:fill="5B9BD3"/>
          </w:tcPr>
          <w:p>
            <w:pPr>
              <w:pStyle w:val="TableParagraph"/>
              <w:spacing w:line="414" w:lineRule="exact"/>
              <w:ind w:left="230"/>
              <w:rPr>
                <w:b/>
                <w:sz w:val="36"/>
              </w:rPr>
            </w:pPr>
            <w:r>
              <w:rPr>
                <w:b/>
                <w:sz w:val="36"/>
              </w:rPr>
              <w:t>2018</w:t>
            </w:r>
          </w:p>
        </w:tc>
        <w:tc>
          <w:tcPr>
            <w:tcW w:w="1042" w:type="dxa"/>
            <w:tcBorders>
              <w:top w:val="nil"/>
              <w:left w:val="nil"/>
              <w:bottom w:val="nil"/>
              <w:right w:val="nil"/>
            </w:tcBorders>
            <w:shd w:val="clear" w:color="auto" w:fill="5B9BD3"/>
          </w:tcPr>
          <w:p>
            <w:pPr>
              <w:pStyle w:val="TableParagraph"/>
              <w:spacing w:line="414" w:lineRule="exact"/>
              <w:ind w:left="182" w:right="100"/>
              <w:jc w:val="center"/>
              <w:rPr>
                <w:b/>
                <w:sz w:val="36"/>
              </w:rPr>
            </w:pPr>
            <w:r>
              <w:rPr>
                <w:b/>
                <w:sz w:val="36"/>
              </w:rPr>
              <w:t>2019</w:t>
            </w:r>
          </w:p>
        </w:tc>
      </w:tr>
      <w:tr>
        <w:trPr>
          <w:trHeight w:val="316" w:hRule="atLeast"/>
        </w:trPr>
        <w:tc>
          <w:tcPr>
            <w:tcW w:w="3146" w:type="dxa"/>
            <w:tcBorders>
              <w:top w:val="nil"/>
            </w:tcBorders>
            <w:shd w:val="clear" w:color="auto" w:fill="DEEAF6"/>
          </w:tcPr>
          <w:p>
            <w:pPr>
              <w:pStyle w:val="TableParagraph"/>
              <w:spacing w:line="297" w:lineRule="exact"/>
              <w:rPr>
                <w:b/>
                <w:sz w:val="28"/>
              </w:rPr>
            </w:pPr>
            <w:r>
              <w:rPr>
                <w:b/>
                <w:sz w:val="28"/>
              </w:rPr>
              <w:t>Cash Ratio</w:t>
            </w:r>
          </w:p>
        </w:tc>
        <w:tc>
          <w:tcPr>
            <w:tcW w:w="1263" w:type="dxa"/>
            <w:tcBorders>
              <w:top w:val="nil"/>
            </w:tcBorders>
            <w:shd w:val="clear" w:color="auto" w:fill="DEEAF6"/>
          </w:tcPr>
          <w:p>
            <w:pPr>
              <w:pStyle w:val="TableParagraph"/>
              <w:spacing w:line="297" w:lineRule="exact"/>
              <w:ind w:left="316"/>
              <w:rPr>
                <w:sz w:val="28"/>
              </w:rPr>
            </w:pPr>
            <w:r>
              <w:rPr>
                <w:sz w:val="28"/>
              </w:rPr>
              <w:t>0.064</w:t>
            </w:r>
          </w:p>
        </w:tc>
        <w:tc>
          <w:tcPr>
            <w:tcW w:w="1167" w:type="dxa"/>
            <w:tcBorders>
              <w:top w:val="nil"/>
            </w:tcBorders>
            <w:shd w:val="clear" w:color="auto" w:fill="DEEAF6"/>
          </w:tcPr>
          <w:p>
            <w:pPr>
              <w:pStyle w:val="TableParagraph"/>
              <w:spacing w:line="297" w:lineRule="exact"/>
              <w:ind w:left="247" w:right="240"/>
              <w:jc w:val="center"/>
              <w:rPr>
                <w:sz w:val="28"/>
              </w:rPr>
            </w:pPr>
            <w:r>
              <w:rPr>
                <w:sz w:val="28"/>
              </w:rPr>
              <w:t>0.070</w:t>
            </w:r>
          </w:p>
        </w:tc>
        <w:tc>
          <w:tcPr>
            <w:tcW w:w="1171" w:type="dxa"/>
            <w:tcBorders>
              <w:top w:val="nil"/>
            </w:tcBorders>
            <w:shd w:val="clear" w:color="auto" w:fill="DEEAF6"/>
          </w:tcPr>
          <w:p>
            <w:pPr>
              <w:pStyle w:val="TableParagraph"/>
              <w:spacing w:line="297" w:lineRule="exact"/>
              <w:ind w:left="251" w:right="239"/>
              <w:jc w:val="center"/>
              <w:rPr>
                <w:sz w:val="28"/>
              </w:rPr>
            </w:pPr>
            <w:r>
              <w:rPr>
                <w:sz w:val="28"/>
              </w:rPr>
              <w:t>0.068</w:t>
            </w:r>
          </w:p>
        </w:tc>
        <w:tc>
          <w:tcPr>
            <w:tcW w:w="1172" w:type="dxa"/>
            <w:tcBorders>
              <w:top w:val="nil"/>
            </w:tcBorders>
            <w:shd w:val="clear" w:color="auto" w:fill="DEEAF6"/>
          </w:tcPr>
          <w:p>
            <w:pPr>
              <w:pStyle w:val="TableParagraph"/>
              <w:spacing w:line="297" w:lineRule="exact"/>
              <w:ind w:left="268"/>
              <w:rPr>
                <w:sz w:val="28"/>
              </w:rPr>
            </w:pPr>
            <w:r>
              <w:rPr>
                <w:sz w:val="28"/>
              </w:rPr>
              <w:t>0.068</w:t>
            </w:r>
          </w:p>
        </w:tc>
        <w:tc>
          <w:tcPr>
            <w:tcW w:w="1042" w:type="dxa"/>
            <w:tcBorders>
              <w:top w:val="nil"/>
            </w:tcBorders>
            <w:shd w:val="clear" w:color="auto" w:fill="DEEAF6"/>
          </w:tcPr>
          <w:p>
            <w:pPr>
              <w:pStyle w:val="TableParagraph"/>
              <w:spacing w:line="297" w:lineRule="exact"/>
              <w:ind w:left="218" w:right="143"/>
              <w:jc w:val="center"/>
              <w:rPr>
                <w:sz w:val="28"/>
              </w:rPr>
            </w:pPr>
            <w:r>
              <w:rPr>
                <w:sz w:val="28"/>
              </w:rPr>
              <w:t>0.065</w:t>
            </w:r>
          </w:p>
        </w:tc>
      </w:tr>
      <w:tr>
        <w:trPr>
          <w:trHeight w:val="321" w:hRule="atLeast"/>
        </w:trPr>
        <w:tc>
          <w:tcPr>
            <w:tcW w:w="3146" w:type="dxa"/>
          </w:tcPr>
          <w:p>
            <w:pPr>
              <w:pStyle w:val="TableParagraph"/>
              <w:spacing w:line="301" w:lineRule="exact"/>
              <w:rPr>
                <w:b/>
                <w:sz w:val="28"/>
              </w:rPr>
            </w:pPr>
            <w:r>
              <w:rPr>
                <w:b/>
                <w:sz w:val="28"/>
              </w:rPr>
              <w:t>Cash To Assets</w:t>
            </w:r>
          </w:p>
        </w:tc>
        <w:tc>
          <w:tcPr>
            <w:tcW w:w="1263" w:type="dxa"/>
          </w:tcPr>
          <w:p>
            <w:pPr>
              <w:pStyle w:val="TableParagraph"/>
              <w:spacing w:line="301" w:lineRule="exact"/>
              <w:ind w:left="316"/>
              <w:rPr>
                <w:sz w:val="28"/>
              </w:rPr>
            </w:pPr>
            <w:r>
              <w:rPr>
                <w:sz w:val="28"/>
              </w:rPr>
              <w:t>0.060</w:t>
            </w:r>
          </w:p>
        </w:tc>
        <w:tc>
          <w:tcPr>
            <w:tcW w:w="1167" w:type="dxa"/>
          </w:tcPr>
          <w:p>
            <w:pPr>
              <w:pStyle w:val="TableParagraph"/>
              <w:spacing w:line="301" w:lineRule="exact"/>
              <w:ind w:left="247" w:right="240"/>
              <w:jc w:val="center"/>
              <w:rPr>
                <w:sz w:val="28"/>
              </w:rPr>
            </w:pPr>
            <w:r>
              <w:rPr>
                <w:sz w:val="28"/>
              </w:rPr>
              <w:t>0.065</w:t>
            </w:r>
          </w:p>
        </w:tc>
        <w:tc>
          <w:tcPr>
            <w:tcW w:w="1171" w:type="dxa"/>
          </w:tcPr>
          <w:p>
            <w:pPr>
              <w:pStyle w:val="TableParagraph"/>
              <w:spacing w:line="301" w:lineRule="exact"/>
              <w:ind w:left="251" w:right="239"/>
              <w:jc w:val="center"/>
              <w:rPr>
                <w:sz w:val="28"/>
              </w:rPr>
            </w:pPr>
            <w:r>
              <w:rPr>
                <w:sz w:val="28"/>
              </w:rPr>
              <w:t>0.065</w:t>
            </w:r>
          </w:p>
        </w:tc>
        <w:tc>
          <w:tcPr>
            <w:tcW w:w="1172" w:type="dxa"/>
          </w:tcPr>
          <w:p>
            <w:pPr>
              <w:pStyle w:val="TableParagraph"/>
              <w:spacing w:line="301" w:lineRule="exact"/>
              <w:ind w:left="268"/>
              <w:rPr>
                <w:sz w:val="28"/>
              </w:rPr>
            </w:pPr>
            <w:r>
              <w:rPr>
                <w:sz w:val="28"/>
              </w:rPr>
              <w:t>0.065</w:t>
            </w:r>
          </w:p>
        </w:tc>
        <w:tc>
          <w:tcPr>
            <w:tcW w:w="1042" w:type="dxa"/>
          </w:tcPr>
          <w:p>
            <w:pPr>
              <w:pStyle w:val="TableParagraph"/>
              <w:spacing w:line="301" w:lineRule="exact"/>
              <w:ind w:left="218" w:right="143"/>
              <w:jc w:val="center"/>
              <w:rPr>
                <w:sz w:val="28"/>
              </w:rPr>
            </w:pPr>
            <w:r>
              <w:rPr>
                <w:sz w:val="28"/>
              </w:rPr>
              <w:t>0.062</w:t>
            </w:r>
          </w:p>
        </w:tc>
      </w:tr>
      <w:tr>
        <w:trPr>
          <w:trHeight w:val="321" w:hRule="atLeast"/>
        </w:trPr>
        <w:tc>
          <w:tcPr>
            <w:tcW w:w="3146" w:type="dxa"/>
            <w:shd w:val="clear" w:color="auto" w:fill="DEEAF6"/>
          </w:tcPr>
          <w:p>
            <w:pPr>
              <w:pStyle w:val="TableParagraph"/>
              <w:spacing w:line="301" w:lineRule="exact"/>
              <w:rPr>
                <w:b/>
                <w:sz w:val="28"/>
              </w:rPr>
            </w:pPr>
            <w:r>
              <w:rPr>
                <w:b/>
                <w:sz w:val="28"/>
              </w:rPr>
              <w:t>Cash to Deposits</w:t>
            </w:r>
          </w:p>
        </w:tc>
        <w:tc>
          <w:tcPr>
            <w:tcW w:w="1263" w:type="dxa"/>
            <w:shd w:val="clear" w:color="auto" w:fill="DEEAF6"/>
          </w:tcPr>
          <w:p>
            <w:pPr>
              <w:pStyle w:val="TableParagraph"/>
              <w:spacing w:line="301" w:lineRule="exact"/>
              <w:ind w:left="316"/>
              <w:rPr>
                <w:sz w:val="28"/>
              </w:rPr>
            </w:pPr>
            <w:r>
              <w:rPr>
                <w:sz w:val="28"/>
              </w:rPr>
              <w:t>0.073</w:t>
            </w:r>
          </w:p>
        </w:tc>
        <w:tc>
          <w:tcPr>
            <w:tcW w:w="1167" w:type="dxa"/>
            <w:shd w:val="clear" w:color="auto" w:fill="DEEAF6"/>
          </w:tcPr>
          <w:p>
            <w:pPr>
              <w:pStyle w:val="TableParagraph"/>
              <w:spacing w:line="301" w:lineRule="exact"/>
              <w:ind w:left="247" w:right="240"/>
              <w:jc w:val="center"/>
              <w:rPr>
                <w:sz w:val="28"/>
              </w:rPr>
            </w:pPr>
            <w:r>
              <w:rPr>
                <w:sz w:val="28"/>
              </w:rPr>
              <w:t>0.080</w:t>
            </w:r>
          </w:p>
        </w:tc>
        <w:tc>
          <w:tcPr>
            <w:tcW w:w="1171" w:type="dxa"/>
            <w:shd w:val="clear" w:color="auto" w:fill="DEEAF6"/>
          </w:tcPr>
          <w:p>
            <w:pPr>
              <w:pStyle w:val="TableParagraph"/>
              <w:spacing w:line="301" w:lineRule="exact"/>
              <w:ind w:left="251" w:right="239"/>
              <w:jc w:val="center"/>
              <w:rPr>
                <w:sz w:val="28"/>
              </w:rPr>
            </w:pPr>
            <w:r>
              <w:rPr>
                <w:sz w:val="28"/>
              </w:rPr>
              <w:t>0.078</w:t>
            </w:r>
          </w:p>
        </w:tc>
        <w:tc>
          <w:tcPr>
            <w:tcW w:w="1172" w:type="dxa"/>
            <w:shd w:val="clear" w:color="auto" w:fill="DEEAF6"/>
          </w:tcPr>
          <w:p>
            <w:pPr>
              <w:pStyle w:val="TableParagraph"/>
              <w:spacing w:line="301" w:lineRule="exact"/>
              <w:ind w:left="268"/>
              <w:rPr>
                <w:sz w:val="28"/>
              </w:rPr>
            </w:pPr>
            <w:r>
              <w:rPr>
                <w:sz w:val="28"/>
              </w:rPr>
              <w:t>0.080</w:t>
            </w:r>
          </w:p>
        </w:tc>
        <w:tc>
          <w:tcPr>
            <w:tcW w:w="1042" w:type="dxa"/>
            <w:shd w:val="clear" w:color="auto" w:fill="DEEAF6"/>
          </w:tcPr>
          <w:p>
            <w:pPr>
              <w:pStyle w:val="TableParagraph"/>
              <w:spacing w:line="301" w:lineRule="exact"/>
              <w:ind w:left="218" w:right="143"/>
              <w:jc w:val="center"/>
              <w:rPr>
                <w:sz w:val="28"/>
              </w:rPr>
            </w:pPr>
            <w:r>
              <w:rPr>
                <w:sz w:val="28"/>
              </w:rPr>
              <w:t>0.081</w:t>
            </w:r>
          </w:p>
        </w:tc>
      </w:tr>
      <w:tr>
        <w:trPr>
          <w:trHeight w:val="326" w:hRule="atLeast"/>
        </w:trPr>
        <w:tc>
          <w:tcPr>
            <w:tcW w:w="3146" w:type="dxa"/>
          </w:tcPr>
          <w:p>
            <w:pPr>
              <w:pStyle w:val="TableParagraph"/>
              <w:spacing w:line="305" w:lineRule="exact"/>
              <w:rPr>
                <w:b/>
                <w:sz w:val="28"/>
              </w:rPr>
            </w:pPr>
            <w:r>
              <w:rPr>
                <w:b/>
                <w:sz w:val="28"/>
              </w:rPr>
              <w:t>Loan To Total Deposits</w:t>
            </w:r>
          </w:p>
        </w:tc>
        <w:tc>
          <w:tcPr>
            <w:tcW w:w="1263" w:type="dxa"/>
          </w:tcPr>
          <w:p>
            <w:pPr>
              <w:pStyle w:val="TableParagraph"/>
              <w:spacing w:line="305" w:lineRule="exact"/>
              <w:ind w:left="316"/>
              <w:rPr>
                <w:sz w:val="28"/>
              </w:rPr>
            </w:pPr>
            <w:r>
              <w:rPr>
                <w:sz w:val="28"/>
              </w:rPr>
              <w:t>0.708</w:t>
            </w:r>
          </w:p>
        </w:tc>
        <w:tc>
          <w:tcPr>
            <w:tcW w:w="1167" w:type="dxa"/>
          </w:tcPr>
          <w:p>
            <w:pPr>
              <w:pStyle w:val="TableParagraph"/>
              <w:spacing w:line="305" w:lineRule="exact"/>
              <w:ind w:left="247" w:right="240"/>
              <w:jc w:val="center"/>
              <w:rPr>
                <w:sz w:val="28"/>
              </w:rPr>
            </w:pPr>
            <w:r>
              <w:rPr>
                <w:sz w:val="28"/>
              </w:rPr>
              <w:t>0.772</w:t>
            </w:r>
          </w:p>
        </w:tc>
        <w:tc>
          <w:tcPr>
            <w:tcW w:w="1171" w:type="dxa"/>
          </w:tcPr>
          <w:p>
            <w:pPr>
              <w:pStyle w:val="TableParagraph"/>
              <w:spacing w:line="305" w:lineRule="exact"/>
              <w:ind w:left="251" w:right="239"/>
              <w:jc w:val="center"/>
              <w:rPr>
                <w:sz w:val="28"/>
              </w:rPr>
            </w:pPr>
            <w:r>
              <w:rPr>
                <w:sz w:val="28"/>
              </w:rPr>
              <w:t>0.839</w:t>
            </w:r>
          </w:p>
        </w:tc>
        <w:tc>
          <w:tcPr>
            <w:tcW w:w="1172" w:type="dxa"/>
          </w:tcPr>
          <w:p>
            <w:pPr>
              <w:pStyle w:val="TableParagraph"/>
              <w:spacing w:line="305" w:lineRule="exact"/>
              <w:ind w:left="268"/>
              <w:rPr>
                <w:sz w:val="28"/>
              </w:rPr>
            </w:pPr>
            <w:r>
              <w:rPr>
                <w:sz w:val="28"/>
              </w:rPr>
              <w:t>0.906</w:t>
            </w:r>
          </w:p>
        </w:tc>
        <w:tc>
          <w:tcPr>
            <w:tcW w:w="1042" w:type="dxa"/>
          </w:tcPr>
          <w:p>
            <w:pPr>
              <w:pStyle w:val="TableParagraph"/>
              <w:spacing w:line="305" w:lineRule="exact"/>
              <w:ind w:left="218" w:right="143"/>
              <w:jc w:val="center"/>
              <w:rPr>
                <w:sz w:val="28"/>
              </w:rPr>
            </w:pPr>
            <w:r>
              <w:rPr>
                <w:sz w:val="28"/>
              </w:rPr>
              <w:t>0.979</w:t>
            </w:r>
          </w:p>
        </w:tc>
      </w:tr>
      <w:tr>
        <w:trPr>
          <w:trHeight w:val="321" w:hRule="atLeast"/>
        </w:trPr>
        <w:tc>
          <w:tcPr>
            <w:tcW w:w="3146" w:type="dxa"/>
            <w:shd w:val="clear" w:color="auto" w:fill="DEEAF6"/>
          </w:tcPr>
          <w:p>
            <w:pPr>
              <w:pStyle w:val="TableParagraph"/>
              <w:spacing w:line="302" w:lineRule="exact"/>
              <w:rPr>
                <w:b/>
                <w:sz w:val="28"/>
              </w:rPr>
            </w:pPr>
            <w:r>
              <w:rPr>
                <w:b/>
                <w:sz w:val="28"/>
              </w:rPr>
              <w:t>Loan To Total Assets</w:t>
            </w:r>
          </w:p>
        </w:tc>
        <w:tc>
          <w:tcPr>
            <w:tcW w:w="1263" w:type="dxa"/>
            <w:shd w:val="clear" w:color="auto" w:fill="DEEAF6"/>
          </w:tcPr>
          <w:p>
            <w:pPr>
              <w:pStyle w:val="TableParagraph"/>
              <w:spacing w:line="302" w:lineRule="exact"/>
              <w:ind w:left="316"/>
              <w:rPr>
                <w:sz w:val="28"/>
              </w:rPr>
            </w:pPr>
            <w:r>
              <w:rPr>
                <w:sz w:val="28"/>
              </w:rPr>
              <w:t>0.586</w:t>
            </w:r>
          </w:p>
        </w:tc>
        <w:tc>
          <w:tcPr>
            <w:tcW w:w="1167" w:type="dxa"/>
            <w:shd w:val="clear" w:color="auto" w:fill="DEEAF6"/>
          </w:tcPr>
          <w:p>
            <w:pPr>
              <w:pStyle w:val="TableParagraph"/>
              <w:spacing w:line="302" w:lineRule="exact"/>
              <w:ind w:left="247" w:right="240"/>
              <w:jc w:val="center"/>
              <w:rPr>
                <w:sz w:val="28"/>
              </w:rPr>
            </w:pPr>
            <w:r>
              <w:rPr>
                <w:sz w:val="28"/>
              </w:rPr>
              <w:t>0.628</w:t>
            </w:r>
          </w:p>
        </w:tc>
        <w:tc>
          <w:tcPr>
            <w:tcW w:w="1171" w:type="dxa"/>
            <w:shd w:val="clear" w:color="auto" w:fill="DEEAF6"/>
          </w:tcPr>
          <w:p>
            <w:pPr>
              <w:pStyle w:val="TableParagraph"/>
              <w:spacing w:line="302" w:lineRule="exact"/>
              <w:ind w:left="251" w:right="239"/>
              <w:jc w:val="center"/>
              <w:rPr>
                <w:sz w:val="28"/>
              </w:rPr>
            </w:pPr>
            <w:r>
              <w:rPr>
                <w:sz w:val="28"/>
              </w:rPr>
              <w:t>0.695</w:t>
            </w:r>
          </w:p>
        </w:tc>
        <w:tc>
          <w:tcPr>
            <w:tcW w:w="1172" w:type="dxa"/>
            <w:shd w:val="clear" w:color="auto" w:fill="DEEAF6"/>
          </w:tcPr>
          <w:p>
            <w:pPr>
              <w:pStyle w:val="TableParagraph"/>
              <w:spacing w:line="302" w:lineRule="exact"/>
              <w:ind w:left="268"/>
              <w:rPr>
                <w:sz w:val="28"/>
              </w:rPr>
            </w:pPr>
            <w:r>
              <w:rPr>
                <w:sz w:val="28"/>
              </w:rPr>
              <w:t>0.733</w:t>
            </w:r>
          </w:p>
        </w:tc>
        <w:tc>
          <w:tcPr>
            <w:tcW w:w="1042" w:type="dxa"/>
            <w:shd w:val="clear" w:color="auto" w:fill="DEEAF6"/>
          </w:tcPr>
          <w:p>
            <w:pPr>
              <w:pStyle w:val="TableParagraph"/>
              <w:spacing w:line="302" w:lineRule="exact"/>
              <w:ind w:left="218" w:right="143"/>
              <w:jc w:val="center"/>
              <w:rPr>
                <w:sz w:val="28"/>
              </w:rPr>
            </w:pPr>
            <w:r>
              <w:rPr>
                <w:sz w:val="28"/>
              </w:rPr>
              <w:t>0.755</w:t>
            </w:r>
          </w:p>
        </w:tc>
      </w:tr>
      <w:tr>
        <w:trPr>
          <w:trHeight w:val="321" w:hRule="atLeast"/>
        </w:trPr>
        <w:tc>
          <w:tcPr>
            <w:tcW w:w="3146" w:type="dxa"/>
          </w:tcPr>
          <w:p>
            <w:pPr>
              <w:pStyle w:val="TableParagraph"/>
              <w:spacing w:line="300" w:lineRule="exact"/>
              <w:rPr>
                <w:b/>
                <w:sz w:val="28"/>
              </w:rPr>
            </w:pPr>
            <w:r>
              <w:rPr>
                <w:b/>
                <w:sz w:val="28"/>
              </w:rPr>
              <w:t>Current Ratio</w:t>
            </w:r>
          </w:p>
        </w:tc>
        <w:tc>
          <w:tcPr>
            <w:tcW w:w="1263" w:type="dxa"/>
          </w:tcPr>
          <w:p>
            <w:pPr>
              <w:pStyle w:val="TableParagraph"/>
              <w:spacing w:line="300" w:lineRule="exact"/>
              <w:ind w:left="316"/>
              <w:rPr>
                <w:sz w:val="28"/>
              </w:rPr>
            </w:pPr>
            <w:r>
              <w:rPr>
                <w:sz w:val="28"/>
              </w:rPr>
              <w:t>1.032</w:t>
            </w:r>
          </w:p>
        </w:tc>
        <w:tc>
          <w:tcPr>
            <w:tcW w:w="1167" w:type="dxa"/>
          </w:tcPr>
          <w:p>
            <w:pPr>
              <w:pStyle w:val="TableParagraph"/>
              <w:spacing w:line="300" w:lineRule="exact"/>
              <w:ind w:left="247" w:right="240"/>
              <w:jc w:val="center"/>
              <w:rPr>
                <w:sz w:val="28"/>
              </w:rPr>
            </w:pPr>
            <w:r>
              <w:rPr>
                <w:sz w:val="28"/>
              </w:rPr>
              <w:t>1.037</w:t>
            </w:r>
          </w:p>
        </w:tc>
        <w:tc>
          <w:tcPr>
            <w:tcW w:w="1171" w:type="dxa"/>
          </w:tcPr>
          <w:p>
            <w:pPr>
              <w:pStyle w:val="TableParagraph"/>
              <w:spacing w:line="300" w:lineRule="exact"/>
              <w:ind w:left="251" w:right="239"/>
              <w:jc w:val="center"/>
              <w:rPr>
                <w:sz w:val="28"/>
              </w:rPr>
            </w:pPr>
            <w:r>
              <w:rPr>
                <w:sz w:val="28"/>
              </w:rPr>
              <w:t>1.064</w:t>
            </w:r>
          </w:p>
        </w:tc>
        <w:tc>
          <w:tcPr>
            <w:tcW w:w="1172" w:type="dxa"/>
          </w:tcPr>
          <w:p>
            <w:pPr>
              <w:pStyle w:val="TableParagraph"/>
              <w:spacing w:line="300" w:lineRule="exact"/>
              <w:ind w:left="268"/>
              <w:rPr>
                <w:sz w:val="28"/>
              </w:rPr>
            </w:pPr>
            <w:r>
              <w:rPr>
                <w:sz w:val="28"/>
              </w:rPr>
              <w:t>1.080</w:t>
            </w:r>
          </w:p>
        </w:tc>
        <w:tc>
          <w:tcPr>
            <w:tcW w:w="1042" w:type="dxa"/>
          </w:tcPr>
          <w:p>
            <w:pPr>
              <w:pStyle w:val="TableParagraph"/>
              <w:spacing w:line="300" w:lineRule="exact"/>
              <w:ind w:left="218" w:right="143"/>
              <w:jc w:val="center"/>
              <w:rPr>
                <w:sz w:val="28"/>
              </w:rPr>
            </w:pPr>
            <w:r>
              <w:rPr>
                <w:sz w:val="28"/>
              </w:rPr>
              <w:t>1.066</w:t>
            </w:r>
          </w:p>
        </w:tc>
      </w:tr>
      <w:tr>
        <w:trPr>
          <w:trHeight w:val="321" w:hRule="atLeast"/>
        </w:trPr>
        <w:tc>
          <w:tcPr>
            <w:tcW w:w="3146" w:type="dxa"/>
            <w:shd w:val="clear" w:color="auto" w:fill="DEEAF6"/>
          </w:tcPr>
          <w:p>
            <w:pPr>
              <w:pStyle w:val="TableParagraph"/>
              <w:spacing w:line="301" w:lineRule="exact"/>
              <w:rPr>
                <w:b/>
                <w:sz w:val="28"/>
              </w:rPr>
            </w:pPr>
            <w:r>
              <w:rPr>
                <w:b/>
                <w:sz w:val="28"/>
              </w:rPr>
              <w:t>Quick Ratio</w:t>
            </w:r>
          </w:p>
        </w:tc>
        <w:tc>
          <w:tcPr>
            <w:tcW w:w="1263" w:type="dxa"/>
            <w:shd w:val="clear" w:color="auto" w:fill="DEEAF6"/>
          </w:tcPr>
          <w:p>
            <w:pPr>
              <w:pStyle w:val="TableParagraph"/>
              <w:spacing w:line="301" w:lineRule="exact"/>
              <w:ind w:left="316"/>
              <w:rPr>
                <w:sz w:val="28"/>
              </w:rPr>
            </w:pPr>
            <w:r>
              <w:rPr>
                <w:sz w:val="28"/>
              </w:rPr>
              <w:t>0.311</w:t>
            </w:r>
          </w:p>
        </w:tc>
        <w:tc>
          <w:tcPr>
            <w:tcW w:w="1167" w:type="dxa"/>
            <w:shd w:val="clear" w:color="auto" w:fill="DEEAF6"/>
          </w:tcPr>
          <w:p>
            <w:pPr>
              <w:pStyle w:val="TableParagraph"/>
              <w:spacing w:line="301" w:lineRule="exact"/>
              <w:ind w:left="247" w:right="240"/>
              <w:jc w:val="center"/>
              <w:rPr>
                <w:sz w:val="28"/>
              </w:rPr>
            </w:pPr>
            <w:r>
              <w:rPr>
                <w:sz w:val="28"/>
              </w:rPr>
              <w:t>0.278</w:t>
            </w:r>
          </w:p>
        </w:tc>
        <w:tc>
          <w:tcPr>
            <w:tcW w:w="1171" w:type="dxa"/>
            <w:shd w:val="clear" w:color="auto" w:fill="DEEAF6"/>
          </w:tcPr>
          <w:p>
            <w:pPr>
              <w:pStyle w:val="TableParagraph"/>
              <w:spacing w:line="301" w:lineRule="exact"/>
              <w:ind w:left="251" w:right="239"/>
              <w:jc w:val="center"/>
              <w:rPr>
                <w:sz w:val="28"/>
              </w:rPr>
            </w:pPr>
            <w:r>
              <w:rPr>
                <w:sz w:val="28"/>
              </w:rPr>
              <w:t>0.279</w:t>
            </w:r>
          </w:p>
        </w:tc>
        <w:tc>
          <w:tcPr>
            <w:tcW w:w="1172" w:type="dxa"/>
            <w:shd w:val="clear" w:color="auto" w:fill="DEEAF6"/>
          </w:tcPr>
          <w:p>
            <w:pPr>
              <w:pStyle w:val="TableParagraph"/>
              <w:spacing w:line="301" w:lineRule="exact"/>
              <w:ind w:left="268"/>
              <w:rPr>
                <w:sz w:val="28"/>
              </w:rPr>
            </w:pPr>
            <w:r>
              <w:rPr>
                <w:sz w:val="28"/>
              </w:rPr>
              <w:t>0.243</w:t>
            </w:r>
          </w:p>
        </w:tc>
        <w:tc>
          <w:tcPr>
            <w:tcW w:w="1042" w:type="dxa"/>
            <w:shd w:val="clear" w:color="auto" w:fill="DEEAF6"/>
          </w:tcPr>
          <w:p>
            <w:pPr>
              <w:pStyle w:val="TableParagraph"/>
              <w:spacing w:line="301" w:lineRule="exact"/>
              <w:ind w:left="218" w:right="143"/>
              <w:jc w:val="center"/>
              <w:rPr>
                <w:sz w:val="28"/>
              </w:rPr>
            </w:pPr>
            <w:r>
              <w:rPr>
                <w:sz w:val="28"/>
              </w:rPr>
              <w:t>0.212</w:t>
            </w:r>
          </w:p>
        </w:tc>
      </w:tr>
    </w:tbl>
    <w:p>
      <w:pPr>
        <w:pStyle w:val="BodyText"/>
        <w:spacing w:before="4"/>
        <w:rPr>
          <w:b/>
          <w:sz w:val="21"/>
        </w:rPr>
      </w:pPr>
    </w:p>
    <w:p>
      <w:pPr>
        <w:pStyle w:val="BodyText"/>
        <w:spacing w:line="360" w:lineRule="auto" w:before="1"/>
        <w:ind w:left="340" w:right="131"/>
        <w:jc w:val="both"/>
      </w:pPr>
      <w:r>
        <w:rPr>
          <w:b/>
        </w:rPr>
        <w:t>Interpretation:</w:t>
      </w:r>
      <w:r>
        <w:rPr>
          <w:b/>
          <w:spacing w:val="3"/>
        </w:rPr>
        <w:t> </w:t>
      </w:r>
      <w:r>
        <w:rPr/>
        <w:t>In</w:t>
      </w:r>
      <w:r>
        <w:rPr>
          <w:spacing w:val="-9"/>
        </w:rPr>
        <w:t> </w:t>
      </w:r>
      <w:r>
        <w:rPr/>
        <w:t>accounting,</w:t>
      </w:r>
      <w:r>
        <w:rPr>
          <w:spacing w:val="-3"/>
        </w:rPr>
        <w:t> </w:t>
      </w:r>
      <w:r>
        <w:rPr/>
        <w:t>the</w:t>
      </w:r>
      <w:r>
        <w:rPr>
          <w:spacing w:val="-5"/>
        </w:rPr>
        <w:t> </w:t>
      </w:r>
      <w:r>
        <w:rPr/>
        <w:t>term</w:t>
      </w:r>
      <w:r>
        <w:rPr>
          <w:spacing w:val="-9"/>
        </w:rPr>
        <w:t> </w:t>
      </w:r>
      <w:r>
        <w:rPr/>
        <w:t>liquidity</w:t>
      </w:r>
      <w:r>
        <w:rPr>
          <w:spacing w:val="-9"/>
        </w:rPr>
        <w:t> </w:t>
      </w:r>
      <w:r>
        <w:rPr>
          <w:spacing w:val="-3"/>
        </w:rPr>
        <w:t>is</w:t>
      </w:r>
      <w:r>
        <w:rPr>
          <w:spacing w:val="3"/>
        </w:rPr>
        <w:t> </w:t>
      </w:r>
      <w:r>
        <w:rPr/>
        <w:t>defined</w:t>
      </w:r>
      <w:r>
        <w:rPr>
          <w:spacing w:val="-5"/>
        </w:rPr>
        <w:t> </w:t>
      </w:r>
      <w:r>
        <w:rPr/>
        <w:t>as</w:t>
      </w:r>
      <w:r>
        <w:rPr>
          <w:spacing w:val="-2"/>
        </w:rPr>
        <w:t> </w:t>
      </w:r>
      <w:r>
        <w:rPr/>
        <w:t>the</w:t>
      </w:r>
      <w:r>
        <w:rPr>
          <w:spacing w:val="-6"/>
        </w:rPr>
        <w:t> </w:t>
      </w:r>
      <w:r>
        <w:rPr/>
        <w:t>ability</w:t>
      </w:r>
      <w:r>
        <w:rPr>
          <w:spacing w:val="-18"/>
        </w:rPr>
        <w:t> </w:t>
      </w:r>
      <w:r>
        <w:rPr>
          <w:spacing w:val="4"/>
        </w:rPr>
        <w:t>of</w:t>
      </w:r>
      <w:r>
        <w:rPr>
          <w:spacing w:val="-8"/>
        </w:rPr>
        <w:t> </w:t>
      </w:r>
      <w:r>
        <w:rPr/>
        <w:t>a</w:t>
      </w:r>
      <w:r>
        <w:rPr>
          <w:spacing w:val="-7"/>
        </w:rPr>
        <w:t> </w:t>
      </w:r>
      <w:r>
        <w:rPr/>
        <w:t>company</w:t>
      </w:r>
      <w:r>
        <w:rPr>
          <w:spacing w:val="-14"/>
        </w:rPr>
        <w:t> </w:t>
      </w:r>
      <w:r>
        <w:rPr>
          <w:spacing w:val="2"/>
        </w:rPr>
        <w:t>to</w:t>
      </w:r>
      <w:r>
        <w:rPr/>
        <w:t> </w:t>
      </w:r>
      <w:r>
        <w:rPr>
          <w:spacing w:val="-3"/>
        </w:rPr>
        <w:t>meet</w:t>
      </w:r>
      <w:r>
        <w:rPr>
          <w:spacing w:val="9"/>
        </w:rPr>
        <w:t> </w:t>
      </w:r>
      <w:r>
        <w:rPr/>
        <w:t>its financial obligations as they come due. The cash ratio or cash coverage ratio </w:t>
      </w:r>
      <w:r>
        <w:rPr>
          <w:spacing w:val="-5"/>
        </w:rPr>
        <w:t>is </w:t>
      </w:r>
      <w:r>
        <w:rPr/>
        <w:t>a liquidity ratio that measures a firm's ability </w:t>
      </w:r>
      <w:r>
        <w:rPr>
          <w:spacing w:val="2"/>
        </w:rPr>
        <w:t>to </w:t>
      </w:r>
      <w:r>
        <w:rPr/>
        <w:t>pay off its current liabilities with only cash and cash equivalents. Cash</w:t>
      </w:r>
      <w:r>
        <w:rPr>
          <w:spacing w:val="-14"/>
        </w:rPr>
        <w:t> </w:t>
      </w:r>
      <w:r>
        <w:rPr/>
        <w:t>Ratio</w:t>
      </w:r>
      <w:r>
        <w:rPr>
          <w:spacing w:val="-9"/>
        </w:rPr>
        <w:t> </w:t>
      </w:r>
      <w:r>
        <w:rPr/>
        <w:t>of</w:t>
      </w:r>
      <w:r>
        <w:rPr>
          <w:spacing w:val="-17"/>
        </w:rPr>
        <w:t> </w:t>
      </w:r>
      <w:r>
        <w:rPr/>
        <w:t>PBL</w:t>
      </w:r>
      <w:r>
        <w:rPr>
          <w:spacing w:val="-16"/>
        </w:rPr>
        <w:t> </w:t>
      </w:r>
      <w:r>
        <w:rPr/>
        <w:t>2019</w:t>
      </w:r>
      <w:r>
        <w:rPr>
          <w:spacing w:val="-13"/>
        </w:rPr>
        <w:t> </w:t>
      </w:r>
      <w:r>
        <w:rPr>
          <w:spacing w:val="-3"/>
        </w:rPr>
        <w:t>is</w:t>
      </w:r>
      <w:r>
        <w:rPr>
          <w:spacing w:val="-12"/>
        </w:rPr>
        <w:t> </w:t>
      </w:r>
      <w:r>
        <w:rPr/>
        <w:t>0.065</w:t>
      </w:r>
      <w:r>
        <w:rPr>
          <w:spacing w:val="-13"/>
        </w:rPr>
        <w:t> </w:t>
      </w:r>
      <w:r>
        <w:rPr/>
        <w:t>and</w:t>
      </w:r>
      <w:r>
        <w:rPr>
          <w:spacing w:val="-10"/>
        </w:rPr>
        <w:t> </w:t>
      </w:r>
      <w:r>
        <w:rPr/>
        <w:t>2017</w:t>
      </w:r>
      <w:r>
        <w:rPr>
          <w:spacing w:val="-13"/>
        </w:rPr>
        <w:t> </w:t>
      </w:r>
      <w:r>
        <w:rPr/>
        <w:t>&amp;</w:t>
      </w:r>
      <w:r>
        <w:rPr>
          <w:spacing w:val="-19"/>
        </w:rPr>
        <w:t> </w:t>
      </w:r>
      <w:r>
        <w:rPr/>
        <w:t>2018</w:t>
      </w:r>
      <w:r>
        <w:rPr>
          <w:spacing w:val="-13"/>
        </w:rPr>
        <w:t> </w:t>
      </w:r>
      <w:r>
        <w:rPr>
          <w:spacing w:val="-3"/>
        </w:rPr>
        <w:t>it</w:t>
      </w:r>
      <w:r>
        <w:rPr>
          <w:spacing w:val="-9"/>
        </w:rPr>
        <w:t> </w:t>
      </w:r>
      <w:r>
        <w:rPr/>
        <w:t>was</w:t>
      </w:r>
      <w:r>
        <w:rPr>
          <w:spacing w:val="-12"/>
        </w:rPr>
        <w:t> </w:t>
      </w:r>
      <w:r>
        <w:rPr/>
        <w:t>0.068</w:t>
      </w:r>
      <w:r>
        <w:rPr>
          <w:spacing w:val="-8"/>
        </w:rPr>
        <w:t> </w:t>
      </w:r>
      <w:r>
        <w:rPr/>
        <w:t>&amp;</w:t>
      </w:r>
      <w:r>
        <w:rPr>
          <w:spacing w:val="-19"/>
        </w:rPr>
        <w:t> </w:t>
      </w:r>
      <w:r>
        <w:rPr/>
        <w:t>0.068.</w:t>
      </w:r>
      <w:r>
        <w:rPr>
          <w:spacing w:val="-11"/>
        </w:rPr>
        <w:t> </w:t>
      </w:r>
      <w:r>
        <w:rPr/>
        <w:t>The</w:t>
      </w:r>
      <w:r>
        <w:rPr>
          <w:spacing w:val="-10"/>
        </w:rPr>
        <w:t> </w:t>
      </w:r>
      <w:r>
        <w:rPr/>
        <w:t>cash</w:t>
      </w:r>
      <w:r>
        <w:rPr>
          <w:spacing w:val="-14"/>
        </w:rPr>
        <w:t> </w:t>
      </w:r>
      <w:r>
        <w:rPr/>
        <w:t>ratio</w:t>
      </w:r>
      <w:r>
        <w:rPr>
          <w:spacing w:val="-4"/>
        </w:rPr>
        <w:t> </w:t>
      </w:r>
      <w:r>
        <w:rPr/>
        <w:t>of</w:t>
      </w:r>
      <w:r>
        <w:rPr>
          <w:spacing w:val="-18"/>
        </w:rPr>
        <w:t> </w:t>
      </w:r>
      <w:r>
        <w:rPr/>
        <w:t>the</w:t>
      </w:r>
      <w:r>
        <w:rPr>
          <w:spacing w:val="-6"/>
        </w:rPr>
        <w:t> </w:t>
      </w:r>
      <w:r>
        <w:rPr/>
        <w:t>bank was not good for the bank for those years. The bank should focus on it. Cash </w:t>
      </w:r>
      <w:r>
        <w:rPr>
          <w:spacing w:val="2"/>
        </w:rPr>
        <w:t>to </w:t>
      </w:r>
      <w:r>
        <w:rPr/>
        <w:t>Assets Ratio of PBL </w:t>
      </w:r>
      <w:r>
        <w:rPr>
          <w:spacing w:val="-3"/>
        </w:rPr>
        <w:t>in </w:t>
      </w:r>
      <w:r>
        <w:rPr/>
        <w:t>2018, 2017, 2016 was 0.065 and </w:t>
      </w:r>
      <w:r>
        <w:rPr>
          <w:spacing w:val="-5"/>
        </w:rPr>
        <w:t>it </w:t>
      </w:r>
      <w:r>
        <w:rPr/>
        <w:t>has decreased </w:t>
      </w:r>
      <w:r>
        <w:rPr>
          <w:spacing w:val="-3"/>
        </w:rPr>
        <w:t>in </w:t>
      </w:r>
      <w:r>
        <w:rPr/>
        <w:t>2019 to 0.062. The cash-deposit ratio of scheduled PBL (cash </w:t>
      </w:r>
      <w:r>
        <w:rPr>
          <w:spacing w:val="-3"/>
        </w:rPr>
        <w:t>in </w:t>
      </w:r>
      <w:r>
        <w:rPr/>
        <w:t>hand and balances with the PBL as percentage of deposits) </w:t>
      </w:r>
      <w:r>
        <w:rPr>
          <w:spacing w:val="-3"/>
        </w:rPr>
        <w:t>is </w:t>
      </w:r>
      <w:r>
        <w:rPr/>
        <w:t>observed to </w:t>
      </w:r>
      <w:r>
        <w:rPr>
          <w:spacing w:val="-3"/>
        </w:rPr>
        <w:t>be </w:t>
      </w:r>
      <w:r>
        <w:rPr/>
        <w:t>high at 0.081 as </w:t>
      </w:r>
      <w:r>
        <w:rPr>
          <w:spacing w:val="-3"/>
        </w:rPr>
        <w:t>at </w:t>
      </w:r>
      <w:r>
        <w:rPr/>
        <w:t>2019. The cash to deposit ratio has increased gradually from 2015-2019. It’s good side for the bank. The loan-to-deposit ratio (LTD) </w:t>
      </w:r>
      <w:r>
        <w:rPr>
          <w:spacing w:val="-5"/>
        </w:rPr>
        <w:t>is </w:t>
      </w:r>
      <w:r>
        <w:rPr/>
        <w:t>a commonly used statistic for assessing</w:t>
      </w:r>
      <w:r>
        <w:rPr>
          <w:spacing w:val="-15"/>
        </w:rPr>
        <w:t> </w:t>
      </w:r>
      <w:r>
        <w:rPr/>
        <w:t>a</w:t>
      </w:r>
      <w:r>
        <w:rPr>
          <w:spacing w:val="-16"/>
        </w:rPr>
        <w:t> </w:t>
      </w:r>
      <w:r>
        <w:rPr/>
        <w:t>bank's</w:t>
      </w:r>
      <w:r>
        <w:rPr>
          <w:spacing w:val="-13"/>
        </w:rPr>
        <w:t> </w:t>
      </w:r>
      <w:r>
        <w:rPr/>
        <w:t>liquidity</w:t>
      </w:r>
      <w:r>
        <w:rPr>
          <w:spacing w:val="-20"/>
        </w:rPr>
        <w:t> </w:t>
      </w:r>
      <w:r>
        <w:rPr/>
        <w:t>by</w:t>
      </w:r>
      <w:r>
        <w:rPr>
          <w:spacing w:val="-24"/>
        </w:rPr>
        <w:t> </w:t>
      </w:r>
      <w:r>
        <w:rPr/>
        <w:t>dividing</w:t>
      </w:r>
      <w:r>
        <w:rPr>
          <w:spacing w:val="-15"/>
        </w:rPr>
        <w:t> </w:t>
      </w:r>
      <w:r>
        <w:rPr/>
        <w:t>the</w:t>
      </w:r>
      <w:r>
        <w:rPr>
          <w:spacing w:val="-15"/>
        </w:rPr>
        <w:t> </w:t>
      </w:r>
      <w:r>
        <w:rPr/>
        <w:t>bank's</w:t>
      </w:r>
      <w:r>
        <w:rPr>
          <w:spacing w:val="-18"/>
        </w:rPr>
        <w:t> </w:t>
      </w:r>
      <w:r>
        <w:rPr/>
        <w:t>total</w:t>
      </w:r>
      <w:r>
        <w:rPr>
          <w:spacing w:val="-20"/>
        </w:rPr>
        <w:t> </w:t>
      </w:r>
      <w:r>
        <w:rPr/>
        <w:t>loans</w:t>
      </w:r>
      <w:r>
        <w:rPr>
          <w:spacing w:val="-17"/>
        </w:rPr>
        <w:t> </w:t>
      </w:r>
      <w:r>
        <w:rPr/>
        <w:t>by</w:t>
      </w:r>
      <w:r>
        <w:rPr>
          <w:spacing w:val="-15"/>
        </w:rPr>
        <w:t> </w:t>
      </w:r>
      <w:r>
        <w:rPr/>
        <w:t>its</w:t>
      </w:r>
      <w:r>
        <w:rPr>
          <w:spacing w:val="-18"/>
        </w:rPr>
        <w:t> </w:t>
      </w:r>
      <w:r>
        <w:rPr/>
        <w:t>total</w:t>
      </w:r>
      <w:r>
        <w:rPr>
          <w:spacing w:val="-24"/>
        </w:rPr>
        <w:t> </w:t>
      </w:r>
      <w:r>
        <w:rPr/>
        <w:t>deposits.</w:t>
      </w:r>
      <w:r>
        <w:rPr>
          <w:spacing w:val="-13"/>
        </w:rPr>
        <w:t> </w:t>
      </w:r>
      <w:r>
        <w:rPr/>
        <w:t>Loans</w:t>
      </w:r>
      <w:r>
        <w:rPr>
          <w:spacing w:val="-17"/>
        </w:rPr>
        <w:t> </w:t>
      </w:r>
      <w:r>
        <w:rPr/>
        <w:t>to</w:t>
      </w:r>
      <w:r>
        <w:rPr>
          <w:spacing w:val="-15"/>
        </w:rPr>
        <w:t> </w:t>
      </w:r>
      <w:r>
        <w:rPr/>
        <w:t>Deposits Ratio</w:t>
      </w:r>
      <w:r>
        <w:rPr>
          <w:spacing w:val="-5"/>
        </w:rPr>
        <w:t> </w:t>
      </w:r>
      <w:r>
        <w:rPr/>
        <w:t>has</w:t>
      </w:r>
      <w:r>
        <w:rPr>
          <w:spacing w:val="-7"/>
        </w:rPr>
        <w:t> </w:t>
      </w:r>
      <w:r>
        <w:rPr/>
        <w:t>increased</w:t>
      </w:r>
      <w:r>
        <w:rPr>
          <w:spacing w:val="-10"/>
        </w:rPr>
        <w:t> </w:t>
      </w:r>
      <w:r>
        <w:rPr/>
        <w:t>gradually</w:t>
      </w:r>
      <w:r>
        <w:rPr>
          <w:spacing w:val="-13"/>
        </w:rPr>
        <w:t> </w:t>
      </w:r>
      <w:r>
        <w:rPr/>
        <w:t>every</w:t>
      </w:r>
      <w:r>
        <w:rPr>
          <w:spacing w:val="-14"/>
        </w:rPr>
        <w:t> </w:t>
      </w:r>
      <w:r>
        <w:rPr/>
        <w:t>year.</w:t>
      </w:r>
      <w:r>
        <w:rPr>
          <w:spacing w:val="-8"/>
        </w:rPr>
        <w:t> </w:t>
      </w:r>
      <w:r>
        <w:rPr/>
        <w:t>In</w:t>
      </w:r>
      <w:r>
        <w:rPr>
          <w:spacing w:val="-13"/>
        </w:rPr>
        <w:t> </w:t>
      </w:r>
      <w:r>
        <w:rPr/>
        <w:t>2019</w:t>
      </w:r>
      <w:r>
        <w:rPr>
          <w:spacing w:val="-5"/>
        </w:rPr>
        <w:t> it </w:t>
      </w:r>
      <w:r>
        <w:rPr/>
        <w:t>was</w:t>
      </w:r>
      <w:r>
        <w:rPr>
          <w:spacing w:val="-12"/>
        </w:rPr>
        <w:t> </w:t>
      </w:r>
      <w:r>
        <w:rPr/>
        <w:t>0.979.</w:t>
      </w:r>
      <w:r>
        <w:rPr>
          <w:spacing w:val="-5"/>
        </w:rPr>
        <w:t> </w:t>
      </w:r>
      <w:r>
        <w:rPr/>
        <w:t>In</w:t>
      </w:r>
      <w:r>
        <w:rPr>
          <w:spacing w:val="-24"/>
        </w:rPr>
        <w:t> </w:t>
      </w:r>
      <w:r>
        <w:rPr/>
        <w:t>2015</w:t>
      </w:r>
      <w:r>
        <w:rPr>
          <w:spacing w:val="-4"/>
        </w:rPr>
        <w:t> </w:t>
      </w:r>
      <w:r>
        <w:rPr>
          <w:spacing w:val="-5"/>
        </w:rPr>
        <w:t>it </w:t>
      </w:r>
      <w:r>
        <w:rPr/>
        <w:t>was</w:t>
      </w:r>
      <w:r>
        <w:rPr>
          <w:spacing w:val="-12"/>
        </w:rPr>
        <w:t> </w:t>
      </w:r>
      <w:r>
        <w:rPr/>
        <w:t>0.708</w:t>
      </w:r>
      <w:r>
        <w:rPr>
          <w:spacing w:val="-10"/>
        </w:rPr>
        <w:t> </w:t>
      </w:r>
      <w:r>
        <w:rPr/>
        <w:t>and</w:t>
      </w:r>
      <w:r>
        <w:rPr>
          <w:spacing w:val="-4"/>
        </w:rPr>
        <w:t> </w:t>
      </w:r>
      <w:r>
        <w:rPr>
          <w:spacing w:val="-5"/>
        </w:rPr>
        <w:t>it</w:t>
      </w:r>
      <w:r>
        <w:rPr/>
        <w:t> increase next</w:t>
      </w:r>
      <w:r>
        <w:rPr>
          <w:spacing w:val="-5"/>
        </w:rPr>
        <w:t> </w:t>
      </w:r>
      <w:r>
        <w:rPr/>
        <w:t>four</w:t>
      </w:r>
      <w:r>
        <w:rPr>
          <w:spacing w:val="-2"/>
        </w:rPr>
        <w:t> </w:t>
      </w:r>
      <w:r>
        <w:rPr>
          <w:spacing w:val="-3"/>
        </w:rPr>
        <w:t>years.</w:t>
      </w:r>
      <w:r>
        <w:rPr>
          <w:spacing w:val="-7"/>
        </w:rPr>
        <w:t> </w:t>
      </w:r>
      <w:r>
        <w:rPr/>
        <w:t>Loan</w:t>
      </w:r>
      <w:r>
        <w:rPr>
          <w:spacing w:val="-13"/>
        </w:rPr>
        <w:t> </w:t>
      </w:r>
      <w:r>
        <w:rPr>
          <w:spacing w:val="2"/>
        </w:rPr>
        <w:t>to</w:t>
      </w:r>
      <w:r>
        <w:rPr>
          <w:spacing w:val="-12"/>
        </w:rPr>
        <w:t> </w:t>
      </w:r>
      <w:r>
        <w:rPr/>
        <w:t>total</w:t>
      </w:r>
      <w:r>
        <w:rPr>
          <w:spacing w:val="-18"/>
        </w:rPr>
        <w:t> </w:t>
      </w:r>
      <w:r>
        <w:rPr/>
        <w:t>assets</w:t>
      </w:r>
      <w:r>
        <w:rPr>
          <w:spacing w:val="-11"/>
        </w:rPr>
        <w:t> </w:t>
      </w:r>
      <w:r>
        <w:rPr/>
        <w:t>ratio</w:t>
      </w:r>
      <w:r>
        <w:rPr>
          <w:spacing w:val="-4"/>
        </w:rPr>
        <w:t> </w:t>
      </w:r>
      <w:r>
        <w:rPr/>
        <w:t>has</w:t>
      </w:r>
      <w:r>
        <w:rPr>
          <w:spacing w:val="-6"/>
        </w:rPr>
        <w:t> </w:t>
      </w:r>
      <w:r>
        <w:rPr/>
        <w:t>increased</w:t>
      </w:r>
      <w:r>
        <w:rPr>
          <w:spacing w:val="-9"/>
        </w:rPr>
        <w:t> </w:t>
      </w:r>
      <w:r>
        <w:rPr/>
        <w:t>every</w:t>
      </w:r>
      <w:r>
        <w:rPr>
          <w:spacing w:val="-13"/>
        </w:rPr>
        <w:t> </w:t>
      </w:r>
      <w:r>
        <w:rPr/>
        <w:t>year</w:t>
      </w:r>
      <w:r>
        <w:rPr>
          <w:spacing w:val="-2"/>
        </w:rPr>
        <w:t> </w:t>
      </w:r>
      <w:r>
        <w:rPr>
          <w:spacing w:val="-3"/>
        </w:rPr>
        <w:t>in</w:t>
      </w:r>
      <w:r>
        <w:rPr>
          <w:spacing w:val="-13"/>
        </w:rPr>
        <w:t> </w:t>
      </w:r>
      <w:r>
        <w:rPr/>
        <w:t>2015</w:t>
      </w:r>
      <w:r>
        <w:rPr>
          <w:spacing w:val="-3"/>
        </w:rPr>
        <w:t> </w:t>
      </w:r>
      <w:r>
        <w:rPr>
          <w:spacing w:val="-5"/>
        </w:rPr>
        <w:t>it</w:t>
      </w:r>
      <w:r>
        <w:rPr>
          <w:spacing w:val="-4"/>
        </w:rPr>
        <w:t> </w:t>
      </w:r>
      <w:r>
        <w:rPr/>
        <w:t>was</w:t>
      </w:r>
      <w:r>
        <w:rPr>
          <w:spacing w:val="-11"/>
        </w:rPr>
        <w:t> </w:t>
      </w:r>
      <w:r>
        <w:rPr/>
        <w:t>0.586</w:t>
      </w:r>
      <w:r>
        <w:rPr>
          <w:spacing w:val="-9"/>
        </w:rPr>
        <w:t> </w:t>
      </w:r>
      <w:r>
        <w:rPr/>
        <w:t>and</w:t>
      </w:r>
      <w:r>
        <w:rPr>
          <w:spacing w:val="-4"/>
        </w:rPr>
        <w:t> </w:t>
      </w:r>
      <w:r>
        <w:rPr>
          <w:spacing w:val="-3"/>
        </w:rPr>
        <w:t>in</w:t>
      </w:r>
      <w:r>
        <w:rPr>
          <w:spacing w:val="-9"/>
        </w:rPr>
        <w:t> </w:t>
      </w:r>
      <w:r>
        <w:rPr/>
        <w:t>2019 </w:t>
      </w:r>
      <w:r>
        <w:rPr>
          <w:spacing w:val="-5"/>
        </w:rPr>
        <w:t>it </w:t>
      </w:r>
      <w:r>
        <w:rPr/>
        <w:t>was 0.755. Current ratio </w:t>
      </w:r>
      <w:r>
        <w:rPr>
          <w:spacing w:val="-5"/>
        </w:rPr>
        <w:t>is </w:t>
      </w:r>
      <w:r>
        <w:rPr/>
        <w:t>a liquidity ratio that measures whether or not a firm has enough resources to </w:t>
      </w:r>
      <w:r>
        <w:rPr>
          <w:spacing w:val="-3"/>
        </w:rPr>
        <w:t>meet </w:t>
      </w:r>
      <w:r>
        <w:rPr/>
        <w:t>its short-term obligations. </w:t>
      </w:r>
      <w:r>
        <w:rPr>
          <w:spacing w:val="3"/>
        </w:rPr>
        <w:t>If </w:t>
      </w:r>
      <w:r>
        <w:rPr/>
        <w:t>we can see that </w:t>
      </w:r>
      <w:r>
        <w:rPr>
          <w:spacing w:val="-3"/>
        </w:rPr>
        <w:t>in </w:t>
      </w:r>
      <w:r>
        <w:rPr/>
        <w:t>2015 </w:t>
      </w:r>
      <w:r>
        <w:rPr>
          <w:spacing w:val="-5"/>
        </w:rPr>
        <w:t>it </w:t>
      </w:r>
      <w:r>
        <w:rPr/>
        <w:t>was 1.032 and </w:t>
      </w:r>
      <w:r>
        <w:rPr>
          <w:spacing w:val="-3"/>
        </w:rPr>
        <w:t>in </w:t>
      </w:r>
      <w:r>
        <w:rPr/>
        <w:t>2019 </w:t>
      </w:r>
      <w:r>
        <w:rPr>
          <w:spacing w:val="-5"/>
        </w:rPr>
        <w:t>it </w:t>
      </w:r>
      <w:r>
        <w:rPr/>
        <w:t>was 1.066 this bank has enough liquidity to meet up any unforeseen fund requirement. But this bank should reserve more liquidity. Quick ratio is a measure of how well a company can meet its short-term financial liabilities with the available quick funds on</w:t>
      </w:r>
      <w:r>
        <w:rPr>
          <w:spacing w:val="-1"/>
        </w:rPr>
        <w:t> </w:t>
      </w:r>
      <w:r>
        <w:rPr/>
        <w:t>hand.</w:t>
      </w:r>
    </w:p>
    <w:p>
      <w:pPr>
        <w:pStyle w:val="Heading3"/>
        <w:spacing w:before="6"/>
        <w:jc w:val="both"/>
      </w:pPr>
      <w:r>
        <w:rPr/>
        <w:t>Assets Activity Ratio</w:t>
      </w:r>
    </w:p>
    <w:p>
      <w:pPr>
        <w:pStyle w:val="BodyText"/>
        <w:spacing w:before="2"/>
        <w:rPr>
          <w:b/>
          <w:sz w:val="12"/>
        </w:rPr>
      </w:pPr>
    </w:p>
    <w:tbl>
      <w:tblPr>
        <w:tblW w:w="0" w:type="auto"/>
        <w:jc w:val="left"/>
        <w:tblInd w:w="348"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458"/>
        <w:gridCol w:w="1172"/>
        <w:gridCol w:w="1172"/>
        <w:gridCol w:w="1056"/>
        <w:gridCol w:w="1201"/>
        <w:gridCol w:w="946"/>
      </w:tblGrid>
      <w:tr>
        <w:trPr>
          <w:trHeight w:val="436" w:hRule="atLeast"/>
        </w:trPr>
        <w:tc>
          <w:tcPr>
            <w:tcW w:w="3458" w:type="dxa"/>
            <w:tcBorders>
              <w:top w:val="nil"/>
              <w:left w:val="nil"/>
              <w:bottom w:val="nil"/>
              <w:right w:val="nil"/>
            </w:tcBorders>
            <w:shd w:val="clear" w:color="auto" w:fill="5B9BD3"/>
          </w:tcPr>
          <w:p>
            <w:pPr>
              <w:pStyle w:val="TableParagraph"/>
              <w:spacing w:line="240" w:lineRule="auto"/>
              <w:ind w:left="878"/>
              <w:rPr>
                <w:b/>
                <w:sz w:val="36"/>
              </w:rPr>
            </w:pPr>
            <w:r>
              <w:rPr>
                <w:b/>
                <w:sz w:val="36"/>
              </w:rPr>
              <w:t>Particular</w:t>
            </w:r>
          </w:p>
        </w:tc>
        <w:tc>
          <w:tcPr>
            <w:tcW w:w="1172" w:type="dxa"/>
            <w:tcBorders>
              <w:top w:val="nil"/>
              <w:left w:val="nil"/>
              <w:bottom w:val="nil"/>
              <w:right w:val="nil"/>
            </w:tcBorders>
            <w:shd w:val="clear" w:color="auto" w:fill="5B9BD3"/>
          </w:tcPr>
          <w:p>
            <w:pPr>
              <w:pStyle w:val="TableParagraph"/>
              <w:spacing w:line="240" w:lineRule="auto"/>
              <w:ind w:left="229"/>
              <w:rPr>
                <w:b/>
                <w:sz w:val="36"/>
              </w:rPr>
            </w:pPr>
            <w:r>
              <w:rPr>
                <w:b/>
                <w:sz w:val="36"/>
              </w:rPr>
              <w:t>2015</w:t>
            </w:r>
          </w:p>
        </w:tc>
        <w:tc>
          <w:tcPr>
            <w:tcW w:w="1172" w:type="dxa"/>
            <w:tcBorders>
              <w:top w:val="nil"/>
              <w:left w:val="nil"/>
              <w:bottom w:val="nil"/>
              <w:right w:val="nil"/>
            </w:tcBorders>
            <w:shd w:val="clear" w:color="auto" w:fill="5B9BD3"/>
          </w:tcPr>
          <w:p>
            <w:pPr>
              <w:pStyle w:val="TableParagraph"/>
              <w:spacing w:line="240" w:lineRule="auto"/>
              <w:ind w:left="229"/>
              <w:rPr>
                <w:b/>
                <w:sz w:val="36"/>
              </w:rPr>
            </w:pPr>
            <w:r>
              <w:rPr>
                <w:b/>
                <w:sz w:val="36"/>
              </w:rPr>
              <w:t>2016</w:t>
            </w:r>
          </w:p>
        </w:tc>
        <w:tc>
          <w:tcPr>
            <w:tcW w:w="1056" w:type="dxa"/>
            <w:tcBorders>
              <w:top w:val="nil"/>
              <w:left w:val="nil"/>
              <w:bottom w:val="nil"/>
              <w:right w:val="nil"/>
            </w:tcBorders>
            <w:shd w:val="clear" w:color="auto" w:fill="5B9BD3"/>
          </w:tcPr>
          <w:p>
            <w:pPr>
              <w:pStyle w:val="TableParagraph"/>
              <w:spacing w:line="240" w:lineRule="auto"/>
              <w:ind w:left="0" w:right="160"/>
              <w:jc w:val="right"/>
              <w:rPr>
                <w:b/>
                <w:sz w:val="36"/>
              </w:rPr>
            </w:pPr>
            <w:r>
              <w:rPr>
                <w:b/>
                <w:sz w:val="36"/>
              </w:rPr>
              <w:t>2017</w:t>
            </w:r>
          </w:p>
        </w:tc>
        <w:tc>
          <w:tcPr>
            <w:tcW w:w="1201" w:type="dxa"/>
            <w:tcBorders>
              <w:top w:val="nil"/>
              <w:left w:val="nil"/>
              <w:bottom w:val="nil"/>
              <w:right w:val="nil"/>
            </w:tcBorders>
            <w:shd w:val="clear" w:color="auto" w:fill="5B9BD3"/>
          </w:tcPr>
          <w:p>
            <w:pPr>
              <w:pStyle w:val="TableParagraph"/>
              <w:spacing w:line="240" w:lineRule="auto"/>
              <w:ind w:left="244"/>
              <w:rPr>
                <w:b/>
                <w:sz w:val="36"/>
              </w:rPr>
            </w:pPr>
            <w:r>
              <w:rPr>
                <w:b/>
                <w:sz w:val="36"/>
              </w:rPr>
              <w:t>2018</w:t>
            </w:r>
          </w:p>
        </w:tc>
        <w:tc>
          <w:tcPr>
            <w:tcW w:w="946" w:type="dxa"/>
            <w:tcBorders>
              <w:top w:val="nil"/>
              <w:left w:val="nil"/>
              <w:bottom w:val="nil"/>
              <w:right w:val="nil"/>
            </w:tcBorders>
            <w:shd w:val="clear" w:color="auto" w:fill="5B9BD3"/>
          </w:tcPr>
          <w:p>
            <w:pPr>
              <w:pStyle w:val="TableParagraph"/>
              <w:spacing w:line="240" w:lineRule="auto"/>
              <w:ind w:left="195"/>
              <w:rPr>
                <w:b/>
                <w:sz w:val="36"/>
              </w:rPr>
            </w:pPr>
            <w:r>
              <w:rPr>
                <w:b/>
                <w:sz w:val="36"/>
              </w:rPr>
              <w:t>2019</w:t>
            </w:r>
          </w:p>
        </w:tc>
      </w:tr>
      <w:tr>
        <w:trPr>
          <w:trHeight w:val="340" w:hRule="atLeast"/>
        </w:trPr>
        <w:tc>
          <w:tcPr>
            <w:tcW w:w="3458" w:type="dxa"/>
            <w:tcBorders>
              <w:top w:val="nil"/>
            </w:tcBorders>
            <w:shd w:val="clear" w:color="auto" w:fill="DEEAF6"/>
          </w:tcPr>
          <w:p>
            <w:pPr>
              <w:pStyle w:val="TableParagraph"/>
              <w:spacing w:line="318" w:lineRule="exact" w:before="2"/>
              <w:rPr>
                <w:b/>
                <w:sz w:val="28"/>
              </w:rPr>
            </w:pPr>
            <w:r>
              <w:rPr>
                <w:b/>
                <w:sz w:val="28"/>
              </w:rPr>
              <w:t>Total Assets Turnover</w:t>
            </w:r>
          </w:p>
        </w:tc>
        <w:tc>
          <w:tcPr>
            <w:tcW w:w="1172" w:type="dxa"/>
            <w:tcBorders>
              <w:top w:val="nil"/>
            </w:tcBorders>
            <w:shd w:val="clear" w:color="auto" w:fill="DEEAF6"/>
          </w:tcPr>
          <w:p>
            <w:pPr>
              <w:pStyle w:val="TableParagraph"/>
              <w:spacing w:line="320" w:lineRule="exact"/>
              <w:ind w:left="0" w:right="93"/>
              <w:jc w:val="right"/>
              <w:rPr>
                <w:sz w:val="28"/>
              </w:rPr>
            </w:pPr>
            <w:r>
              <w:rPr>
                <w:w w:val="95"/>
                <w:sz w:val="28"/>
              </w:rPr>
              <w:t>4.93%</w:t>
            </w:r>
          </w:p>
        </w:tc>
        <w:tc>
          <w:tcPr>
            <w:tcW w:w="1172" w:type="dxa"/>
            <w:tcBorders>
              <w:top w:val="nil"/>
            </w:tcBorders>
            <w:shd w:val="clear" w:color="auto" w:fill="DEEAF6"/>
          </w:tcPr>
          <w:p>
            <w:pPr>
              <w:pStyle w:val="TableParagraph"/>
              <w:spacing w:line="320" w:lineRule="exact"/>
              <w:ind w:left="0" w:right="94"/>
              <w:jc w:val="right"/>
              <w:rPr>
                <w:sz w:val="28"/>
              </w:rPr>
            </w:pPr>
            <w:r>
              <w:rPr>
                <w:w w:val="95"/>
                <w:sz w:val="28"/>
              </w:rPr>
              <w:t>4.63%</w:t>
            </w:r>
          </w:p>
        </w:tc>
        <w:tc>
          <w:tcPr>
            <w:tcW w:w="1056" w:type="dxa"/>
            <w:tcBorders>
              <w:top w:val="nil"/>
            </w:tcBorders>
            <w:shd w:val="clear" w:color="auto" w:fill="DEEAF6"/>
          </w:tcPr>
          <w:p>
            <w:pPr>
              <w:pStyle w:val="TableParagraph"/>
              <w:spacing w:line="320" w:lineRule="exact"/>
              <w:ind w:left="0" w:right="93"/>
              <w:jc w:val="right"/>
              <w:rPr>
                <w:sz w:val="28"/>
              </w:rPr>
            </w:pPr>
            <w:r>
              <w:rPr>
                <w:w w:val="95"/>
                <w:sz w:val="28"/>
              </w:rPr>
              <w:t>4.16%</w:t>
            </w:r>
          </w:p>
        </w:tc>
        <w:tc>
          <w:tcPr>
            <w:tcW w:w="1201" w:type="dxa"/>
            <w:tcBorders>
              <w:top w:val="nil"/>
            </w:tcBorders>
            <w:shd w:val="clear" w:color="auto" w:fill="DEEAF6"/>
          </w:tcPr>
          <w:p>
            <w:pPr>
              <w:pStyle w:val="TableParagraph"/>
              <w:spacing w:line="320" w:lineRule="exact"/>
              <w:ind w:left="0" w:right="98"/>
              <w:jc w:val="right"/>
              <w:rPr>
                <w:sz w:val="28"/>
              </w:rPr>
            </w:pPr>
            <w:r>
              <w:rPr>
                <w:w w:val="95"/>
                <w:sz w:val="28"/>
              </w:rPr>
              <w:t>4.76%</w:t>
            </w:r>
          </w:p>
        </w:tc>
        <w:tc>
          <w:tcPr>
            <w:tcW w:w="946" w:type="dxa"/>
            <w:tcBorders>
              <w:top w:val="nil"/>
            </w:tcBorders>
            <w:shd w:val="clear" w:color="auto" w:fill="DEEAF6"/>
          </w:tcPr>
          <w:p>
            <w:pPr>
              <w:pStyle w:val="TableParagraph"/>
              <w:spacing w:line="320" w:lineRule="exact"/>
              <w:ind w:left="113"/>
              <w:rPr>
                <w:sz w:val="28"/>
              </w:rPr>
            </w:pPr>
            <w:r>
              <w:rPr>
                <w:sz w:val="28"/>
              </w:rPr>
              <w:t>4.87%</w:t>
            </w:r>
          </w:p>
        </w:tc>
      </w:tr>
      <w:tr>
        <w:trPr>
          <w:trHeight w:val="340" w:hRule="atLeast"/>
        </w:trPr>
        <w:tc>
          <w:tcPr>
            <w:tcW w:w="3458" w:type="dxa"/>
          </w:tcPr>
          <w:p>
            <w:pPr>
              <w:pStyle w:val="TableParagraph"/>
              <w:spacing w:line="318" w:lineRule="exact" w:before="2"/>
              <w:rPr>
                <w:b/>
                <w:sz w:val="28"/>
              </w:rPr>
            </w:pPr>
            <w:r>
              <w:rPr>
                <w:b/>
                <w:sz w:val="28"/>
              </w:rPr>
              <w:t>Current Assets Turnover</w:t>
            </w:r>
          </w:p>
        </w:tc>
        <w:tc>
          <w:tcPr>
            <w:tcW w:w="1172" w:type="dxa"/>
          </w:tcPr>
          <w:p>
            <w:pPr>
              <w:pStyle w:val="TableParagraph"/>
              <w:spacing w:line="320" w:lineRule="exact"/>
              <w:ind w:left="0" w:right="93"/>
              <w:jc w:val="right"/>
              <w:rPr>
                <w:sz w:val="28"/>
              </w:rPr>
            </w:pPr>
            <w:r>
              <w:rPr>
                <w:w w:val="95"/>
                <w:sz w:val="28"/>
              </w:rPr>
              <w:t>5.24%</w:t>
            </w:r>
          </w:p>
        </w:tc>
        <w:tc>
          <w:tcPr>
            <w:tcW w:w="1172" w:type="dxa"/>
          </w:tcPr>
          <w:p>
            <w:pPr>
              <w:pStyle w:val="TableParagraph"/>
              <w:spacing w:line="320" w:lineRule="exact"/>
              <w:ind w:left="0" w:right="94"/>
              <w:jc w:val="right"/>
              <w:rPr>
                <w:sz w:val="28"/>
              </w:rPr>
            </w:pPr>
            <w:r>
              <w:rPr>
                <w:w w:val="95"/>
                <w:sz w:val="28"/>
              </w:rPr>
              <w:t>4.95%</w:t>
            </w:r>
          </w:p>
        </w:tc>
        <w:tc>
          <w:tcPr>
            <w:tcW w:w="1056" w:type="dxa"/>
          </w:tcPr>
          <w:p>
            <w:pPr>
              <w:pStyle w:val="TableParagraph"/>
              <w:spacing w:line="320" w:lineRule="exact"/>
              <w:ind w:left="0" w:right="93"/>
              <w:jc w:val="right"/>
              <w:rPr>
                <w:sz w:val="28"/>
              </w:rPr>
            </w:pPr>
            <w:r>
              <w:rPr>
                <w:w w:val="95"/>
                <w:sz w:val="28"/>
              </w:rPr>
              <w:t>4.35%</w:t>
            </w:r>
          </w:p>
        </w:tc>
        <w:tc>
          <w:tcPr>
            <w:tcW w:w="1201" w:type="dxa"/>
          </w:tcPr>
          <w:p>
            <w:pPr>
              <w:pStyle w:val="TableParagraph"/>
              <w:spacing w:line="320" w:lineRule="exact"/>
              <w:ind w:left="0" w:right="98"/>
              <w:jc w:val="right"/>
              <w:rPr>
                <w:sz w:val="28"/>
              </w:rPr>
            </w:pPr>
            <w:r>
              <w:rPr>
                <w:w w:val="95"/>
                <w:sz w:val="28"/>
              </w:rPr>
              <w:t>4.98%</w:t>
            </w:r>
          </w:p>
        </w:tc>
        <w:tc>
          <w:tcPr>
            <w:tcW w:w="946" w:type="dxa"/>
          </w:tcPr>
          <w:p>
            <w:pPr>
              <w:pStyle w:val="TableParagraph"/>
              <w:spacing w:line="320" w:lineRule="exact"/>
              <w:ind w:left="113"/>
              <w:rPr>
                <w:sz w:val="28"/>
              </w:rPr>
            </w:pPr>
            <w:r>
              <w:rPr>
                <w:sz w:val="28"/>
              </w:rPr>
              <w:t>5.13%</w:t>
            </w:r>
          </w:p>
        </w:tc>
      </w:tr>
      <w:tr>
        <w:trPr>
          <w:trHeight w:val="648" w:hRule="atLeast"/>
        </w:trPr>
        <w:tc>
          <w:tcPr>
            <w:tcW w:w="3458" w:type="dxa"/>
            <w:shd w:val="clear" w:color="auto" w:fill="DEEAF6"/>
          </w:tcPr>
          <w:p>
            <w:pPr>
              <w:pStyle w:val="TableParagraph"/>
              <w:spacing w:line="240" w:lineRule="auto" w:before="2"/>
              <w:rPr>
                <w:b/>
                <w:sz w:val="28"/>
              </w:rPr>
            </w:pPr>
            <w:r>
              <w:rPr>
                <w:b/>
                <w:sz w:val="28"/>
              </w:rPr>
              <w:t>Fixed Assets Turnover</w:t>
            </w:r>
          </w:p>
        </w:tc>
        <w:tc>
          <w:tcPr>
            <w:tcW w:w="1172" w:type="dxa"/>
            <w:shd w:val="clear" w:color="auto" w:fill="DEEAF6"/>
          </w:tcPr>
          <w:p>
            <w:pPr>
              <w:pStyle w:val="TableParagraph"/>
              <w:spacing w:line="320" w:lineRule="exact"/>
              <w:ind w:left="0" w:right="93"/>
              <w:jc w:val="right"/>
              <w:rPr>
                <w:sz w:val="28"/>
              </w:rPr>
            </w:pPr>
            <w:r>
              <w:rPr>
                <w:w w:val="95"/>
                <w:sz w:val="28"/>
              </w:rPr>
              <w:t>82.89%</w:t>
            </w:r>
          </w:p>
        </w:tc>
        <w:tc>
          <w:tcPr>
            <w:tcW w:w="1172" w:type="dxa"/>
            <w:shd w:val="clear" w:color="auto" w:fill="DEEAF6"/>
          </w:tcPr>
          <w:p>
            <w:pPr>
              <w:pStyle w:val="TableParagraph"/>
              <w:spacing w:line="320" w:lineRule="exact"/>
              <w:ind w:left="200"/>
              <w:rPr>
                <w:sz w:val="28"/>
              </w:rPr>
            </w:pPr>
            <w:r>
              <w:rPr>
                <w:sz w:val="28"/>
              </w:rPr>
              <w:t>71.51%</w:t>
            </w:r>
          </w:p>
        </w:tc>
        <w:tc>
          <w:tcPr>
            <w:tcW w:w="1056" w:type="dxa"/>
            <w:shd w:val="clear" w:color="auto" w:fill="DEEAF6"/>
          </w:tcPr>
          <w:p>
            <w:pPr>
              <w:pStyle w:val="TableParagraph"/>
              <w:spacing w:line="320" w:lineRule="exact"/>
              <w:ind w:left="0" w:right="74"/>
              <w:jc w:val="right"/>
              <w:rPr>
                <w:sz w:val="28"/>
              </w:rPr>
            </w:pPr>
            <w:r>
              <w:rPr>
                <w:w w:val="95"/>
                <w:sz w:val="28"/>
              </w:rPr>
              <w:t>95.87%</w:t>
            </w:r>
          </w:p>
        </w:tc>
        <w:tc>
          <w:tcPr>
            <w:tcW w:w="1201" w:type="dxa"/>
            <w:shd w:val="clear" w:color="auto" w:fill="DEEAF6"/>
          </w:tcPr>
          <w:p>
            <w:pPr>
              <w:pStyle w:val="TableParagraph"/>
              <w:spacing w:line="320" w:lineRule="exact"/>
              <w:ind w:left="0" w:right="95"/>
              <w:jc w:val="right"/>
              <w:rPr>
                <w:sz w:val="28"/>
              </w:rPr>
            </w:pPr>
            <w:r>
              <w:rPr>
                <w:w w:val="95"/>
                <w:sz w:val="28"/>
              </w:rPr>
              <w:t>106.19</w:t>
            </w:r>
          </w:p>
          <w:p>
            <w:pPr>
              <w:pStyle w:val="TableParagraph"/>
              <w:spacing w:line="308" w:lineRule="exact"/>
              <w:ind w:left="0" w:right="98"/>
              <w:jc w:val="right"/>
              <w:rPr>
                <w:sz w:val="28"/>
              </w:rPr>
            </w:pPr>
            <w:r>
              <w:rPr>
                <w:w w:val="99"/>
                <w:sz w:val="28"/>
              </w:rPr>
              <w:t>%</w:t>
            </w:r>
          </w:p>
        </w:tc>
        <w:tc>
          <w:tcPr>
            <w:tcW w:w="946" w:type="dxa"/>
            <w:shd w:val="clear" w:color="auto" w:fill="DEEAF6"/>
          </w:tcPr>
          <w:p>
            <w:pPr>
              <w:pStyle w:val="TableParagraph"/>
              <w:spacing w:line="320" w:lineRule="exact"/>
              <w:ind w:left="151"/>
              <w:rPr>
                <w:sz w:val="28"/>
              </w:rPr>
            </w:pPr>
            <w:r>
              <w:rPr>
                <w:sz w:val="28"/>
              </w:rPr>
              <w:t>94.75</w:t>
            </w:r>
          </w:p>
          <w:p>
            <w:pPr>
              <w:pStyle w:val="TableParagraph"/>
              <w:spacing w:line="308" w:lineRule="exact"/>
              <w:ind w:left="151"/>
              <w:rPr>
                <w:sz w:val="28"/>
              </w:rPr>
            </w:pPr>
            <w:r>
              <w:rPr>
                <w:w w:val="99"/>
                <w:sz w:val="28"/>
              </w:rPr>
              <w:t>%</w:t>
            </w:r>
          </w:p>
        </w:tc>
      </w:tr>
    </w:tbl>
    <w:p>
      <w:pPr>
        <w:spacing w:after="0" w:line="308" w:lineRule="exact"/>
        <w:rPr>
          <w:sz w:val="28"/>
        </w:rPr>
        <w:sectPr>
          <w:pgSz w:w="12240" w:h="15840"/>
          <w:pgMar w:header="0" w:footer="1039" w:top="1380" w:bottom="1220" w:left="1100" w:right="1300"/>
        </w:sectPr>
      </w:pPr>
    </w:p>
    <w:p>
      <w:pPr>
        <w:pStyle w:val="BodyText"/>
        <w:spacing w:before="2"/>
        <w:rPr>
          <w:b/>
          <w:sz w:val="22"/>
        </w:rPr>
      </w:pPr>
    </w:p>
    <w:p>
      <w:pPr>
        <w:pStyle w:val="BodyText"/>
        <w:spacing w:line="360" w:lineRule="auto" w:before="90"/>
        <w:ind w:left="340" w:right="134"/>
        <w:jc w:val="both"/>
      </w:pPr>
      <w:r>
        <w:rPr>
          <w:b/>
        </w:rPr>
        <w:t>Interpretation: </w:t>
      </w:r>
      <w:r>
        <w:rPr/>
        <w:t>The asset turnover ratio </w:t>
      </w:r>
      <w:r>
        <w:rPr>
          <w:spacing w:val="-5"/>
        </w:rPr>
        <w:t>is </w:t>
      </w:r>
      <w:r>
        <w:rPr/>
        <w:t>calculated by dividing interest </w:t>
      </w:r>
      <w:r>
        <w:rPr>
          <w:spacing w:val="-2"/>
        </w:rPr>
        <w:t>income </w:t>
      </w:r>
      <w:r>
        <w:rPr/>
        <w:t>by total assets. Interest</w:t>
      </w:r>
      <w:r>
        <w:rPr>
          <w:spacing w:val="-6"/>
        </w:rPr>
        <w:t> </w:t>
      </w:r>
      <w:r>
        <w:rPr/>
        <w:t>income, found</w:t>
      </w:r>
      <w:r>
        <w:rPr>
          <w:spacing w:val="-7"/>
        </w:rPr>
        <w:t> </w:t>
      </w:r>
      <w:r>
        <w:rPr/>
        <w:t>on</w:t>
      </w:r>
      <w:r>
        <w:rPr>
          <w:spacing w:val="-15"/>
        </w:rPr>
        <w:t> </w:t>
      </w:r>
      <w:r>
        <w:rPr/>
        <w:t>the</w:t>
      </w:r>
      <w:r>
        <w:rPr>
          <w:spacing w:val="-7"/>
        </w:rPr>
        <w:t> </w:t>
      </w:r>
      <w:r>
        <w:rPr>
          <w:spacing w:val="-2"/>
        </w:rPr>
        <w:t>income</w:t>
      </w:r>
      <w:r>
        <w:rPr>
          <w:spacing w:val="-8"/>
        </w:rPr>
        <w:t> </w:t>
      </w:r>
      <w:r>
        <w:rPr/>
        <w:t>statement,</w:t>
      </w:r>
      <w:r>
        <w:rPr>
          <w:spacing w:val="-5"/>
        </w:rPr>
        <w:t> </w:t>
      </w:r>
      <w:r>
        <w:rPr>
          <w:spacing w:val="-4"/>
        </w:rPr>
        <w:t>are</w:t>
      </w:r>
      <w:r>
        <w:rPr>
          <w:spacing w:val="-7"/>
        </w:rPr>
        <w:t> </w:t>
      </w:r>
      <w:r>
        <w:rPr/>
        <w:t>used</w:t>
      </w:r>
      <w:r>
        <w:rPr>
          <w:spacing w:val="-11"/>
        </w:rPr>
        <w:t> </w:t>
      </w:r>
      <w:r>
        <w:rPr/>
        <w:t>to</w:t>
      </w:r>
      <w:r>
        <w:rPr>
          <w:spacing w:val="-1"/>
        </w:rPr>
        <w:t> </w:t>
      </w:r>
      <w:r>
        <w:rPr/>
        <w:t>calculate</w:t>
      </w:r>
      <w:r>
        <w:rPr>
          <w:spacing w:val="-12"/>
        </w:rPr>
        <w:t> </w:t>
      </w:r>
      <w:r>
        <w:rPr/>
        <w:t>this</w:t>
      </w:r>
      <w:r>
        <w:rPr>
          <w:spacing w:val="-8"/>
        </w:rPr>
        <w:t> </w:t>
      </w:r>
      <w:r>
        <w:rPr/>
        <w:t>ratio</w:t>
      </w:r>
      <w:r>
        <w:rPr>
          <w:spacing w:val="-2"/>
        </w:rPr>
        <w:t> </w:t>
      </w:r>
      <w:r>
        <w:rPr/>
        <w:t>returns</w:t>
      </w:r>
      <w:r>
        <w:rPr>
          <w:spacing w:val="-9"/>
        </w:rPr>
        <w:t> </w:t>
      </w:r>
      <w:r>
        <w:rPr/>
        <w:t>and</w:t>
      </w:r>
      <w:r>
        <w:rPr>
          <w:spacing w:val="-6"/>
        </w:rPr>
        <w:t> </w:t>
      </w:r>
      <w:r>
        <w:rPr/>
        <w:t>refunds must </w:t>
      </w:r>
      <w:r>
        <w:rPr>
          <w:spacing w:val="-3"/>
        </w:rPr>
        <w:t>be </w:t>
      </w:r>
      <w:r>
        <w:rPr/>
        <w:t>backed out of total sales to measure the truly measure the </w:t>
      </w:r>
      <w:r>
        <w:rPr>
          <w:spacing w:val="-3"/>
        </w:rPr>
        <w:t>firm's </w:t>
      </w:r>
      <w:r>
        <w:rPr/>
        <w:t>assets' ability </w:t>
      </w:r>
      <w:r>
        <w:rPr>
          <w:spacing w:val="2"/>
        </w:rPr>
        <w:t>to </w:t>
      </w:r>
      <w:r>
        <w:rPr/>
        <w:t>generate income. Banks Total Assets asset turnover </w:t>
      </w:r>
      <w:r>
        <w:rPr>
          <w:spacing w:val="-3"/>
        </w:rPr>
        <w:t>in </w:t>
      </w:r>
      <w:r>
        <w:rPr>
          <w:spacing w:val="2"/>
        </w:rPr>
        <w:t>2019 </w:t>
      </w:r>
      <w:r>
        <w:rPr/>
        <w:t>was 4.87% but </w:t>
      </w:r>
      <w:r>
        <w:rPr>
          <w:spacing w:val="-3"/>
        </w:rPr>
        <w:t>in </w:t>
      </w:r>
      <w:r>
        <w:rPr/>
        <w:t>2015 </w:t>
      </w:r>
      <w:r>
        <w:rPr>
          <w:spacing w:val="-5"/>
        </w:rPr>
        <w:t>it </w:t>
      </w:r>
      <w:r>
        <w:rPr/>
        <w:t>was 4.93% that </w:t>
      </w:r>
      <w:r>
        <w:rPr>
          <w:spacing w:val="-5"/>
        </w:rPr>
        <w:t>is </w:t>
      </w:r>
      <w:r>
        <w:rPr/>
        <w:t>higher value than other </w:t>
      </w:r>
      <w:r>
        <w:rPr>
          <w:spacing w:val="-3"/>
        </w:rPr>
        <w:t>year. </w:t>
      </w:r>
      <w:r>
        <w:rPr/>
        <w:t>The TAT </w:t>
      </w:r>
      <w:r>
        <w:rPr>
          <w:spacing w:val="-3"/>
        </w:rPr>
        <w:t>is </w:t>
      </w:r>
      <w:r>
        <w:rPr/>
        <w:t>fluctuated </w:t>
      </w:r>
      <w:r>
        <w:rPr>
          <w:spacing w:val="-3"/>
        </w:rPr>
        <w:t>in </w:t>
      </w:r>
      <w:r>
        <w:rPr/>
        <w:t>every year. The current asset turnover ratio </w:t>
      </w:r>
      <w:r>
        <w:rPr>
          <w:spacing w:val="-3"/>
        </w:rPr>
        <w:t>is </w:t>
      </w:r>
      <w:r>
        <w:rPr/>
        <w:t>an efficiency ratio that measures a company’s return on their investment </w:t>
      </w:r>
      <w:r>
        <w:rPr>
          <w:spacing w:val="-3"/>
        </w:rPr>
        <w:t>in </w:t>
      </w:r>
      <w:r>
        <w:rPr/>
        <w:t>property, plant, and equipment by comparing net sales with current assets. The Banks current assets Turnover 2015 was 5.24% and next four </w:t>
      </w:r>
      <w:r>
        <w:rPr>
          <w:spacing w:val="-3"/>
        </w:rPr>
        <w:t>years it’s </w:t>
      </w:r>
      <w:r>
        <w:rPr/>
        <w:t>decreased. In 2019 </w:t>
      </w:r>
      <w:r>
        <w:rPr>
          <w:spacing w:val="-5"/>
        </w:rPr>
        <w:t>it </w:t>
      </w:r>
      <w:r>
        <w:rPr/>
        <w:t>was 5.13% so we can say that this year the bank doing better than </w:t>
      </w:r>
      <w:r>
        <w:rPr>
          <w:spacing w:val="-3"/>
        </w:rPr>
        <w:t>last </w:t>
      </w:r>
      <w:r>
        <w:rPr/>
        <w:t>3</w:t>
      </w:r>
      <w:r>
        <w:rPr>
          <w:spacing w:val="21"/>
        </w:rPr>
        <w:t> </w:t>
      </w:r>
      <w:r>
        <w:rPr>
          <w:spacing w:val="-3"/>
        </w:rPr>
        <w:t>years.</w:t>
      </w:r>
    </w:p>
    <w:p>
      <w:pPr>
        <w:pStyle w:val="Heading3"/>
        <w:spacing w:before="5"/>
        <w:jc w:val="both"/>
      </w:pPr>
      <w:r>
        <w:rPr/>
        <w:t>Efficiency Ratio</w:t>
      </w:r>
    </w:p>
    <w:p>
      <w:pPr>
        <w:pStyle w:val="BodyText"/>
        <w:spacing w:before="7"/>
        <w:rPr>
          <w:b/>
          <w:sz w:val="12"/>
        </w:rPr>
      </w:pPr>
    </w:p>
    <w:tbl>
      <w:tblPr>
        <w:tblW w:w="0" w:type="auto"/>
        <w:jc w:val="left"/>
        <w:tblInd w:w="482"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957"/>
        <w:gridCol w:w="989"/>
        <w:gridCol w:w="989"/>
        <w:gridCol w:w="994"/>
        <w:gridCol w:w="1080"/>
        <w:gridCol w:w="1008"/>
      </w:tblGrid>
      <w:tr>
        <w:trPr>
          <w:trHeight w:val="431" w:hRule="atLeast"/>
        </w:trPr>
        <w:tc>
          <w:tcPr>
            <w:tcW w:w="3957" w:type="dxa"/>
            <w:tcBorders>
              <w:top w:val="nil"/>
              <w:left w:val="nil"/>
              <w:bottom w:val="nil"/>
              <w:right w:val="nil"/>
            </w:tcBorders>
            <w:shd w:val="clear" w:color="auto" w:fill="5B9BD3"/>
          </w:tcPr>
          <w:p>
            <w:pPr>
              <w:pStyle w:val="TableParagraph"/>
              <w:spacing w:line="412" w:lineRule="exact"/>
              <w:ind w:left="1195"/>
              <w:rPr>
                <w:b/>
                <w:sz w:val="36"/>
              </w:rPr>
            </w:pPr>
            <w:r>
              <w:rPr>
                <w:b/>
                <w:sz w:val="36"/>
              </w:rPr>
              <w:t>Particular</w:t>
            </w:r>
          </w:p>
        </w:tc>
        <w:tc>
          <w:tcPr>
            <w:tcW w:w="989" w:type="dxa"/>
            <w:tcBorders>
              <w:top w:val="nil"/>
              <w:left w:val="nil"/>
              <w:bottom w:val="nil"/>
              <w:right w:val="nil"/>
            </w:tcBorders>
            <w:shd w:val="clear" w:color="auto" w:fill="5B9BD3"/>
          </w:tcPr>
          <w:p>
            <w:pPr>
              <w:pStyle w:val="TableParagraph"/>
              <w:spacing w:line="412" w:lineRule="exact"/>
              <w:ind w:left="143"/>
              <w:rPr>
                <w:b/>
                <w:sz w:val="36"/>
              </w:rPr>
            </w:pPr>
            <w:r>
              <w:rPr>
                <w:b/>
                <w:sz w:val="36"/>
              </w:rPr>
              <w:t>2015</w:t>
            </w:r>
          </w:p>
        </w:tc>
        <w:tc>
          <w:tcPr>
            <w:tcW w:w="989" w:type="dxa"/>
            <w:tcBorders>
              <w:top w:val="nil"/>
              <w:left w:val="nil"/>
              <w:bottom w:val="nil"/>
              <w:right w:val="nil"/>
            </w:tcBorders>
            <w:shd w:val="clear" w:color="auto" w:fill="5B9BD3"/>
          </w:tcPr>
          <w:p>
            <w:pPr>
              <w:pStyle w:val="TableParagraph"/>
              <w:spacing w:line="412" w:lineRule="exact"/>
              <w:ind w:left="139"/>
              <w:rPr>
                <w:b/>
                <w:sz w:val="36"/>
              </w:rPr>
            </w:pPr>
            <w:r>
              <w:rPr>
                <w:b/>
                <w:sz w:val="36"/>
              </w:rPr>
              <w:t>2016</w:t>
            </w:r>
          </w:p>
        </w:tc>
        <w:tc>
          <w:tcPr>
            <w:tcW w:w="994" w:type="dxa"/>
            <w:tcBorders>
              <w:top w:val="nil"/>
              <w:left w:val="nil"/>
              <w:bottom w:val="nil"/>
              <w:right w:val="nil"/>
            </w:tcBorders>
            <w:shd w:val="clear" w:color="auto" w:fill="5B9BD3"/>
          </w:tcPr>
          <w:p>
            <w:pPr>
              <w:pStyle w:val="TableParagraph"/>
              <w:spacing w:line="412" w:lineRule="exact"/>
              <w:ind w:left="125" w:right="109"/>
              <w:jc w:val="center"/>
              <w:rPr>
                <w:b/>
                <w:sz w:val="36"/>
              </w:rPr>
            </w:pPr>
            <w:r>
              <w:rPr>
                <w:b/>
                <w:sz w:val="36"/>
              </w:rPr>
              <w:t>2017</w:t>
            </w:r>
          </w:p>
        </w:tc>
        <w:tc>
          <w:tcPr>
            <w:tcW w:w="1080" w:type="dxa"/>
            <w:tcBorders>
              <w:top w:val="nil"/>
              <w:left w:val="nil"/>
              <w:bottom w:val="nil"/>
              <w:right w:val="nil"/>
            </w:tcBorders>
            <w:shd w:val="clear" w:color="auto" w:fill="5B9BD3"/>
          </w:tcPr>
          <w:p>
            <w:pPr>
              <w:pStyle w:val="TableParagraph"/>
              <w:spacing w:line="412" w:lineRule="exact"/>
              <w:ind w:left="187"/>
              <w:rPr>
                <w:b/>
                <w:sz w:val="36"/>
              </w:rPr>
            </w:pPr>
            <w:r>
              <w:rPr>
                <w:b/>
                <w:sz w:val="36"/>
              </w:rPr>
              <w:t>2018</w:t>
            </w:r>
          </w:p>
        </w:tc>
        <w:tc>
          <w:tcPr>
            <w:tcW w:w="1008" w:type="dxa"/>
            <w:tcBorders>
              <w:top w:val="nil"/>
              <w:left w:val="nil"/>
              <w:bottom w:val="nil"/>
              <w:right w:val="nil"/>
            </w:tcBorders>
            <w:shd w:val="clear" w:color="auto" w:fill="5B9BD3"/>
          </w:tcPr>
          <w:p>
            <w:pPr>
              <w:pStyle w:val="TableParagraph"/>
              <w:spacing w:line="412" w:lineRule="exact"/>
              <w:ind w:left="135" w:right="113"/>
              <w:jc w:val="center"/>
              <w:rPr>
                <w:b/>
                <w:sz w:val="36"/>
              </w:rPr>
            </w:pPr>
            <w:r>
              <w:rPr>
                <w:b/>
                <w:sz w:val="36"/>
              </w:rPr>
              <w:t>2019</w:t>
            </w:r>
          </w:p>
        </w:tc>
      </w:tr>
      <w:tr>
        <w:trPr>
          <w:trHeight w:val="321" w:hRule="atLeast"/>
        </w:trPr>
        <w:tc>
          <w:tcPr>
            <w:tcW w:w="3957" w:type="dxa"/>
            <w:tcBorders>
              <w:top w:val="nil"/>
            </w:tcBorders>
            <w:shd w:val="clear" w:color="auto" w:fill="DEEAF6"/>
          </w:tcPr>
          <w:p>
            <w:pPr>
              <w:pStyle w:val="TableParagraph"/>
              <w:spacing w:line="301" w:lineRule="exact"/>
              <w:rPr>
                <w:b/>
                <w:sz w:val="28"/>
              </w:rPr>
            </w:pPr>
            <w:r>
              <w:rPr>
                <w:b/>
                <w:sz w:val="28"/>
              </w:rPr>
              <w:t>Interest Income to Expense</w:t>
            </w:r>
          </w:p>
        </w:tc>
        <w:tc>
          <w:tcPr>
            <w:tcW w:w="989" w:type="dxa"/>
            <w:tcBorders>
              <w:top w:val="nil"/>
            </w:tcBorders>
            <w:shd w:val="clear" w:color="auto" w:fill="DEEAF6"/>
          </w:tcPr>
          <w:p>
            <w:pPr>
              <w:pStyle w:val="TableParagraph"/>
              <w:spacing w:line="301" w:lineRule="exact"/>
              <w:ind w:left="181"/>
              <w:rPr>
                <w:sz w:val="28"/>
              </w:rPr>
            </w:pPr>
            <w:r>
              <w:rPr>
                <w:sz w:val="28"/>
              </w:rPr>
              <w:t>1.235</w:t>
            </w:r>
          </w:p>
        </w:tc>
        <w:tc>
          <w:tcPr>
            <w:tcW w:w="989" w:type="dxa"/>
            <w:tcBorders>
              <w:top w:val="nil"/>
            </w:tcBorders>
            <w:shd w:val="clear" w:color="auto" w:fill="DEEAF6"/>
          </w:tcPr>
          <w:p>
            <w:pPr>
              <w:pStyle w:val="TableParagraph"/>
              <w:spacing w:line="301" w:lineRule="exact"/>
              <w:ind w:left="177"/>
              <w:rPr>
                <w:sz w:val="28"/>
              </w:rPr>
            </w:pPr>
            <w:r>
              <w:rPr>
                <w:sz w:val="28"/>
              </w:rPr>
              <w:t>1.265</w:t>
            </w:r>
          </w:p>
        </w:tc>
        <w:tc>
          <w:tcPr>
            <w:tcW w:w="994" w:type="dxa"/>
            <w:tcBorders>
              <w:top w:val="nil"/>
            </w:tcBorders>
            <w:shd w:val="clear" w:color="auto" w:fill="DEEAF6"/>
          </w:tcPr>
          <w:p>
            <w:pPr>
              <w:pStyle w:val="TableParagraph"/>
              <w:spacing w:line="301" w:lineRule="exact"/>
              <w:ind w:left="161" w:right="152"/>
              <w:jc w:val="center"/>
              <w:rPr>
                <w:sz w:val="28"/>
              </w:rPr>
            </w:pPr>
            <w:r>
              <w:rPr>
                <w:sz w:val="28"/>
              </w:rPr>
              <w:t>1.312</w:t>
            </w:r>
          </w:p>
        </w:tc>
        <w:tc>
          <w:tcPr>
            <w:tcW w:w="1080" w:type="dxa"/>
            <w:tcBorders>
              <w:top w:val="nil"/>
            </w:tcBorders>
            <w:shd w:val="clear" w:color="auto" w:fill="DEEAF6"/>
          </w:tcPr>
          <w:p>
            <w:pPr>
              <w:pStyle w:val="TableParagraph"/>
              <w:spacing w:line="301" w:lineRule="exact"/>
              <w:ind w:left="225"/>
              <w:rPr>
                <w:sz w:val="28"/>
              </w:rPr>
            </w:pPr>
            <w:r>
              <w:rPr>
                <w:sz w:val="28"/>
              </w:rPr>
              <w:t>1.380</w:t>
            </w:r>
          </w:p>
        </w:tc>
        <w:tc>
          <w:tcPr>
            <w:tcW w:w="1008" w:type="dxa"/>
            <w:tcBorders>
              <w:top w:val="nil"/>
            </w:tcBorders>
            <w:shd w:val="clear" w:color="auto" w:fill="DEEAF6"/>
          </w:tcPr>
          <w:p>
            <w:pPr>
              <w:pStyle w:val="TableParagraph"/>
              <w:spacing w:line="301" w:lineRule="exact"/>
              <w:ind w:left="176" w:right="151"/>
              <w:jc w:val="center"/>
              <w:rPr>
                <w:sz w:val="28"/>
              </w:rPr>
            </w:pPr>
            <w:r>
              <w:rPr>
                <w:sz w:val="28"/>
              </w:rPr>
              <w:t>1.498</w:t>
            </w:r>
          </w:p>
        </w:tc>
      </w:tr>
      <w:tr>
        <w:trPr>
          <w:trHeight w:val="321" w:hRule="atLeast"/>
        </w:trPr>
        <w:tc>
          <w:tcPr>
            <w:tcW w:w="3957" w:type="dxa"/>
          </w:tcPr>
          <w:p>
            <w:pPr>
              <w:pStyle w:val="TableParagraph"/>
              <w:spacing w:line="301" w:lineRule="exact"/>
              <w:rPr>
                <w:b/>
                <w:sz w:val="28"/>
              </w:rPr>
            </w:pPr>
            <w:r>
              <w:rPr>
                <w:b/>
                <w:sz w:val="28"/>
              </w:rPr>
              <w:t>Operating Expenses to Assets</w:t>
            </w:r>
          </w:p>
        </w:tc>
        <w:tc>
          <w:tcPr>
            <w:tcW w:w="989" w:type="dxa"/>
          </w:tcPr>
          <w:p>
            <w:pPr>
              <w:pStyle w:val="TableParagraph"/>
              <w:spacing w:line="301" w:lineRule="exact"/>
              <w:ind w:left="181"/>
              <w:rPr>
                <w:sz w:val="28"/>
              </w:rPr>
            </w:pPr>
            <w:r>
              <w:rPr>
                <w:sz w:val="28"/>
              </w:rPr>
              <w:t>0.032</w:t>
            </w:r>
          </w:p>
        </w:tc>
        <w:tc>
          <w:tcPr>
            <w:tcW w:w="989" w:type="dxa"/>
          </w:tcPr>
          <w:p>
            <w:pPr>
              <w:pStyle w:val="TableParagraph"/>
              <w:spacing w:line="301" w:lineRule="exact"/>
              <w:ind w:left="177"/>
              <w:rPr>
                <w:sz w:val="28"/>
              </w:rPr>
            </w:pPr>
            <w:r>
              <w:rPr>
                <w:sz w:val="28"/>
              </w:rPr>
              <w:t>0.030</w:t>
            </w:r>
          </w:p>
        </w:tc>
        <w:tc>
          <w:tcPr>
            <w:tcW w:w="994" w:type="dxa"/>
          </w:tcPr>
          <w:p>
            <w:pPr>
              <w:pStyle w:val="TableParagraph"/>
              <w:spacing w:line="301" w:lineRule="exact"/>
              <w:ind w:left="161" w:right="152"/>
              <w:jc w:val="center"/>
              <w:rPr>
                <w:sz w:val="28"/>
              </w:rPr>
            </w:pPr>
            <w:r>
              <w:rPr>
                <w:sz w:val="28"/>
              </w:rPr>
              <w:t>0.027</w:t>
            </w:r>
          </w:p>
        </w:tc>
        <w:tc>
          <w:tcPr>
            <w:tcW w:w="1080" w:type="dxa"/>
          </w:tcPr>
          <w:p>
            <w:pPr>
              <w:pStyle w:val="TableParagraph"/>
              <w:spacing w:line="301" w:lineRule="exact"/>
              <w:ind w:left="225"/>
              <w:rPr>
                <w:sz w:val="28"/>
              </w:rPr>
            </w:pPr>
            <w:r>
              <w:rPr>
                <w:sz w:val="28"/>
              </w:rPr>
              <w:t>0.026</w:t>
            </w:r>
          </w:p>
        </w:tc>
        <w:tc>
          <w:tcPr>
            <w:tcW w:w="1008" w:type="dxa"/>
          </w:tcPr>
          <w:p>
            <w:pPr>
              <w:pStyle w:val="TableParagraph"/>
              <w:spacing w:line="301" w:lineRule="exact"/>
              <w:ind w:left="176" w:right="151"/>
              <w:jc w:val="center"/>
              <w:rPr>
                <w:sz w:val="28"/>
              </w:rPr>
            </w:pPr>
            <w:r>
              <w:rPr>
                <w:sz w:val="28"/>
              </w:rPr>
              <w:t>0.025</w:t>
            </w:r>
          </w:p>
        </w:tc>
      </w:tr>
      <w:tr>
        <w:trPr>
          <w:trHeight w:val="321" w:hRule="atLeast"/>
        </w:trPr>
        <w:tc>
          <w:tcPr>
            <w:tcW w:w="3957" w:type="dxa"/>
            <w:shd w:val="clear" w:color="auto" w:fill="DEEAF6"/>
          </w:tcPr>
          <w:p>
            <w:pPr>
              <w:pStyle w:val="TableParagraph"/>
              <w:spacing w:line="301" w:lineRule="exact"/>
              <w:rPr>
                <w:b/>
                <w:sz w:val="28"/>
              </w:rPr>
            </w:pPr>
            <w:r>
              <w:rPr>
                <w:b/>
                <w:sz w:val="28"/>
              </w:rPr>
              <w:t>Operating Income To Assets</w:t>
            </w:r>
          </w:p>
        </w:tc>
        <w:tc>
          <w:tcPr>
            <w:tcW w:w="989" w:type="dxa"/>
            <w:shd w:val="clear" w:color="auto" w:fill="DEEAF6"/>
          </w:tcPr>
          <w:p>
            <w:pPr>
              <w:pStyle w:val="TableParagraph"/>
              <w:spacing w:line="301" w:lineRule="exact"/>
              <w:ind w:left="181"/>
              <w:rPr>
                <w:sz w:val="28"/>
              </w:rPr>
            </w:pPr>
            <w:r>
              <w:rPr>
                <w:sz w:val="28"/>
              </w:rPr>
              <w:t>0.049</w:t>
            </w:r>
          </w:p>
        </w:tc>
        <w:tc>
          <w:tcPr>
            <w:tcW w:w="989" w:type="dxa"/>
            <w:shd w:val="clear" w:color="auto" w:fill="DEEAF6"/>
          </w:tcPr>
          <w:p>
            <w:pPr>
              <w:pStyle w:val="TableParagraph"/>
              <w:spacing w:line="301" w:lineRule="exact"/>
              <w:ind w:left="177"/>
              <w:rPr>
                <w:sz w:val="28"/>
              </w:rPr>
            </w:pPr>
            <w:r>
              <w:rPr>
                <w:sz w:val="28"/>
              </w:rPr>
              <w:t>0.046</w:t>
            </w:r>
          </w:p>
        </w:tc>
        <w:tc>
          <w:tcPr>
            <w:tcW w:w="994" w:type="dxa"/>
            <w:shd w:val="clear" w:color="auto" w:fill="DEEAF6"/>
          </w:tcPr>
          <w:p>
            <w:pPr>
              <w:pStyle w:val="TableParagraph"/>
              <w:spacing w:line="301" w:lineRule="exact"/>
              <w:ind w:left="161" w:right="152"/>
              <w:jc w:val="center"/>
              <w:rPr>
                <w:sz w:val="28"/>
              </w:rPr>
            </w:pPr>
            <w:r>
              <w:rPr>
                <w:sz w:val="28"/>
              </w:rPr>
              <w:t>0.042</w:t>
            </w:r>
          </w:p>
        </w:tc>
        <w:tc>
          <w:tcPr>
            <w:tcW w:w="1080" w:type="dxa"/>
            <w:shd w:val="clear" w:color="auto" w:fill="DEEAF6"/>
          </w:tcPr>
          <w:p>
            <w:pPr>
              <w:pStyle w:val="TableParagraph"/>
              <w:spacing w:line="301" w:lineRule="exact"/>
              <w:ind w:left="225"/>
              <w:rPr>
                <w:sz w:val="28"/>
              </w:rPr>
            </w:pPr>
            <w:r>
              <w:rPr>
                <w:sz w:val="28"/>
              </w:rPr>
              <w:t>0.048</w:t>
            </w:r>
          </w:p>
        </w:tc>
        <w:tc>
          <w:tcPr>
            <w:tcW w:w="1008" w:type="dxa"/>
            <w:shd w:val="clear" w:color="auto" w:fill="DEEAF6"/>
          </w:tcPr>
          <w:p>
            <w:pPr>
              <w:pStyle w:val="TableParagraph"/>
              <w:spacing w:line="301" w:lineRule="exact"/>
              <w:ind w:left="176" w:right="151"/>
              <w:jc w:val="center"/>
              <w:rPr>
                <w:sz w:val="28"/>
              </w:rPr>
            </w:pPr>
            <w:r>
              <w:rPr>
                <w:sz w:val="28"/>
              </w:rPr>
              <w:t>0.049</w:t>
            </w:r>
          </w:p>
        </w:tc>
      </w:tr>
      <w:tr>
        <w:trPr>
          <w:trHeight w:val="321" w:hRule="atLeast"/>
        </w:trPr>
        <w:tc>
          <w:tcPr>
            <w:tcW w:w="3957" w:type="dxa"/>
          </w:tcPr>
          <w:p>
            <w:pPr>
              <w:pStyle w:val="TableParagraph"/>
              <w:spacing w:line="302" w:lineRule="exact"/>
              <w:rPr>
                <w:b/>
                <w:sz w:val="28"/>
              </w:rPr>
            </w:pPr>
            <w:r>
              <w:rPr>
                <w:b/>
                <w:sz w:val="28"/>
              </w:rPr>
              <w:t>Operating Expense to Revenue</w:t>
            </w:r>
          </w:p>
        </w:tc>
        <w:tc>
          <w:tcPr>
            <w:tcW w:w="989" w:type="dxa"/>
          </w:tcPr>
          <w:p>
            <w:pPr>
              <w:pStyle w:val="TableParagraph"/>
              <w:spacing w:line="302" w:lineRule="exact"/>
              <w:ind w:left="181"/>
              <w:rPr>
                <w:sz w:val="28"/>
              </w:rPr>
            </w:pPr>
            <w:r>
              <w:rPr>
                <w:sz w:val="28"/>
              </w:rPr>
              <w:t>0.657</w:t>
            </w:r>
          </w:p>
        </w:tc>
        <w:tc>
          <w:tcPr>
            <w:tcW w:w="989" w:type="dxa"/>
          </w:tcPr>
          <w:p>
            <w:pPr>
              <w:pStyle w:val="TableParagraph"/>
              <w:spacing w:line="302" w:lineRule="exact"/>
              <w:ind w:left="177"/>
              <w:rPr>
                <w:sz w:val="28"/>
              </w:rPr>
            </w:pPr>
            <w:r>
              <w:rPr>
                <w:sz w:val="28"/>
              </w:rPr>
              <w:t>0.648</w:t>
            </w:r>
          </w:p>
        </w:tc>
        <w:tc>
          <w:tcPr>
            <w:tcW w:w="994" w:type="dxa"/>
          </w:tcPr>
          <w:p>
            <w:pPr>
              <w:pStyle w:val="TableParagraph"/>
              <w:spacing w:line="302" w:lineRule="exact"/>
              <w:ind w:left="161" w:right="152"/>
              <w:jc w:val="center"/>
              <w:rPr>
                <w:sz w:val="28"/>
              </w:rPr>
            </w:pPr>
            <w:r>
              <w:rPr>
                <w:sz w:val="28"/>
              </w:rPr>
              <w:t>0.640</w:t>
            </w:r>
          </w:p>
        </w:tc>
        <w:tc>
          <w:tcPr>
            <w:tcW w:w="1080" w:type="dxa"/>
          </w:tcPr>
          <w:p>
            <w:pPr>
              <w:pStyle w:val="TableParagraph"/>
              <w:spacing w:line="302" w:lineRule="exact"/>
              <w:ind w:left="225"/>
              <w:rPr>
                <w:sz w:val="28"/>
              </w:rPr>
            </w:pPr>
            <w:r>
              <w:rPr>
                <w:sz w:val="28"/>
              </w:rPr>
              <w:t>0.547</w:t>
            </w:r>
          </w:p>
        </w:tc>
        <w:tc>
          <w:tcPr>
            <w:tcW w:w="1008" w:type="dxa"/>
          </w:tcPr>
          <w:p>
            <w:pPr>
              <w:pStyle w:val="TableParagraph"/>
              <w:spacing w:line="302" w:lineRule="exact"/>
              <w:ind w:left="176" w:right="151"/>
              <w:jc w:val="center"/>
              <w:rPr>
                <w:sz w:val="28"/>
              </w:rPr>
            </w:pPr>
            <w:r>
              <w:rPr>
                <w:sz w:val="28"/>
              </w:rPr>
              <w:t>0.505</w:t>
            </w:r>
          </w:p>
        </w:tc>
      </w:tr>
    </w:tbl>
    <w:p>
      <w:pPr>
        <w:pStyle w:val="BodyText"/>
        <w:spacing w:before="7"/>
        <w:rPr>
          <w:b/>
          <w:sz w:val="35"/>
        </w:rPr>
      </w:pPr>
    </w:p>
    <w:p>
      <w:pPr>
        <w:pStyle w:val="BodyText"/>
        <w:spacing w:line="360" w:lineRule="auto"/>
        <w:ind w:left="340" w:right="132"/>
        <w:jc w:val="both"/>
      </w:pPr>
      <w:r>
        <w:rPr>
          <w:b/>
        </w:rPr>
        <w:t>Interpretation: </w:t>
      </w:r>
      <w:r>
        <w:rPr/>
        <w:t>Interest </w:t>
      </w:r>
      <w:r>
        <w:rPr>
          <w:spacing w:val="-3"/>
        </w:rPr>
        <w:t>expense </w:t>
      </w:r>
      <w:r>
        <w:rPr/>
        <w:t>will </w:t>
      </w:r>
      <w:r>
        <w:rPr>
          <w:spacing w:val="-3"/>
        </w:rPr>
        <w:t>be </w:t>
      </w:r>
      <w:r>
        <w:rPr/>
        <w:t>on the </w:t>
      </w:r>
      <w:r>
        <w:rPr>
          <w:spacing w:val="-2"/>
        </w:rPr>
        <w:t>higher </w:t>
      </w:r>
      <w:r>
        <w:rPr/>
        <w:t>side during periods </w:t>
      </w:r>
      <w:r>
        <w:rPr>
          <w:spacing w:val="4"/>
        </w:rPr>
        <w:t>of </w:t>
      </w:r>
      <w:r>
        <w:rPr/>
        <w:t>rampant inflation since</w:t>
      </w:r>
      <w:r>
        <w:rPr>
          <w:spacing w:val="-5"/>
        </w:rPr>
        <w:t> </w:t>
      </w:r>
      <w:r>
        <w:rPr>
          <w:spacing w:val="-3"/>
        </w:rPr>
        <w:t>most</w:t>
      </w:r>
      <w:r>
        <w:rPr>
          <w:spacing w:val="-7"/>
        </w:rPr>
        <w:t> </w:t>
      </w:r>
      <w:r>
        <w:rPr/>
        <w:t>companies</w:t>
      </w:r>
      <w:r>
        <w:rPr>
          <w:spacing w:val="-9"/>
        </w:rPr>
        <w:t> </w:t>
      </w:r>
      <w:r>
        <w:rPr/>
        <w:t>will</w:t>
      </w:r>
      <w:r>
        <w:rPr>
          <w:spacing w:val="-12"/>
        </w:rPr>
        <w:t> </w:t>
      </w:r>
      <w:r>
        <w:rPr/>
        <w:t>have</w:t>
      </w:r>
      <w:r>
        <w:rPr>
          <w:spacing w:val="-4"/>
        </w:rPr>
        <w:t> </w:t>
      </w:r>
      <w:r>
        <w:rPr/>
        <w:t>incurred</w:t>
      </w:r>
      <w:r>
        <w:rPr>
          <w:spacing w:val="-8"/>
        </w:rPr>
        <w:t> </w:t>
      </w:r>
      <w:r>
        <w:rPr/>
        <w:t>debt</w:t>
      </w:r>
      <w:r>
        <w:rPr>
          <w:spacing w:val="-7"/>
        </w:rPr>
        <w:t> </w:t>
      </w:r>
      <w:r>
        <w:rPr/>
        <w:t>that</w:t>
      </w:r>
      <w:r>
        <w:rPr>
          <w:spacing w:val="-12"/>
        </w:rPr>
        <w:t> </w:t>
      </w:r>
      <w:r>
        <w:rPr/>
        <w:t>carries</w:t>
      </w:r>
      <w:r>
        <w:rPr>
          <w:spacing w:val="-10"/>
        </w:rPr>
        <w:t> </w:t>
      </w:r>
      <w:r>
        <w:rPr/>
        <w:t>a</w:t>
      </w:r>
      <w:r>
        <w:rPr>
          <w:spacing w:val="-8"/>
        </w:rPr>
        <w:t> </w:t>
      </w:r>
      <w:r>
        <w:rPr/>
        <w:t>higher</w:t>
      </w:r>
      <w:r>
        <w:rPr>
          <w:spacing w:val="-6"/>
        </w:rPr>
        <w:t> </w:t>
      </w:r>
      <w:r>
        <w:rPr/>
        <w:t>interest</w:t>
      </w:r>
      <w:r>
        <w:rPr>
          <w:spacing w:val="-8"/>
        </w:rPr>
        <w:t> </w:t>
      </w:r>
      <w:r>
        <w:rPr/>
        <w:t>rate.</w:t>
      </w:r>
      <w:r>
        <w:rPr>
          <w:spacing w:val="-10"/>
        </w:rPr>
        <w:t> </w:t>
      </w:r>
      <w:r>
        <w:rPr/>
        <w:t>The</w:t>
      </w:r>
      <w:r>
        <w:rPr>
          <w:spacing w:val="-8"/>
        </w:rPr>
        <w:t> </w:t>
      </w:r>
      <w:r>
        <w:rPr/>
        <w:t>Banks</w:t>
      </w:r>
      <w:r>
        <w:rPr>
          <w:spacing w:val="-10"/>
        </w:rPr>
        <w:t> </w:t>
      </w:r>
      <w:r>
        <w:rPr/>
        <w:t>Interest Income to Expense </w:t>
      </w:r>
      <w:r>
        <w:rPr>
          <w:spacing w:val="-3"/>
        </w:rPr>
        <w:t>in </w:t>
      </w:r>
      <w:r>
        <w:rPr/>
        <w:t>2015 was 1.235 and next four years </w:t>
      </w:r>
      <w:r>
        <w:rPr>
          <w:spacing w:val="-3"/>
        </w:rPr>
        <w:t>it’s </w:t>
      </w:r>
      <w:r>
        <w:rPr/>
        <w:t>gradually increase. Operating Expense</w:t>
      </w:r>
      <w:r>
        <w:rPr>
          <w:spacing w:val="-6"/>
        </w:rPr>
        <w:t> </w:t>
      </w:r>
      <w:r>
        <w:rPr>
          <w:spacing w:val="2"/>
        </w:rPr>
        <w:t>to</w:t>
      </w:r>
      <w:r>
        <w:rPr>
          <w:spacing w:val="-5"/>
        </w:rPr>
        <w:t> </w:t>
      </w:r>
      <w:r>
        <w:rPr/>
        <w:t>Assets</w:t>
      </w:r>
      <w:r>
        <w:rPr>
          <w:spacing w:val="-2"/>
        </w:rPr>
        <w:t> </w:t>
      </w:r>
      <w:r>
        <w:rPr>
          <w:spacing w:val="-5"/>
        </w:rPr>
        <w:t>is</w:t>
      </w:r>
      <w:r>
        <w:rPr>
          <w:spacing w:val="-6"/>
        </w:rPr>
        <w:t> </w:t>
      </w:r>
      <w:r>
        <w:rPr/>
        <w:t>decreased</w:t>
      </w:r>
      <w:r>
        <w:rPr>
          <w:spacing w:val="-5"/>
        </w:rPr>
        <w:t> </w:t>
      </w:r>
      <w:r>
        <w:rPr/>
        <w:t>every</w:t>
      </w:r>
      <w:r>
        <w:rPr>
          <w:spacing w:val="-9"/>
        </w:rPr>
        <w:t> </w:t>
      </w:r>
      <w:r>
        <w:rPr/>
        <w:t>year</w:t>
      </w:r>
      <w:r>
        <w:rPr>
          <w:spacing w:val="1"/>
        </w:rPr>
        <w:t> </w:t>
      </w:r>
      <w:r>
        <w:rPr/>
        <w:t>from</w:t>
      </w:r>
      <w:r>
        <w:rPr>
          <w:spacing w:val="-14"/>
        </w:rPr>
        <w:t> </w:t>
      </w:r>
      <w:r>
        <w:rPr/>
        <w:t>2015</w:t>
      </w:r>
      <w:r>
        <w:rPr>
          <w:spacing w:val="-9"/>
        </w:rPr>
        <w:t> </w:t>
      </w:r>
      <w:r>
        <w:rPr/>
        <w:t>to</w:t>
      </w:r>
      <w:r>
        <w:rPr>
          <w:spacing w:val="-4"/>
        </w:rPr>
        <w:t> </w:t>
      </w:r>
      <w:r>
        <w:rPr/>
        <w:t>2019.</w:t>
      </w:r>
      <w:r>
        <w:rPr>
          <w:spacing w:val="-6"/>
        </w:rPr>
        <w:t> </w:t>
      </w:r>
      <w:r>
        <w:rPr/>
        <w:t>In</w:t>
      </w:r>
      <w:r>
        <w:rPr>
          <w:spacing w:val="-10"/>
        </w:rPr>
        <w:t> </w:t>
      </w:r>
      <w:r>
        <w:rPr/>
        <w:t>2015</w:t>
      </w:r>
      <w:r>
        <w:rPr>
          <w:spacing w:val="-5"/>
        </w:rPr>
        <w:t> it</w:t>
      </w:r>
      <w:r>
        <w:rPr>
          <w:spacing w:val="1"/>
        </w:rPr>
        <w:t> </w:t>
      </w:r>
      <w:r>
        <w:rPr/>
        <w:t>was</w:t>
      </w:r>
      <w:r>
        <w:rPr>
          <w:spacing w:val="-7"/>
        </w:rPr>
        <w:t> </w:t>
      </w:r>
      <w:r>
        <w:rPr/>
        <w:t>0.32</w:t>
      </w:r>
      <w:r>
        <w:rPr>
          <w:spacing w:val="-9"/>
        </w:rPr>
        <w:t> </w:t>
      </w:r>
      <w:r>
        <w:rPr/>
        <w:t>and</w:t>
      </w:r>
      <w:r>
        <w:rPr>
          <w:spacing w:val="-4"/>
        </w:rPr>
        <w:t> </w:t>
      </w:r>
      <w:r>
        <w:rPr>
          <w:spacing w:val="-3"/>
        </w:rPr>
        <w:t>in</w:t>
      </w:r>
      <w:r>
        <w:rPr>
          <w:spacing w:val="-14"/>
        </w:rPr>
        <w:t> </w:t>
      </w:r>
      <w:r>
        <w:rPr/>
        <w:t>2019</w:t>
      </w:r>
      <w:r>
        <w:rPr>
          <w:spacing w:val="-9"/>
        </w:rPr>
        <w:t> </w:t>
      </w:r>
      <w:r>
        <w:rPr/>
        <w:t>was</w:t>
      </w:r>
    </w:p>
    <w:p>
      <w:pPr>
        <w:pStyle w:val="BodyText"/>
        <w:spacing w:line="360" w:lineRule="auto"/>
        <w:ind w:left="340" w:right="138"/>
        <w:jc w:val="both"/>
      </w:pPr>
      <w:r>
        <w:rPr/>
        <w:t>0.25 that decrease. Operating Income to Assets 2015 </w:t>
      </w:r>
      <w:r>
        <w:rPr>
          <w:spacing w:val="-3"/>
        </w:rPr>
        <w:t>is </w:t>
      </w:r>
      <w:r>
        <w:rPr/>
        <w:t>highest was 0.049 and 2015 </w:t>
      </w:r>
      <w:r>
        <w:rPr>
          <w:spacing w:val="-3"/>
        </w:rPr>
        <w:t>is </w:t>
      </w:r>
      <w:r>
        <w:rPr/>
        <w:t>also the same. But 2016 to 2018 </w:t>
      </w:r>
      <w:r>
        <w:rPr>
          <w:spacing w:val="-3"/>
        </w:rPr>
        <w:t>it’s </w:t>
      </w:r>
      <w:r>
        <w:rPr/>
        <w:t>gradually decreased. The operating expense ratio (OER) </w:t>
      </w:r>
      <w:r>
        <w:rPr>
          <w:spacing w:val="-5"/>
        </w:rPr>
        <w:t>is </w:t>
      </w:r>
      <w:r>
        <w:rPr/>
        <w:t>a measure of what </w:t>
      </w:r>
      <w:r>
        <w:rPr>
          <w:spacing w:val="-5"/>
        </w:rPr>
        <w:t>it </w:t>
      </w:r>
      <w:r>
        <w:rPr/>
        <w:t>costs to operate a </w:t>
      </w:r>
      <w:r>
        <w:rPr>
          <w:spacing w:val="-3"/>
        </w:rPr>
        <w:t>piece </w:t>
      </w:r>
      <w:r>
        <w:rPr/>
        <w:t>of property compared to the </w:t>
      </w:r>
      <w:r>
        <w:rPr>
          <w:spacing w:val="-2"/>
        </w:rPr>
        <w:t>income </w:t>
      </w:r>
      <w:r>
        <w:rPr/>
        <w:t>that the property brings </w:t>
      </w:r>
      <w:r>
        <w:rPr>
          <w:spacing w:val="-3"/>
        </w:rPr>
        <w:t>in </w:t>
      </w:r>
      <w:r>
        <w:rPr/>
        <w:t>the higher the BEP ratio. Operating Expense </w:t>
      </w:r>
      <w:r>
        <w:rPr>
          <w:spacing w:val="2"/>
        </w:rPr>
        <w:t>to </w:t>
      </w:r>
      <w:r>
        <w:rPr/>
        <w:t>Revenue its best side </w:t>
      </w:r>
      <w:r>
        <w:rPr>
          <w:spacing w:val="4"/>
        </w:rPr>
        <w:t>of </w:t>
      </w:r>
      <w:r>
        <w:rPr/>
        <w:t>the bank and its year </w:t>
      </w:r>
      <w:r>
        <w:rPr>
          <w:spacing w:val="4"/>
        </w:rPr>
        <w:t>of </w:t>
      </w:r>
      <w:r>
        <w:rPr/>
        <w:t>2015 was 0.657 and its highest </w:t>
      </w:r>
      <w:r>
        <w:rPr>
          <w:spacing w:val="-5"/>
        </w:rPr>
        <w:t>is </w:t>
      </w:r>
      <w:r>
        <w:rPr/>
        <w:t>year 2015. In 2019 its lowest from the other </w:t>
      </w:r>
      <w:r>
        <w:rPr>
          <w:spacing w:val="-3"/>
        </w:rPr>
        <w:t>year </w:t>
      </w:r>
      <w:r>
        <w:rPr/>
        <w:t>and </w:t>
      </w:r>
      <w:r>
        <w:rPr>
          <w:spacing w:val="-5"/>
        </w:rPr>
        <w:t>it </w:t>
      </w:r>
      <w:r>
        <w:rPr/>
        <w:t>was 0.505.</w:t>
      </w:r>
    </w:p>
    <w:p>
      <w:pPr>
        <w:pStyle w:val="Heading3"/>
        <w:spacing w:before="4"/>
        <w:jc w:val="both"/>
      </w:pPr>
      <w:r>
        <w:rPr/>
        <w:t>Profitability Ratio</w:t>
      </w:r>
    </w:p>
    <w:p>
      <w:pPr>
        <w:pStyle w:val="BodyText"/>
        <w:spacing w:before="2"/>
        <w:rPr>
          <w:b/>
          <w:sz w:val="12"/>
        </w:rPr>
      </w:pPr>
    </w:p>
    <w:tbl>
      <w:tblPr>
        <w:tblW w:w="0" w:type="auto"/>
        <w:jc w:val="left"/>
        <w:tblInd w:w="482"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616"/>
        <w:gridCol w:w="1080"/>
        <w:gridCol w:w="1080"/>
        <w:gridCol w:w="1080"/>
        <w:gridCol w:w="1079"/>
        <w:gridCol w:w="1079"/>
      </w:tblGrid>
      <w:tr>
        <w:trPr>
          <w:trHeight w:val="436" w:hRule="atLeast"/>
        </w:trPr>
        <w:tc>
          <w:tcPr>
            <w:tcW w:w="3616" w:type="dxa"/>
            <w:tcBorders>
              <w:top w:val="nil"/>
              <w:left w:val="nil"/>
              <w:bottom w:val="nil"/>
              <w:right w:val="nil"/>
            </w:tcBorders>
            <w:shd w:val="clear" w:color="auto" w:fill="5B9BD3"/>
          </w:tcPr>
          <w:p>
            <w:pPr>
              <w:pStyle w:val="TableParagraph"/>
              <w:spacing w:line="240" w:lineRule="auto"/>
              <w:ind w:left="1027"/>
              <w:rPr>
                <w:b/>
                <w:sz w:val="36"/>
              </w:rPr>
            </w:pPr>
            <w:r>
              <w:rPr>
                <w:b/>
                <w:sz w:val="36"/>
              </w:rPr>
              <w:t>Particular</w:t>
            </w:r>
          </w:p>
        </w:tc>
        <w:tc>
          <w:tcPr>
            <w:tcW w:w="1080" w:type="dxa"/>
            <w:tcBorders>
              <w:top w:val="nil"/>
              <w:left w:val="nil"/>
              <w:bottom w:val="nil"/>
              <w:right w:val="nil"/>
            </w:tcBorders>
            <w:shd w:val="clear" w:color="auto" w:fill="5B9BD3"/>
          </w:tcPr>
          <w:p>
            <w:pPr>
              <w:pStyle w:val="TableParagraph"/>
              <w:spacing w:line="240" w:lineRule="auto"/>
              <w:ind w:left="191"/>
              <w:rPr>
                <w:b/>
                <w:sz w:val="36"/>
              </w:rPr>
            </w:pPr>
            <w:r>
              <w:rPr>
                <w:b/>
                <w:sz w:val="36"/>
              </w:rPr>
              <w:t>2015</w:t>
            </w:r>
          </w:p>
        </w:tc>
        <w:tc>
          <w:tcPr>
            <w:tcW w:w="1080" w:type="dxa"/>
            <w:tcBorders>
              <w:top w:val="nil"/>
              <w:left w:val="nil"/>
              <w:bottom w:val="nil"/>
              <w:right w:val="nil"/>
            </w:tcBorders>
            <w:shd w:val="clear" w:color="auto" w:fill="5B9BD3"/>
          </w:tcPr>
          <w:p>
            <w:pPr>
              <w:pStyle w:val="TableParagraph"/>
              <w:spacing w:line="240" w:lineRule="auto"/>
              <w:ind w:left="192"/>
              <w:rPr>
                <w:b/>
                <w:sz w:val="36"/>
              </w:rPr>
            </w:pPr>
            <w:r>
              <w:rPr>
                <w:b/>
                <w:sz w:val="36"/>
              </w:rPr>
              <w:t>2016</w:t>
            </w:r>
          </w:p>
        </w:tc>
        <w:tc>
          <w:tcPr>
            <w:tcW w:w="1080" w:type="dxa"/>
            <w:tcBorders>
              <w:top w:val="nil"/>
              <w:left w:val="nil"/>
              <w:bottom w:val="nil"/>
              <w:right w:val="nil"/>
            </w:tcBorders>
            <w:shd w:val="clear" w:color="auto" w:fill="5B9BD3"/>
          </w:tcPr>
          <w:p>
            <w:pPr>
              <w:pStyle w:val="TableParagraph"/>
              <w:spacing w:line="240" w:lineRule="auto"/>
              <w:ind w:left="192"/>
              <w:rPr>
                <w:b/>
                <w:sz w:val="36"/>
              </w:rPr>
            </w:pPr>
            <w:r>
              <w:rPr>
                <w:b/>
                <w:sz w:val="36"/>
              </w:rPr>
              <w:t>2017</w:t>
            </w:r>
          </w:p>
        </w:tc>
        <w:tc>
          <w:tcPr>
            <w:tcW w:w="1079" w:type="dxa"/>
            <w:tcBorders>
              <w:top w:val="nil"/>
              <w:left w:val="nil"/>
              <w:bottom w:val="nil"/>
              <w:right w:val="nil"/>
            </w:tcBorders>
            <w:shd w:val="clear" w:color="auto" w:fill="5B9BD3"/>
          </w:tcPr>
          <w:p>
            <w:pPr>
              <w:pStyle w:val="TableParagraph"/>
              <w:spacing w:line="240" w:lineRule="auto"/>
              <w:ind w:left="193"/>
              <w:rPr>
                <w:b/>
                <w:sz w:val="36"/>
              </w:rPr>
            </w:pPr>
            <w:r>
              <w:rPr>
                <w:b/>
                <w:sz w:val="36"/>
              </w:rPr>
              <w:t>2018</w:t>
            </w:r>
          </w:p>
        </w:tc>
        <w:tc>
          <w:tcPr>
            <w:tcW w:w="1079" w:type="dxa"/>
            <w:tcBorders>
              <w:top w:val="nil"/>
              <w:left w:val="nil"/>
              <w:bottom w:val="nil"/>
              <w:right w:val="nil"/>
            </w:tcBorders>
            <w:shd w:val="clear" w:color="auto" w:fill="5B9BD3"/>
          </w:tcPr>
          <w:p>
            <w:pPr>
              <w:pStyle w:val="TableParagraph"/>
              <w:spacing w:line="240" w:lineRule="auto"/>
              <w:ind w:left="194"/>
              <w:rPr>
                <w:b/>
                <w:sz w:val="36"/>
              </w:rPr>
            </w:pPr>
            <w:r>
              <w:rPr>
                <w:b/>
                <w:sz w:val="36"/>
              </w:rPr>
              <w:t>2019</w:t>
            </w:r>
          </w:p>
        </w:tc>
      </w:tr>
      <w:tr>
        <w:trPr>
          <w:trHeight w:val="321" w:hRule="atLeast"/>
        </w:trPr>
        <w:tc>
          <w:tcPr>
            <w:tcW w:w="3616" w:type="dxa"/>
            <w:tcBorders>
              <w:top w:val="nil"/>
            </w:tcBorders>
            <w:shd w:val="clear" w:color="auto" w:fill="DEEAF6"/>
          </w:tcPr>
          <w:p>
            <w:pPr>
              <w:pStyle w:val="TableParagraph"/>
              <w:spacing w:line="301" w:lineRule="exact"/>
              <w:rPr>
                <w:b/>
                <w:sz w:val="28"/>
              </w:rPr>
            </w:pPr>
            <w:r>
              <w:rPr>
                <w:b/>
                <w:sz w:val="28"/>
              </w:rPr>
              <w:t>Net Profit Margin</w:t>
            </w:r>
          </w:p>
        </w:tc>
        <w:tc>
          <w:tcPr>
            <w:tcW w:w="1080" w:type="dxa"/>
            <w:tcBorders>
              <w:top w:val="nil"/>
            </w:tcBorders>
            <w:shd w:val="clear" w:color="auto" w:fill="DEEAF6"/>
          </w:tcPr>
          <w:p>
            <w:pPr>
              <w:pStyle w:val="TableParagraph"/>
              <w:spacing w:line="301" w:lineRule="exact"/>
              <w:ind w:left="0" w:right="87"/>
              <w:jc w:val="right"/>
              <w:rPr>
                <w:sz w:val="28"/>
              </w:rPr>
            </w:pPr>
            <w:r>
              <w:rPr>
                <w:w w:val="95"/>
                <w:sz w:val="28"/>
              </w:rPr>
              <w:t>9.47%</w:t>
            </w:r>
          </w:p>
        </w:tc>
        <w:tc>
          <w:tcPr>
            <w:tcW w:w="1080" w:type="dxa"/>
            <w:tcBorders>
              <w:top w:val="nil"/>
            </w:tcBorders>
            <w:shd w:val="clear" w:color="auto" w:fill="DEEAF6"/>
          </w:tcPr>
          <w:p>
            <w:pPr>
              <w:pStyle w:val="TableParagraph"/>
              <w:spacing w:line="301" w:lineRule="exact"/>
              <w:ind w:left="0" w:right="87"/>
              <w:jc w:val="right"/>
              <w:rPr>
                <w:sz w:val="28"/>
              </w:rPr>
            </w:pPr>
            <w:r>
              <w:rPr>
                <w:w w:val="95"/>
                <w:sz w:val="28"/>
              </w:rPr>
              <w:t>9.47%</w:t>
            </w:r>
          </w:p>
        </w:tc>
        <w:tc>
          <w:tcPr>
            <w:tcW w:w="1080" w:type="dxa"/>
            <w:tcBorders>
              <w:top w:val="nil"/>
            </w:tcBorders>
            <w:shd w:val="clear" w:color="auto" w:fill="DEEAF6"/>
          </w:tcPr>
          <w:p>
            <w:pPr>
              <w:pStyle w:val="TableParagraph"/>
              <w:spacing w:line="301" w:lineRule="exact"/>
              <w:ind w:left="0" w:right="86"/>
              <w:jc w:val="right"/>
              <w:rPr>
                <w:sz w:val="28"/>
              </w:rPr>
            </w:pPr>
            <w:r>
              <w:rPr>
                <w:w w:val="95"/>
                <w:sz w:val="28"/>
              </w:rPr>
              <w:t>9.75%</w:t>
            </w:r>
          </w:p>
        </w:tc>
        <w:tc>
          <w:tcPr>
            <w:tcW w:w="1079" w:type="dxa"/>
            <w:tcBorders>
              <w:top w:val="nil"/>
            </w:tcBorders>
            <w:shd w:val="clear" w:color="auto" w:fill="DEEAF6"/>
          </w:tcPr>
          <w:p>
            <w:pPr>
              <w:pStyle w:val="TableParagraph"/>
              <w:spacing w:line="301" w:lineRule="exact"/>
              <w:ind w:left="0" w:right="85"/>
              <w:jc w:val="right"/>
              <w:rPr>
                <w:sz w:val="28"/>
              </w:rPr>
            </w:pPr>
            <w:r>
              <w:rPr>
                <w:w w:val="95"/>
                <w:sz w:val="28"/>
              </w:rPr>
              <w:t>15.44%</w:t>
            </w:r>
          </w:p>
        </w:tc>
        <w:tc>
          <w:tcPr>
            <w:tcW w:w="1079" w:type="dxa"/>
            <w:tcBorders>
              <w:top w:val="nil"/>
            </w:tcBorders>
            <w:shd w:val="clear" w:color="auto" w:fill="DEEAF6"/>
          </w:tcPr>
          <w:p>
            <w:pPr>
              <w:pStyle w:val="TableParagraph"/>
              <w:spacing w:line="301" w:lineRule="exact"/>
              <w:ind w:left="0" w:right="84"/>
              <w:jc w:val="right"/>
              <w:rPr>
                <w:sz w:val="28"/>
              </w:rPr>
            </w:pPr>
            <w:r>
              <w:rPr>
                <w:w w:val="95"/>
                <w:sz w:val="28"/>
              </w:rPr>
              <w:t>15.92%</w:t>
            </w:r>
          </w:p>
        </w:tc>
      </w:tr>
      <w:tr>
        <w:trPr>
          <w:trHeight w:val="321" w:hRule="atLeast"/>
        </w:trPr>
        <w:tc>
          <w:tcPr>
            <w:tcW w:w="3616" w:type="dxa"/>
          </w:tcPr>
          <w:p>
            <w:pPr>
              <w:pStyle w:val="TableParagraph"/>
              <w:spacing w:line="301" w:lineRule="exact"/>
              <w:rPr>
                <w:b/>
                <w:sz w:val="28"/>
              </w:rPr>
            </w:pPr>
            <w:r>
              <w:rPr>
                <w:b/>
                <w:sz w:val="28"/>
              </w:rPr>
              <w:t>Operating Profit Margin</w:t>
            </w:r>
          </w:p>
        </w:tc>
        <w:tc>
          <w:tcPr>
            <w:tcW w:w="1080" w:type="dxa"/>
          </w:tcPr>
          <w:p>
            <w:pPr>
              <w:pStyle w:val="TableParagraph"/>
              <w:spacing w:line="301" w:lineRule="exact"/>
              <w:ind w:left="0" w:right="87"/>
              <w:jc w:val="right"/>
              <w:rPr>
                <w:sz w:val="28"/>
              </w:rPr>
            </w:pPr>
            <w:r>
              <w:rPr>
                <w:w w:val="95"/>
                <w:sz w:val="28"/>
              </w:rPr>
              <w:t>17.72%</w:t>
            </w:r>
          </w:p>
        </w:tc>
        <w:tc>
          <w:tcPr>
            <w:tcW w:w="1080" w:type="dxa"/>
          </w:tcPr>
          <w:p>
            <w:pPr>
              <w:pStyle w:val="TableParagraph"/>
              <w:spacing w:line="301" w:lineRule="exact"/>
              <w:ind w:left="0" w:right="87"/>
              <w:jc w:val="right"/>
              <w:rPr>
                <w:sz w:val="28"/>
              </w:rPr>
            </w:pPr>
            <w:r>
              <w:rPr>
                <w:w w:val="95"/>
                <w:sz w:val="28"/>
              </w:rPr>
              <w:t>16.89%</w:t>
            </w:r>
          </w:p>
        </w:tc>
        <w:tc>
          <w:tcPr>
            <w:tcW w:w="1080" w:type="dxa"/>
          </w:tcPr>
          <w:p>
            <w:pPr>
              <w:pStyle w:val="TableParagraph"/>
              <w:spacing w:line="301" w:lineRule="exact"/>
              <w:ind w:left="0" w:right="86"/>
              <w:jc w:val="right"/>
              <w:rPr>
                <w:sz w:val="28"/>
              </w:rPr>
            </w:pPr>
            <w:r>
              <w:rPr>
                <w:w w:val="95"/>
                <w:sz w:val="28"/>
              </w:rPr>
              <w:t>17.57%</w:t>
            </w:r>
          </w:p>
        </w:tc>
        <w:tc>
          <w:tcPr>
            <w:tcW w:w="1079" w:type="dxa"/>
          </w:tcPr>
          <w:p>
            <w:pPr>
              <w:pStyle w:val="TableParagraph"/>
              <w:spacing w:line="301" w:lineRule="exact"/>
              <w:ind w:left="0" w:right="85"/>
              <w:jc w:val="right"/>
              <w:rPr>
                <w:sz w:val="28"/>
              </w:rPr>
            </w:pPr>
            <w:r>
              <w:rPr>
                <w:w w:val="95"/>
                <w:sz w:val="28"/>
              </w:rPr>
              <w:t>21.70%</w:t>
            </w:r>
          </w:p>
        </w:tc>
        <w:tc>
          <w:tcPr>
            <w:tcW w:w="1079" w:type="dxa"/>
          </w:tcPr>
          <w:p>
            <w:pPr>
              <w:pStyle w:val="TableParagraph"/>
              <w:spacing w:line="301" w:lineRule="exact"/>
              <w:ind w:left="0" w:right="84"/>
              <w:jc w:val="right"/>
              <w:rPr>
                <w:sz w:val="28"/>
              </w:rPr>
            </w:pPr>
            <w:r>
              <w:rPr>
                <w:w w:val="95"/>
                <w:sz w:val="28"/>
              </w:rPr>
              <w:t>22.16%</w:t>
            </w:r>
          </w:p>
        </w:tc>
      </w:tr>
      <w:tr>
        <w:trPr>
          <w:trHeight w:val="321" w:hRule="atLeast"/>
        </w:trPr>
        <w:tc>
          <w:tcPr>
            <w:tcW w:w="3616" w:type="dxa"/>
            <w:shd w:val="clear" w:color="auto" w:fill="DEEAF6"/>
          </w:tcPr>
          <w:p>
            <w:pPr>
              <w:pStyle w:val="TableParagraph"/>
              <w:spacing w:line="301" w:lineRule="exact"/>
              <w:rPr>
                <w:b/>
                <w:sz w:val="28"/>
              </w:rPr>
            </w:pPr>
            <w:r>
              <w:rPr>
                <w:b/>
                <w:sz w:val="28"/>
              </w:rPr>
              <w:t>Return on Assets (ROA)</w:t>
            </w:r>
          </w:p>
        </w:tc>
        <w:tc>
          <w:tcPr>
            <w:tcW w:w="1080" w:type="dxa"/>
            <w:shd w:val="clear" w:color="auto" w:fill="DEEAF6"/>
          </w:tcPr>
          <w:p>
            <w:pPr>
              <w:pStyle w:val="TableParagraph"/>
              <w:spacing w:line="301" w:lineRule="exact"/>
              <w:ind w:left="0" w:right="87"/>
              <w:jc w:val="right"/>
              <w:rPr>
                <w:sz w:val="28"/>
              </w:rPr>
            </w:pPr>
            <w:r>
              <w:rPr>
                <w:w w:val="95"/>
                <w:sz w:val="28"/>
              </w:rPr>
              <w:t>0.87%</w:t>
            </w:r>
          </w:p>
        </w:tc>
        <w:tc>
          <w:tcPr>
            <w:tcW w:w="1080" w:type="dxa"/>
            <w:shd w:val="clear" w:color="auto" w:fill="DEEAF6"/>
          </w:tcPr>
          <w:p>
            <w:pPr>
              <w:pStyle w:val="TableParagraph"/>
              <w:spacing w:line="301" w:lineRule="exact"/>
              <w:ind w:left="0" w:right="87"/>
              <w:jc w:val="right"/>
              <w:rPr>
                <w:sz w:val="28"/>
              </w:rPr>
            </w:pPr>
            <w:r>
              <w:rPr>
                <w:w w:val="95"/>
                <w:sz w:val="28"/>
              </w:rPr>
              <w:t>0.78%</w:t>
            </w:r>
          </w:p>
        </w:tc>
        <w:tc>
          <w:tcPr>
            <w:tcW w:w="1080" w:type="dxa"/>
            <w:shd w:val="clear" w:color="auto" w:fill="DEEAF6"/>
          </w:tcPr>
          <w:p>
            <w:pPr>
              <w:pStyle w:val="TableParagraph"/>
              <w:spacing w:line="301" w:lineRule="exact"/>
              <w:ind w:left="0" w:right="86"/>
              <w:jc w:val="right"/>
              <w:rPr>
                <w:sz w:val="28"/>
              </w:rPr>
            </w:pPr>
            <w:r>
              <w:rPr>
                <w:w w:val="95"/>
                <w:sz w:val="28"/>
              </w:rPr>
              <w:t>0.73%</w:t>
            </w:r>
          </w:p>
        </w:tc>
        <w:tc>
          <w:tcPr>
            <w:tcW w:w="1079" w:type="dxa"/>
            <w:shd w:val="clear" w:color="auto" w:fill="DEEAF6"/>
          </w:tcPr>
          <w:p>
            <w:pPr>
              <w:pStyle w:val="TableParagraph"/>
              <w:spacing w:line="301" w:lineRule="exact"/>
              <w:ind w:left="0" w:right="85"/>
              <w:jc w:val="right"/>
              <w:rPr>
                <w:sz w:val="28"/>
              </w:rPr>
            </w:pPr>
            <w:r>
              <w:rPr>
                <w:w w:val="95"/>
                <w:sz w:val="28"/>
              </w:rPr>
              <w:t>1.03%</w:t>
            </w:r>
          </w:p>
        </w:tc>
        <w:tc>
          <w:tcPr>
            <w:tcW w:w="1079" w:type="dxa"/>
            <w:shd w:val="clear" w:color="auto" w:fill="DEEAF6"/>
          </w:tcPr>
          <w:p>
            <w:pPr>
              <w:pStyle w:val="TableParagraph"/>
              <w:spacing w:line="301" w:lineRule="exact"/>
              <w:ind w:left="0" w:right="83"/>
              <w:jc w:val="right"/>
              <w:rPr>
                <w:sz w:val="28"/>
              </w:rPr>
            </w:pPr>
            <w:r>
              <w:rPr>
                <w:w w:val="95"/>
                <w:sz w:val="28"/>
              </w:rPr>
              <w:t>1.08%</w:t>
            </w:r>
          </w:p>
        </w:tc>
      </w:tr>
    </w:tbl>
    <w:p>
      <w:pPr>
        <w:spacing w:after="0" w:line="301" w:lineRule="exact"/>
        <w:jc w:val="right"/>
        <w:rPr>
          <w:sz w:val="28"/>
        </w:rPr>
        <w:sectPr>
          <w:pgSz w:w="12240" w:h="15840"/>
          <w:pgMar w:header="0" w:footer="1039" w:top="1500" w:bottom="1220" w:left="1100" w:right="1300"/>
        </w:sectPr>
      </w:pPr>
    </w:p>
    <w:tbl>
      <w:tblPr>
        <w:tblW w:w="0" w:type="auto"/>
        <w:jc w:val="left"/>
        <w:tblInd w:w="480"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616"/>
        <w:gridCol w:w="1080"/>
        <w:gridCol w:w="1080"/>
        <w:gridCol w:w="1080"/>
        <w:gridCol w:w="1079"/>
        <w:gridCol w:w="1079"/>
      </w:tblGrid>
      <w:tr>
        <w:trPr>
          <w:trHeight w:val="321" w:hRule="atLeast"/>
        </w:trPr>
        <w:tc>
          <w:tcPr>
            <w:tcW w:w="3616" w:type="dxa"/>
          </w:tcPr>
          <w:p>
            <w:pPr>
              <w:pStyle w:val="TableParagraph"/>
              <w:spacing w:line="301" w:lineRule="exact"/>
              <w:rPr>
                <w:b/>
                <w:sz w:val="28"/>
              </w:rPr>
            </w:pPr>
            <w:r>
              <w:rPr>
                <w:b/>
                <w:sz w:val="28"/>
              </w:rPr>
              <w:t>Return on Equity (ROE)</w:t>
            </w:r>
          </w:p>
        </w:tc>
        <w:tc>
          <w:tcPr>
            <w:tcW w:w="1080" w:type="dxa"/>
          </w:tcPr>
          <w:p>
            <w:pPr>
              <w:pStyle w:val="TableParagraph"/>
              <w:spacing w:line="301" w:lineRule="exact"/>
              <w:ind w:left="0" w:right="87"/>
              <w:jc w:val="right"/>
              <w:rPr>
                <w:sz w:val="28"/>
              </w:rPr>
            </w:pPr>
            <w:r>
              <w:rPr>
                <w:w w:val="95"/>
                <w:sz w:val="28"/>
              </w:rPr>
              <w:t>9.84%</w:t>
            </w:r>
          </w:p>
        </w:tc>
        <w:tc>
          <w:tcPr>
            <w:tcW w:w="1080" w:type="dxa"/>
          </w:tcPr>
          <w:p>
            <w:pPr>
              <w:pStyle w:val="TableParagraph"/>
              <w:spacing w:line="301" w:lineRule="exact"/>
              <w:ind w:left="0" w:right="87"/>
              <w:jc w:val="right"/>
              <w:rPr>
                <w:sz w:val="28"/>
              </w:rPr>
            </w:pPr>
            <w:r>
              <w:rPr>
                <w:w w:val="95"/>
                <w:sz w:val="28"/>
              </w:rPr>
              <w:t>9.75%</w:t>
            </w:r>
          </w:p>
        </w:tc>
        <w:tc>
          <w:tcPr>
            <w:tcW w:w="1080" w:type="dxa"/>
          </w:tcPr>
          <w:p>
            <w:pPr>
              <w:pStyle w:val="TableParagraph"/>
              <w:spacing w:line="301" w:lineRule="exact"/>
              <w:ind w:left="0" w:right="86"/>
              <w:jc w:val="right"/>
              <w:rPr>
                <w:sz w:val="28"/>
              </w:rPr>
            </w:pPr>
            <w:r>
              <w:rPr>
                <w:w w:val="95"/>
                <w:sz w:val="28"/>
              </w:rPr>
              <w:t>9.39%</w:t>
            </w:r>
          </w:p>
        </w:tc>
        <w:tc>
          <w:tcPr>
            <w:tcW w:w="1079" w:type="dxa"/>
          </w:tcPr>
          <w:p>
            <w:pPr>
              <w:pStyle w:val="TableParagraph"/>
              <w:spacing w:line="301" w:lineRule="exact"/>
              <w:ind w:left="0" w:right="85"/>
              <w:jc w:val="right"/>
              <w:rPr>
                <w:sz w:val="28"/>
              </w:rPr>
            </w:pPr>
            <w:r>
              <w:rPr>
                <w:w w:val="95"/>
                <w:sz w:val="28"/>
              </w:rPr>
              <w:t>13.45%</w:t>
            </w:r>
          </w:p>
        </w:tc>
        <w:tc>
          <w:tcPr>
            <w:tcW w:w="1079" w:type="dxa"/>
          </w:tcPr>
          <w:p>
            <w:pPr>
              <w:pStyle w:val="TableParagraph"/>
              <w:spacing w:line="301" w:lineRule="exact"/>
              <w:ind w:left="0" w:right="84"/>
              <w:jc w:val="right"/>
              <w:rPr>
                <w:sz w:val="28"/>
              </w:rPr>
            </w:pPr>
            <w:r>
              <w:rPr>
                <w:w w:val="95"/>
                <w:sz w:val="28"/>
              </w:rPr>
              <w:t>14.97%</w:t>
            </w:r>
          </w:p>
        </w:tc>
      </w:tr>
      <w:tr>
        <w:trPr>
          <w:trHeight w:val="321" w:hRule="atLeast"/>
        </w:trPr>
        <w:tc>
          <w:tcPr>
            <w:tcW w:w="3616" w:type="dxa"/>
            <w:shd w:val="clear" w:color="auto" w:fill="DEEAF6"/>
          </w:tcPr>
          <w:p>
            <w:pPr>
              <w:pStyle w:val="TableParagraph"/>
              <w:spacing w:line="301" w:lineRule="exact"/>
              <w:rPr>
                <w:b/>
                <w:sz w:val="28"/>
              </w:rPr>
            </w:pPr>
            <w:r>
              <w:rPr>
                <w:b/>
                <w:sz w:val="28"/>
              </w:rPr>
              <w:t>Return on Deposits</w:t>
            </w:r>
          </w:p>
        </w:tc>
        <w:tc>
          <w:tcPr>
            <w:tcW w:w="1080" w:type="dxa"/>
            <w:shd w:val="clear" w:color="auto" w:fill="DEEAF6"/>
          </w:tcPr>
          <w:p>
            <w:pPr>
              <w:pStyle w:val="TableParagraph"/>
              <w:spacing w:line="301" w:lineRule="exact"/>
              <w:ind w:left="0" w:right="87"/>
              <w:jc w:val="right"/>
              <w:rPr>
                <w:sz w:val="28"/>
              </w:rPr>
            </w:pPr>
            <w:r>
              <w:rPr>
                <w:w w:val="95"/>
                <w:sz w:val="28"/>
              </w:rPr>
              <w:t>1.06%</w:t>
            </w:r>
          </w:p>
        </w:tc>
        <w:tc>
          <w:tcPr>
            <w:tcW w:w="1080" w:type="dxa"/>
            <w:shd w:val="clear" w:color="auto" w:fill="DEEAF6"/>
          </w:tcPr>
          <w:p>
            <w:pPr>
              <w:pStyle w:val="TableParagraph"/>
              <w:spacing w:line="301" w:lineRule="exact"/>
              <w:ind w:left="0" w:right="87"/>
              <w:jc w:val="right"/>
              <w:rPr>
                <w:sz w:val="28"/>
              </w:rPr>
            </w:pPr>
            <w:r>
              <w:rPr>
                <w:w w:val="95"/>
                <w:sz w:val="28"/>
              </w:rPr>
              <w:t>0.96%</w:t>
            </w:r>
          </w:p>
        </w:tc>
        <w:tc>
          <w:tcPr>
            <w:tcW w:w="1080" w:type="dxa"/>
            <w:shd w:val="clear" w:color="auto" w:fill="DEEAF6"/>
          </w:tcPr>
          <w:p>
            <w:pPr>
              <w:pStyle w:val="TableParagraph"/>
              <w:spacing w:line="301" w:lineRule="exact"/>
              <w:ind w:left="0" w:right="86"/>
              <w:jc w:val="right"/>
              <w:rPr>
                <w:sz w:val="28"/>
              </w:rPr>
            </w:pPr>
            <w:r>
              <w:rPr>
                <w:w w:val="95"/>
                <w:sz w:val="28"/>
              </w:rPr>
              <w:t>0.88%</w:t>
            </w:r>
          </w:p>
        </w:tc>
        <w:tc>
          <w:tcPr>
            <w:tcW w:w="1079" w:type="dxa"/>
            <w:shd w:val="clear" w:color="auto" w:fill="DEEAF6"/>
          </w:tcPr>
          <w:p>
            <w:pPr>
              <w:pStyle w:val="TableParagraph"/>
              <w:spacing w:line="301" w:lineRule="exact"/>
              <w:ind w:left="0" w:right="85"/>
              <w:jc w:val="right"/>
              <w:rPr>
                <w:sz w:val="28"/>
              </w:rPr>
            </w:pPr>
            <w:r>
              <w:rPr>
                <w:w w:val="95"/>
                <w:sz w:val="28"/>
              </w:rPr>
              <w:t>1.28%</w:t>
            </w:r>
          </w:p>
        </w:tc>
        <w:tc>
          <w:tcPr>
            <w:tcW w:w="1079" w:type="dxa"/>
            <w:shd w:val="clear" w:color="auto" w:fill="DEEAF6"/>
          </w:tcPr>
          <w:p>
            <w:pPr>
              <w:pStyle w:val="TableParagraph"/>
              <w:spacing w:line="301" w:lineRule="exact"/>
              <w:ind w:left="0" w:right="83"/>
              <w:jc w:val="right"/>
              <w:rPr>
                <w:sz w:val="28"/>
              </w:rPr>
            </w:pPr>
            <w:r>
              <w:rPr>
                <w:w w:val="95"/>
                <w:sz w:val="28"/>
              </w:rPr>
              <w:t>1.40%</w:t>
            </w:r>
          </w:p>
        </w:tc>
      </w:tr>
      <w:tr>
        <w:trPr>
          <w:trHeight w:val="321" w:hRule="atLeast"/>
        </w:trPr>
        <w:tc>
          <w:tcPr>
            <w:tcW w:w="3616" w:type="dxa"/>
          </w:tcPr>
          <w:p>
            <w:pPr>
              <w:pStyle w:val="TableParagraph"/>
              <w:spacing w:line="301" w:lineRule="exact"/>
              <w:rPr>
                <w:b/>
                <w:sz w:val="28"/>
              </w:rPr>
            </w:pPr>
            <w:r>
              <w:rPr>
                <w:b/>
                <w:sz w:val="28"/>
              </w:rPr>
              <w:t>EPS</w:t>
            </w:r>
          </w:p>
        </w:tc>
        <w:tc>
          <w:tcPr>
            <w:tcW w:w="1080" w:type="dxa"/>
          </w:tcPr>
          <w:p>
            <w:pPr>
              <w:pStyle w:val="TableParagraph"/>
              <w:spacing w:line="301" w:lineRule="exact"/>
              <w:ind w:left="0" w:right="89"/>
              <w:jc w:val="right"/>
              <w:rPr>
                <w:sz w:val="28"/>
              </w:rPr>
            </w:pPr>
            <w:r>
              <w:rPr>
                <w:w w:val="95"/>
                <w:sz w:val="28"/>
              </w:rPr>
              <w:t>1.53</w:t>
            </w:r>
          </w:p>
        </w:tc>
        <w:tc>
          <w:tcPr>
            <w:tcW w:w="1080" w:type="dxa"/>
          </w:tcPr>
          <w:p>
            <w:pPr>
              <w:pStyle w:val="TableParagraph"/>
              <w:spacing w:line="301" w:lineRule="exact"/>
              <w:ind w:left="0" w:right="88"/>
              <w:jc w:val="right"/>
              <w:rPr>
                <w:sz w:val="28"/>
              </w:rPr>
            </w:pPr>
            <w:r>
              <w:rPr>
                <w:w w:val="95"/>
                <w:sz w:val="28"/>
              </w:rPr>
              <w:t>1.55</w:t>
            </w:r>
          </w:p>
        </w:tc>
        <w:tc>
          <w:tcPr>
            <w:tcW w:w="1080" w:type="dxa"/>
          </w:tcPr>
          <w:p>
            <w:pPr>
              <w:pStyle w:val="TableParagraph"/>
              <w:spacing w:line="301" w:lineRule="exact"/>
              <w:ind w:left="0" w:right="88"/>
              <w:jc w:val="right"/>
              <w:rPr>
                <w:sz w:val="28"/>
              </w:rPr>
            </w:pPr>
            <w:r>
              <w:rPr>
                <w:w w:val="95"/>
                <w:sz w:val="28"/>
              </w:rPr>
              <w:t>1.55</w:t>
            </w:r>
          </w:p>
        </w:tc>
        <w:tc>
          <w:tcPr>
            <w:tcW w:w="1079" w:type="dxa"/>
          </w:tcPr>
          <w:p>
            <w:pPr>
              <w:pStyle w:val="TableParagraph"/>
              <w:spacing w:line="301" w:lineRule="exact"/>
              <w:ind w:left="0" w:right="82"/>
              <w:jc w:val="right"/>
              <w:rPr>
                <w:sz w:val="28"/>
              </w:rPr>
            </w:pPr>
            <w:r>
              <w:rPr>
                <w:w w:val="95"/>
                <w:sz w:val="28"/>
              </w:rPr>
              <w:t>2.35</w:t>
            </w:r>
          </w:p>
        </w:tc>
        <w:tc>
          <w:tcPr>
            <w:tcW w:w="1079" w:type="dxa"/>
          </w:tcPr>
          <w:p>
            <w:pPr>
              <w:pStyle w:val="TableParagraph"/>
              <w:spacing w:line="301" w:lineRule="exact"/>
              <w:ind w:left="0" w:right="85"/>
              <w:jc w:val="right"/>
              <w:rPr>
                <w:sz w:val="28"/>
              </w:rPr>
            </w:pPr>
            <w:r>
              <w:rPr>
                <w:w w:val="95"/>
                <w:sz w:val="28"/>
              </w:rPr>
              <w:t>2.83</w:t>
            </w:r>
          </w:p>
        </w:tc>
      </w:tr>
    </w:tbl>
    <w:p>
      <w:pPr>
        <w:pStyle w:val="BodyText"/>
        <w:spacing w:before="9"/>
        <w:rPr>
          <w:b/>
          <w:sz w:val="27"/>
        </w:rPr>
      </w:pPr>
    </w:p>
    <w:p>
      <w:pPr>
        <w:pStyle w:val="BodyText"/>
        <w:spacing w:line="360" w:lineRule="auto" w:before="90"/>
        <w:ind w:left="340" w:right="126"/>
        <w:jc w:val="both"/>
      </w:pPr>
      <w:r>
        <w:rPr>
          <w:b/>
        </w:rPr>
        <w:t>Interpretation: </w:t>
      </w:r>
      <w:r>
        <w:rPr/>
        <w:t>Profitability ratios are a class of financial metrics that are used to assess a business's ability to generate earnings compared to its expenses and other relevant costs incurred during a specific period of time. Return on assets (ROA) is a financial ratio that shows the percentage of profit a company earns in relation to its overall resources. Return on Assets of the Bank 2015 was 0.87 and next Four years it’s increases. The return on equity ratio or ROE is a profitability ratio that measures the ability of a firm to generate profits from its shareholder’s investments in the company. Return on Equity 2018 was 13.45% and year 2019 was 14.97% that is increase from 2018. Net Profit Margin in 2015 was 9.47% and 2019 was 15.92% and it’s increased from the first Year. It is good sign for the bank. Operating margin is a measurement of what proportion of a company's revenue is left over after paying for variable costs of production such as wages and operating expenses. Net Operating margin the PBL in 2015 was 17.72% and 2019 is 22.16% then its increased last three years it’s good.</w:t>
      </w:r>
    </w:p>
    <w:p>
      <w:pPr>
        <w:pStyle w:val="BodyText"/>
        <w:spacing w:before="6"/>
        <w:rPr>
          <w:sz w:val="36"/>
        </w:rPr>
      </w:pPr>
    </w:p>
    <w:p>
      <w:pPr>
        <w:pStyle w:val="Heading3"/>
        <w:jc w:val="both"/>
      </w:pPr>
      <w:r>
        <w:rPr/>
        <w:t>Credit Risk Ratio</w:t>
      </w:r>
    </w:p>
    <w:tbl>
      <w:tblPr>
        <w:tblW w:w="0" w:type="auto"/>
        <w:jc w:val="left"/>
        <w:tblInd w:w="482" w:type="dxa"/>
        <w:tblBorders>
          <w:top w:val="single" w:sz="4" w:space="0" w:color="9CC2E3"/>
          <w:left w:val="single" w:sz="4" w:space="0" w:color="9CC2E3"/>
          <w:bottom w:val="single" w:sz="4" w:space="0" w:color="9CC2E3"/>
          <w:right w:val="single" w:sz="4" w:space="0" w:color="9CC2E3"/>
          <w:insideH w:val="single" w:sz="4" w:space="0" w:color="9CC2E3"/>
          <w:insideV w:val="single" w:sz="4" w:space="0" w:color="9CC2E3"/>
        </w:tblBorders>
        <w:tblLayout w:type="fixed"/>
        <w:tblCellMar>
          <w:top w:w="0" w:type="dxa"/>
          <w:left w:w="0" w:type="dxa"/>
          <w:bottom w:w="0" w:type="dxa"/>
          <w:right w:w="0" w:type="dxa"/>
        </w:tblCellMar>
        <w:tblLook w:val="01E0"/>
      </w:tblPr>
      <w:tblGrid>
        <w:gridCol w:w="3328"/>
        <w:gridCol w:w="1167"/>
        <w:gridCol w:w="1172"/>
        <w:gridCol w:w="1056"/>
        <w:gridCol w:w="1196"/>
        <w:gridCol w:w="951"/>
      </w:tblGrid>
      <w:tr>
        <w:trPr>
          <w:trHeight w:val="436" w:hRule="atLeast"/>
        </w:trPr>
        <w:tc>
          <w:tcPr>
            <w:tcW w:w="3328" w:type="dxa"/>
            <w:tcBorders>
              <w:top w:val="nil"/>
              <w:left w:val="nil"/>
              <w:bottom w:val="nil"/>
              <w:right w:val="nil"/>
            </w:tcBorders>
            <w:shd w:val="clear" w:color="auto" w:fill="5B9BD3"/>
          </w:tcPr>
          <w:p>
            <w:pPr>
              <w:pStyle w:val="TableParagraph"/>
              <w:spacing w:line="240" w:lineRule="auto"/>
              <w:ind w:left="878"/>
              <w:rPr>
                <w:b/>
                <w:sz w:val="36"/>
              </w:rPr>
            </w:pPr>
            <w:r>
              <w:rPr>
                <w:b/>
                <w:sz w:val="36"/>
              </w:rPr>
              <w:t>Particular</w:t>
            </w:r>
          </w:p>
        </w:tc>
        <w:tc>
          <w:tcPr>
            <w:tcW w:w="1167" w:type="dxa"/>
            <w:tcBorders>
              <w:top w:val="nil"/>
              <w:left w:val="nil"/>
              <w:bottom w:val="nil"/>
              <w:right w:val="nil"/>
            </w:tcBorders>
            <w:shd w:val="clear" w:color="auto" w:fill="5B9BD3"/>
          </w:tcPr>
          <w:p>
            <w:pPr>
              <w:pStyle w:val="TableParagraph"/>
              <w:spacing w:line="240" w:lineRule="auto"/>
              <w:ind w:left="230"/>
              <w:rPr>
                <w:b/>
                <w:sz w:val="36"/>
              </w:rPr>
            </w:pPr>
            <w:r>
              <w:rPr>
                <w:b/>
                <w:sz w:val="36"/>
              </w:rPr>
              <w:t>2015</w:t>
            </w:r>
          </w:p>
        </w:tc>
        <w:tc>
          <w:tcPr>
            <w:tcW w:w="1172" w:type="dxa"/>
            <w:tcBorders>
              <w:top w:val="nil"/>
              <w:left w:val="nil"/>
              <w:bottom w:val="nil"/>
              <w:right w:val="nil"/>
            </w:tcBorders>
            <w:shd w:val="clear" w:color="auto" w:fill="5B9BD3"/>
          </w:tcPr>
          <w:p>
            <w:pPr>
              <w:pStyle w:val="TableParagraph"/>
              <w:spacing w:line="240" w:lineRule="auto"/>
              <w:ind w:left="230"/>
              <w:rPr>
                <w:b/>
                <w:sz w:val="36"/>
              </w:rPr>
            </w:pPr>
            <w:r>
              <w:rPr>
                <w:b/>
                <w:sz w:val="36"/>
              </w:rPr>
              <w:t>2016</w:t>
            </w:r>
          </w:p>
        </w:tc>
        <w:tc>
          <w:tcPr>
            <w:tcW w:w="1056" w:type="dxa"/>
            <w:tcBorders>
              <w:top w:val="nil"/>
              <w:left w:val="nil"/>
              <w:bottom w:val="nil"/>
              <w:right w:val="nil"/>
            </w:tcBorders>
            <w:shd w:val="clear" w:color="auto" w:fill="5B9BD3"/>
          </w:tcPr>
          <w:p>
            <w:pPr>
              <w:pStyle w:val="TableParagraph"/>
              <w:spacing w:line="240" w:lineRule="auto"/>
              <w:ind w:left="0" w:right="160"/>
              <w:jc w:val="right"/>
              <w:rPr>
                <w:b/>
                <w:sz w:val="36"/>
              </w:rPr>
            </w:pPr>
            <w:r>
              <w:rPr>
                <w:b/>
                <w:sz w:val="36"/>
              </w:rPr>
              <w:t>2017</w:t>
            </w:r>
          </w:p>
        </w:tc>
        <w:tc>
          <w:tcPr>
            <w:tcW w:w="1196" w:type="dxa"/>
            <w:tcBorders>
              <w:top w:val="nil"/>
              <w:left w:val="nil"/>
              <w:bottom w:val="nil"/>
              <w:right w:val="nil"/>
            </w:tcBorders>
            <w:shd w:val="clear" w:color="auto" w:fill="5B9BD3"/>
          </w:tcPr>
          <w:p>
            <w:pPr>
              <w:pStyle w:val="TableParagraph"/>
              <w:spacing w:line="240" w:lineRule="auto"/>
              <w:ind w:left="244"/>
              <w:rPr>
                <w:b/>
                <w:sz w:val="36"/>
              </w:rPr>
            </w:pPr>
            <w:r>
              <w:rPr>
                <w:b/>
                <w:sz w:val="36"/>
              </w:rPr>
              <w:t>2018</w:t>
            </w:r>
          </w:p>
        </w:tc>
        <w:tc>
          <w:tcPr>
            <w:tcW w:w="951" w:type="dxa"/>
            <w:tcBorders>
              <w:top w:val="nil"/>
              <w:left w:val="nil"/>
              <w:bottom w:val="nil"/>
              <w:right w:val="nil"/>
            </w:tcBorders>
            <w:shd w:val="clear" w:color="auto" w:fill="5B9BD3"/>
          </w:tcPr>
          <w:p>
            <w:pPr>
              <w:pStyle w:val="TableParagraph"/>
              <w:spacing w:line="240" w:lineRule="auto"/>
              <w:ind w:left="196"/>
              <w:rPr>
                <w:b/>
                <w:sz w:val="36"/>
              </w:rPr>
            </w:pPr>
            <w:r>
              <w:rPr>
                <w:b/>
                <w:sz w:val="36"/>
              </w:rPr>
              <w:t>2019</w:t>
            </w:r>
          </w:p>
        </w:tc>
      </w:tr>
      <w:tr>
        <w:trPr>
          <w:trHeight w:val="321" w:hRule="atLeast"/>
        </w:trPr>
        <w:tc>
          <w:tcPr>
            <w:tcW w:w="3328" w:type="dxa"/>
            <w:tcBorders>
              <w:top w:val="nil"/>
            </w:tcBorders>
            <w:shd w:val="clear" w:color="auto" w:fill="DEEAF6"/>
          </w:tcPr>
          <w:p>
            <w:pPr>
              <w:pStyle w:val="TableParagraph"/>
              <w:spacing w:line="301" w:lineRule="exact"/>
              <w:rPr>
                <w:b/>
                <w:sz w:val="28"/>
              </w:rPr>
            </w:pPr>
            <w:r>
              <w:rPr>
                <w:b/>
                <w:sz w:val="28"/>
              </w:rPr>
              <w:t>Equity to Assets</w:t>
            </w:r>
          </w:p>
        </w:tc>
        <w:tc>
          <w:tcPr>
            <w:tcW w:w="1167" w:type="dxa"/>
            <w:tcBorders>
              <w:top w:val="nil"/>
            </w:tcBorders>
            <w:shd w:val="clear" w:color="auto" w:fill="DEEAF6"/>
          </w:tcPr>
          <w:p>
            <w:pPr>
              <w:pStyle w:val="TableParagraph"/>
              <w:spacing w:line="301" w:lineRule="exact"/>
              <w:ind w:left="0" w:right="89"/>
              <w:jc w:val="right"/>
              <w:rPr>
                <w:sz w:val="28"/>
              </w:rPr>
            </w:pPr>
            <w:r>
              <w:rPr>
                <w:w w:val="95"/>
                <w:sz w:val="28"/>
              </w:rPr>
              <w:t>0.089</w:t>
            </w:r>
          </w:p>
        </w:tc>
        <w:tc>
          <w:tcPr>
            <w:tcW w:w="1172" w:type="dxa"/>
            <w:tcBorders>
              <w:top w:val="nil"/>
            </w:tcBorders>
            <w:shd w:val="clear" w:color="auto" w:fill="DEEAF6"/>
          </w:tcPr>
          <w:p>
            <w:pPr>
              <w:pStyle w:val="TableParagraph"/>
              <w:spacing w:line="301" w:lineRule="exact"/>
              <w:ind w:left="0" w:right="90"/>
              <w:jc w:val="right"/>
              <w:rPr>
                <w:sz w:val="28"/>
              </w:rPr>
            </w:pPr>
            <w:r>
              <w:rPr>
                <w:w w:val="95"/>
                <w:sz w:val="28"/>
              </w:rPr>
              <w:t>0.080</w:t>
            </w:r>
          </w:p>
        </w:tc>
        <w:tc>
          <w:tcPr>
            <w:tcW w:w="1056" w:type="dxa"/>
            <w:tcBorders>
              <w:top w:val="nil"/>
            </w:tcBorders>
            <w:shd w:val="clear" w:color="auto" w:fill="DEEAF6"/>
          </w:tcPr>
          <w:p>
            <w:pPr>
              <w:pStyle w:val="TableParagraph"/>
              <w:spacing w:line="301" w:lineRule="exact"/>
              <w:ind w:left="0" w:right="94"/>
              <w:jc w:val="right"/>
              <w:rPr>
                <w:sz w:val="28"/>
              </w:rPr>
            </w:pPr>
            <w:r>
              <w:rPr>
                <w:w w:val="95"/>
                <w:sz w:val="28"/>
              </w:rPr>
              <w:t>0.078</w:t>
            </w:r>
          </w:p>
        </w:tc>
        <w:tc>
          <w:tcPr>
            <w:tcW w:w="1196" w:type="dxa"/>
            <w:tcBorders>
              <w:top w:val="nil"/>
            </w:tcBorders>
            <w:shd w:val="clear" w:color="auto" w:fill="DEEAF6"/>
          </w:tcPr>
          <w:p>
            <w:pPr>
              <w:pStyle w:val="TableParagraph"/>
              <w:spacing w:line="301" w:lineRule="exact"/>
              <w:ind w:left="0" w:right="90"/>
              <w:jc w:val="right"/>
              <w:rPr>
                <w:sz w:val="28"/>
              </w:rPr>
            </w:pPr>
            <w:r>
              <w:rPr>
                <w:w w:val="95"/>
                <w:sz w:val="28"/>
              </w:rPr>
              <w:t>0.077</w:t>
            </w:r>
          </w:p>
        </w:tc>
        <w:tc>
          <w:tcPr>
            <w:tcW w:w="951" w:type="dxa"/>
            <w:tcBorders>
              <w:top w:val="nil"/>
            </w:tcBorders>
            <w:shd w:val="clear" w:color="auto" w:fill="DEEAF6"/>
          </w:tcPr>
          <w:p>
            <w:pPr>
              <w:pStyle w:val="TableParagraph"/>
              <w:spacing w:line="301" w:lineRule="exact"/>
              <w:ind w:left="215"/>
              <w:rPr>
                <w:sz w:val="28"/>
              </w:rPr>
            </w:pPr>
            <w:r>
              <w:rPr>
                <w:sz w:val="28"/>
              </w:rPr>
              <w:t>0.072</w:t>
            </w:r>
          </w:p>
        </w:tc>
      </w:tr>
      <w:tr>
        <w:trPr>
          <w:trHeight w:val="321" w:hRule="atLeast"/>
        </w:trPr>
        <w:tc>
          <w:tcPr>
            <w:tcW w:w="3328" w:type="dxa"/>
          </w:tcPr>
          <w:p>
            <w:pPr>
              <w:pStyle w:val="TableParagraph"/>
              <w:spacing w:line="300" w:lineRule="exact"/>
              <w:rPr>
                <w:b/>
                <w:sz w:val="28"/>
              </w:rPr>
            </w:pPr>
            <w:r>
              <w:rPr>
                <w:b/>
                <w:sz w:val="28"/>
              </w:rPr>
              <w:t>Equity to Net Loans</w:t>
            </w:r>
          </w:p>
        </w:tc>
        <w:tc>
          <w:tcPr>
            <w:tcW w:w="1167" w:type="dxa"/>
          </w:tcPr>
          <w:p>
            <w:pPr>
              <w:pStyle w:val="TableParagraph"/>
              <w:spacing w:line="300" w:lineRule="exact"/>
              <w:ind w:left="0" w:right="89"/>
              <w:jc w:val="right"/>
              <w:rPr>
                <w:sz w:val="28"/>
              </w:rPr>
            </w:pPr>
            <w:r>
              <w:rPr>
                <w:w w:val="95"/>
                <w:sz w:val="28"/>
              </w:rPr>
              <w:t>0.152</w:t>
            </w:r>
          </w:p>
        </w:tc>
        <w:tc>
          <w:tcPr>
            <w:tcW w:w="1172" w:type="dxa"/>
          </w:tcPr>
          <w:p>
            <w:pPr>
              <w:pStyle w:val="TableParagraph"/>
              <w:spacing w:line="300" w:lineRule="exact"/>
              <w:ind w:left="0" w:right="90"/>
              <w:jc w:val="right"/>
              <w:rPr>
                <w:sz w:val="28"/>
              </w:rPr>
            </w:pPr>
            <w:r>
              <w:rPr>
                <w:w w:val="95"/>
                <w:sz w:val="28"/>
              </w:rPr>
              <w:t>0.128</w:t>
            </w:r>
          </w:p>
        </w:tc>
        <w:tc>
          <w:tcPr>
            <w:tcW w:w="1056" w:type="dxa"/>
          </w:tcPr>
          <w:p>
            <w:pPr>
              <w:pStyle w:val="TableParagraph"/>
              <w:spacing w:line="300" w:lineRule="exact"/>
              <w:ind w:left="0" w:right="94"/>
              <w:jc w:val="right"/>
              <w:rPr>
                <w:sz w:val="28"/>
              </w:rPr>
            </w:pPr>
            <w:r>
              <w:rPr>
                <w:w w:val="95"/>
                <w:sz w:val="28"/>
              </w:rPr>
              <w:t>0.112</w:t>
            </w:r>
          </w:p>
        </w:tc>
        <w:tc>
          <w:tcPr>
            <w:tcW w:w="1196" w:type="dxa"/>
          </w:tcPr>
          <w:p>
            <w:pPr>
              <w:pStyle w:val="TableParagraph"/>
              <w:spacing w:line="300" w:lineRule="exact"/>
              <w:ind w:left="0" w:right="90"/>
              <w:jc w:val="right"/>
              <w:rPr>
                <w:sz w:val="28"/>
              </w:rPr>
            </w:pPr>
            <w:r>
              <w:rPr>
                <w:w w:val="95"/>
                <w:sz w:val="28"/>
              </w:rPr>
              <w:t>0.105</w:t>
            </w:r>
          </w:p>
        </w:tc>
        <w:tc>
          <w:tcPr>
            <w:tcW w:w="951" w:type="dxa"/>
          </w:tcPr>
          <w:p>
            <w:pPr>
              <w:pStyle w:val="TableParagraph"/>
              <w:spacing w:line="300" w:lineRule="exact"/>
              <w:ind w:left="215"/>
              <w:rPr>
                <w:sz w:val="28"/>
              </w:rPr>
            </w:pPr>
            <w:r>
              <w:rPr>
                <w:sz w:val="28"/>
              </w:rPr>
              <w:t>0.096</w:t>
            </w:r>
          </w:p>
        </w:tc>
      </w:tr>
    </w:tbl>
    <w:p>
      <w:pPr>
        <w:pStyle w:val="BodyText"/>
        <w:spacing w:before="2"/>
        <w:rPr>
          <w:b/>
          <w:sz w:val="35"/>
        </w:rPr>
      </w:pPr>
    </w:p>
    <w:p>
      <w:pPr>
        <w:pStyle w:val="BodyText"/>
        <w:spacing w:line="360" w:lineRule="auto"/>
        <w:ind w:left="340" w:right="130"/>
        <w:jc w:val="both"/>
      </w:pPr>
      <w:r>
        <w:rPr>
          <w:b/>
        </w:rPr>
        <w:t>Interpretation:</w:t>
      </w:r>
      <w:r>
        <w:rPr>
          <w:b/>
          <w:spacing w:val="-7"/>
        </w:rPr>
        <w:t> </w:t>
      </w:r>
      <w:r>
        <w:rPr/>
        <w:t>Credit</w:t>
      </w:r>
      <w:r>
        <w:rPr>
          <w:spacing w:val="-3"/>
        </w:rPr>
        <w:t> </w:t>
      </w:r>
      <w:r>
        <w:rPr/>
        <w:t>risk</w:t>
      </w:r>
      <w:r>
        <w:rPr>
          <w:spacing w:val="-6"/>
        </w:rPr>
        <w:t> </w:t>
      </w:r>
      <w:r>
        <w:rPr>
          <w:spacing w:val="-3"/>
        </w:rPr>
        <w:t>is</w:t>
      </w:r>
      <w:r>
        <w:rPr>
          <w:spacing w:val="-7"/>
        </w:rPr>
        <w:t> </w:t>
      </w:r>
      <w:r>
        <w:rPr/>
        <w:t>calculated</w:t>
      </w:r>
      <w:r>
        <w:rPr>
          <w:spacing w:val="-8"/>
        </w:rPr>
        <w:t> </w:t>
      </w:r>
      <w:r>
        <w:rPr/>
        <w:t>on</w:t>
      </w:r>
      <w:r>
        <w:rPr>
          <w:spacing w:val="-14"/>
        </w:rPr>
        <w:t> </w:t>
      </w:r>
      <w:r>
        <w:rPr/>
        <w:t>the</w:t>
      </w:r>
      <w:r>
        <w:rPr>
          <w:spacing w:val="-10"/>
        </w:rPr>
        <w:t> </w:t>
      </w:r>
      <w:r>
        <w:rPr/>
        <w:t>basis</w:t>
      </w:r>
      <w:r>
        <w:rPr>
          <w:spacing w:val="-12"/>
        </w:rPr>
        <w:t> </w:t>
      </w:r>
      <w:r>
        <w:rPr>
          <w:spacing w:val="4"/>
        </w:rPr>
        <w:t>of</w:t>
      </w:r>
      <w:r>
        <w:rPr>
          <w:spacing w:val="-18"/>
        </w:rPr>
        <w:t> </w:t>
      </w:r>
      <w:r>
        <w:rPr/>
        <w:t>the</w:t>
      </w:r>
      <w:r>
        <w:rPr>
          <w:spacing w:val="-10"/>
        </w:rPr>
        <w:t> </w:t>
      </w:r>
      <w:r>
        <w:rPr/>
        <w:t>overall</w:t>
      </w:r>
      <w:r>
        <w:rPr>
          <w:spacing w:val="-13"/>
        </w:rPr>
        <w:t> </w:t>
      </w:r>
      <w:r>
        <w:rPr/>
        <w:t>ability</w:t>
      </w:r>
      <w:r>
        <w:rPr>
          <w:spacing w:val="-18"/>
        </w:rPr>
        <w:t> </w:t>
      </w:r>
      <w:r>
        <w:rPr/>
        <w:t>of</w:t>
      </w:r>
      <w:r>
        <w:rPr>
          <w:spacing w:val="-18"/>
        </w:rPr>
        <w:t> </w:t>
      </w:r>
      <w:r>
        <w:rPr/>
        <w:t>the</w:t>
      </w:r>
      <w:r>
        <w:rPr>
          <w:spacing w:val="-6"/>
        </w:rPr>
        <w:t> </w:t>
      </w:r>
      <w:r>
        <w:rPr/>
        <w:t>buyer</w:t>
      </w:r>
      <w:r>
        <w:rPr>
          <w:spacing w:val="-8"/>
        </w:rPr>
        <w:t> </w:t>
      </w:r>
      <w:r>
        <w:rPr/>
        <w:t>to</w:t>
      </w:r>
      <w:r>
        <w:rPr>
          <w:spacing w:val="-5"/>
        </w:rPr>
        <w:t> </w:t>
      </w:r>
      <w:r>
        <w:rPr/>
        <w:t>repay</w:t>
      </w:r>
      <w:r>
        <w:rPr>
          <w:spacing w:val="-10"/>
        </w:rPr>
        <w:t> </w:t>
      </w:r>
      <w:r>
        <w:rPr/>
        <w:t>the loan.</w:t>
      </w:r>
      <w:r>
        <w:rPr>
          <w:spacing w:val="-1"/>
        </w:rPr>
        <w:t> </w:t>
      </w:r>
      <w:r>
        <w:rPr/>
        <w:t>The</w:t>
      </w:r>
      <w:r>
        <w:rPr>
          <w:spacing w:val="-5"/>
        </w:rPr>
        <w:t> </w:t>
      </w:r>
      <w:r>
        <w:rPr/>
        <w:t>Equity</w:t>
      </w:r>
      <w:r>
        <w:rPr>
          <w:spacing w:val="-13"/>
        </w:rPr>
        <w:t> </w:t>
      </w:r>
      <w:r>
        <w:rPr/>
        <w:t>Ratio</w:t>
      </w:r>
      <w:r>
        <w:rPr>
          <w:spacing w:val="6"/>
        </w:rPr>
        <w:t> </w:t>
      </w:r>
      <w:r>
        <w:rPr>
          <w:spacing w:val="-5"/>
        </w:rPr>
        <w:t>is</w:t>
      </w:r>
      <w:r>
        <w:rPr>
          <w:spacing w:val="-1"/>
        </w:rPr>
        <w:t> </w:t>
      </w:r>
      <w:r>
        <w:rPr/>
        <w:t>a good</w:t>
      </w:r>
      <w:r>
        <w:rPr>
          <w:spacing w:val="-3"/>
        </w:rPr>
        <w:t> </w:t>
      </w:r>
      <w:r>
        <w:rPr/>
        <w:t>indicator</w:t>
      </w:r>
      <w:r>
        <w:rPr>
          <w:spacing w:val="-6"/>
        </w:rPr>
        <w:t> </w:t>
      </w:r>
      <w:r>
        <w:rPr/>
        <w:t>of</w:t>
      </w:r>
      <w:r>
        <w:rPr>
          <w:spacing w:val="-12"/>
        </w:rPr>
        <w:t> </w:t>
      </w:r>
      <w:r>
        <w:rPr/>
        <w:t>the</w:t>
      </w:r>
      <w:r>
        <w:rPr>
          <w:spacing w:val="1"/>
        </w:rPr>
        <w:t> </w:t>
      </w:r>
      <w:r>
        <w:rPr/>
        <w:t>level</w:t>
      </w:r>
      <w:r>
        <w:rPr>
          <w:spacing w:val="-4"/>
        </w:rPr>
        <w:t> </w:t>
      </w:r>
      <w:r>
        <w:rPr/>
        <w:t>of</w:t>
      </w:r>
      <w:r>
        <w:rPr>
          <w:spacing w:val="-6"/>
        </w:rPr>
        <w:t> </w:t>
      </w:r>
      <w:r>
        <w:rPr/>
        <w:t>leverage</w:t>
      </w:r>
      <w:r>
        <w:rPr>
          <w:spacing w:val="-4"/>
        </w:rPr>
        <w:t> </w:t>
      </w:r>
      <w:r>
        <w:rPr/>
        <w:t>used</w:t>
      </w:r>
      <w:r>
        <w:rPr>
          <w:spacing w:val="5"/>
        </w:rPr>
        <w:t> </w:t>
      </w:r>
      <w:r>
        <w:rPr/>
        <w:t>by</w:t>
      </w:r>
      <w:r>
        <w:rPr>
          <w:spacing w:val="-12"/>
        </w:rPr>
        <w:t> </w:t>
      </w:r>
      <w:r>
        <w:rPr/>
        <w:t>a</w:t>
      </w:r>
      <w:r>
        <w:rPr>
          <w:spacing w:val="-1"/>
        </w:rPr>
        <w:t> </w:t>
      </w:r>
      <w:r>
        <w:rPr/>
        <w:t>company.</w:t>
      </w:r>
      <w:r>
        <w:rPr>
          <w:spacing w:val="-1"/>
        </w:rPr>
        <w:t> </w:t>
      </w:r>
      <w:r>
        <w:rPr/>
        <w:t>The Equity Ratio measures the proportion of the total assets that are financed by stockholders, as opposed to creditors.</w:t>
      </w:r>
      <w:r>
        <w:rPr>
          <w:spacing w:val="-5"/>
        </w:rPr>
        <w:t> </w:t>
      </w:r>
      <w:r>
        <w:rPr/>
        <w:t>Equity</w:t>
      </w:r>
      <w:r>
        <w:rPr>
          <w:spacing w:val="-23"/>
        </w:rPr>
        <w:t> </w:t>
      </w:r>
      <w:r>
        <w:rPr/>
        <w:t>to</w:t>
      </w:r>
      <w:r>
        <w:rPr>
          <w:spacing w:val="2"/>
        </w:rPr>
        <w:t> </w:t>
      </w:r>
      <w:r>
        <w:rPr/>
        <w:t>Assets</w:t>
      </w:r>
      <w:r>
        <w:rPr>
          <w:spacing w:val="-6"/>
        </w:rPr>
        <w:t> </w:t>
      </w:r>
      <w:r>
        <w:rPr/>
        <w:t>of</w:t>
      </w:r>
      <w:r>
        <w:rPr>
          <w:spacing w:val="-16"/>
        </w:rPr>
        <w:t> </w:t>
      </w:r>
      <w:r>
        <w:rPr/>
        <w:t>the</w:t>
      </w:r>
      <w:r>
        <w:rPr>
          <w:spacing w:val="-4"/>
        </w:rPr>
        <w:t> </w:t>
      </w:r>
      <w:r>
        <w:rPr/>
        <w:t>PBL</w:t>
      </w:r>
      <w:r>
        <w:rPr>
          <w:spacing w:val="-10"/>
        </w:rPr>
        <w:t> </w:t>
      </w:r>
      <w:r>
        <w:rPr/>
        <w:t>the </w:t>
      </w:r>
      <w:r>
        <w:rPr>
          <w:spacing w:val="-3"/>
        </w:rPr>
        <w:t>year</w:t>
      </w:r>
      <w:r>
        <w:rPr>
          <w:spacing w:val="-7"/>
        </w:rPr>
        <w:t> </w:t>
      </w:r>
      <w:r>
        <w:rPr>
          <w:spacing w:val="4"/>
        </w:rPr>
        <w:t>of</w:t>
      </w:r>
      <w:r>
        <w:rPr>
          <w:spacing w:val="-16"/>
        </w:rPr>
        <w:t> </w:t>
      </w:r>
      <w:r>
        <w:rPr/>
        <w:t>2015</w:t>
      </w:r>
      <w:r>
        <w:rPr>
          <w:spacing w:val="-9"/>
        </w:rPr>
        <w:t> </w:t>
      </w:r>
      <w:r>
        <w:rPr/>
        <w:t>was</w:t>
      </w:r>
      <w:r>
        <w:rPr>
          <w:spacing w:val="-5"/>
        </w:rPr>
        <w:t> </w:t>
      </w:r>
      <w:r>
        <w:rPr/>
        <w:t>0.089</w:t>
      </w:r>
      <w:r>
        <w:rPr>
          <w:spacing w:val="-4"/>
        </w:rPr>
        <w:t> </w:t>
      </w:r>
      <w:r>
        <w:rPr/>
        <w:t>and</w:t>
      </w:r>
      <w:r>
        <w:rPr>
          <w:spacing w:val="-3"/>
        </w:rPr>
        <w:t> it’s</w:t>
      </w:r>
      <w:r>
        <w:rPr>
          <w:spacing w:val="-10"/>
        </w:rPr>
        <w:t> </w:t>
      </w:r>
      <w:r>
        <w:rPr/>
        <w:t>gradually</w:t>
      </w:r>
      <w:r>
        <w:rPr>
          <w:spacing w:val="-4"/>
        </w:rPr>
        <w:t> </w:t>
      </w:r>
      <w:r>
        <w:rPr/>
        <w:t>decreased</w:t>
      </w:r>
      <w:r>
        <w:rPr>
          <w:spacing w:val="2"/>
        </w:rPr>
        <w:t> </w:t>
      </w:r>
      <w:r>
        <w:rPr/>
        <w:t>and 2019 </w:t>
      </w:r>
      <w:r>
        <w:rPr>
          <w:spacing w:val="-5"/>
        </w:rPr>
        <w:t>is </w:t>
      </w:r>
      <w:r>
        <w:rPr/>
        <w:t>0.072. Equity to </w:t>
      </w:r>
      <w:r>
        <w:rPr>
          <w:spacing w:val="-3"/>
        </w:rPr>
        <w:t>Net </w:t>
      </w:r>
      <w:r>
        <w:rPr/>
        <w:t>Loans 2015 </w:t>
      </w:r>
      <w:r>
        <w:rPr>
          <w:spacing w:val="-5"/>
        </w:rPr>
        <w:t>is </w:t>
      </w:r>
      <w:r>
        <w:rPr/>
        <w:t>0.152 </w:t>
      </w:r>
      <w:r>
        <w:rPr>
          <w:spacing w:val="-4"/>
        </w:rPr>
        <w:t>and </w:t>
      </w:r>
      <w:r>
        <w:rPr/>
        <w:t>the </w:t>
      </w:r>
      <w:r>
        <w:rPr>
          <w:spacing w:val="-3"/>
        </w:rPr>
        <w:t>last </w:t>
      </w:r>
      <w:r>
        <w:rPr/>
        <w:t>Four Years </w:t>
      </w:r>
      <w:r>
        <w:rPr>
          <w:spacing w:val="-3"/>
        </w:rPr>
        <w:t>it’s </w:t>
      </w:r>
      <w:r>
        <w:rPr/>
        <w:t>gradually</w:t>
      </w:r>
      <w:r>
        <w:rPr>
          <w:spacing w:val="12"/>
        </w:rPr>
        <w:t> </w:t>
      </w:r>
      <w:r>
        <w:rPr/>
        <w:t>decreased.</w:t>
      </w:r>
    </w:p>
    <w:p>
      <w:pPr>
        <w:pStyle w:val="BodyText"/>
        <w:spacing w:before="3"/>
        <w:rPr>
          <w:sz w:val="36"/>
        </w:rPr>
      </w:pPr>
    </w:p>
    <w:p>
      <w:pPr>
        <w:pStyle w:val="Heading3"/>
        <w:spacing w:before="1"/>
        <w:jc w:val="both"/>
      </w:pPr>
      <w:r>
        <w:rPr/>
        <w:t>Capital Adequacy Ratio</w:t>
      </w:r>
    </w:p>
    <w:p>
      <w:pPr>
        <w:pStyle w:val="BodyText"/>
        <w:spacing w:before="6"/>
        <w:rPr>
          <w:b/>
          <w:sz w:val="12"/>
        </w:rPr>
      </w:pPr>
    </w:p>
    <w:tbl>
      <w:tblPr>
        <w:tblW w:w="0" w:type="auto"/>
        <w:jc w:val="left"/>
        <w:tblInd w:w="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8"/>
        <w:gridCol w:w="1167"/>
        <w:gridCol w:w="1172"/>
        <w:gridCol w:w="1056"/>
        <w:gridCol w:w="1196"/>
        <w:gridCol w:w="1105"/>
      </w:tblGrid>
      <w:tr>
        <w:trPr>
          <w:trHeight w:val="432" w:hRule="atLeast"/>
        </w:trPr>
        <w:tc>
          <w:tcPr>
            <w:tcW w:w="3328" w:type="dxa"/>
            <w:shd w:val="clear" w:color="auto" w:fill="5B9BD3"/>
          </w:tcPr>
          <w:p>
            <w:pPr>
              <w:pStyle w:val="TableParagraph"/>
              <w:spacing w:line="412" w:lineRule="exact"/>
              <w:ind w:left="878"/>
              <w:rPr>
                <w:b/>
                <w:sz w:val="36"/>
              </w:rPr>
            </w:pPr>
            <w:r>
              <w:rPr>
                <w:b/>
                <w:sz w:val="36"/>
              </w:rPr>
              <w:t>Particular</w:t>
            </w:r>
          </w:p>
        </w:tc>
        <w:tc>
          <w:tcPr>
            <w:tcW w:w="1167" w:type="dxa"/>
            <w:shd w:val="clear" w:color="auto" w:fill="5B9BD3"/>
          </w:tcPr>
          <w:p>
            <w:pPr>
              <w:pStyle w:val="TableParagraph"/>
              <w:spacing w:line="412" w:lineRule="exact"/>
              <w:ind w:left="0" w:right="212"/>
              <w:jc w:val="right"/>
              <w:rPr>
                <w:b/>
                <w:sz w:val="36"/>
              </w:rPr>
            </w:pPr>
            <w:r>
              <w:rPr>
                <w:b/>
                <w:sz w:val="36"/>
              </w:rPr>
              <w:t>2015</w:t>
            </w:r>
          </w:p>
        </w:tc>
        <w:tc>
          <w:tcPr>
            <w:tcW w:w="1172" w:type="dxa"/>
            <w:shd w:val="clear" w:color="auto" w:fill="5B9BD3"/>
          </w:tcPr>
          <w:p>
            <w:pPr>
              <w:pStyle w:val="TableParagraph"/>
              <w:spacing w:line="412" w:lineRule="exact"/>
              <w:ind w:left="230"/>
              <w:rPr>
                <w:b/>
                <w:sz w:val="36"/>
              </w:rPr>
            </w:pPr>
            <w:r>
              <w:rPr>
                <w:b/>
                <w:sz w:val="36"/>
              </w:rPr>
              <w:t>2016</w:t>
            </w:r>
          </w:p>
        </w:tc>
        <w:tc>
          <w:tcPr>
            <w:tcW w:w="1056" w:type="dxa"/>
            <w:shd w:val="clear" w:color="auto" w:fill="5B9BD3"/>
          </w:tcPr>
          <w:p>
            <w:pPr>
              <w:pStyle w:val="TableParagraph"/>
              <w:spacing w:line="412" w:lineRule="exact"/>
              <w:ind w:left="172"/>
              <w:rPr>
                <w:b/>
                <w:sz w:val="36"/>
              </w:rPr>
            </w:pPr>
            <w:r>
              <w:rPr>
                <w:b/>
                <w:sz w:val="36"/>
              </w:rPr>
              <w:t>2017</w:t>
            </w:r>
          </w:p>
        </w:tc>
        <w:tc>
          <w:tcPr>
            <w:tcW w:w="1196" w:type="dxa"/>
            <w:shd w:val="clear" w:color="auto" w:fill="5B9BD3"/>
          </w:tcPr>
          <w:p>
            <w:pPr>
              <w:pStyle w:val="TableParagraph"/>
              <w:spacing w:line="412" w:lineRule="exact"/>
              <w:ind w:left="0" w:right="222"/>
              <w:jc w:val="right"/>
              <w:rPr>
                <w:b/>
                <w:sz w:val="36"/>
              </w:rPr>
            </w:pPr>
            <w:r>
              <w:rPr>
                <w:b/>
                <w:sz w:val="36"/>
              </w:rPr>
              <w:t>2018</w:t>
            </w:r>
          </w:p>
        </w:tc>
        <w:tc>
          <w:tcPr>
            <w:tcW w:w="1105" w:type="dxa"/>
            <w:shd w:val="clear" w:color="auto" w:fill="5B9BD3"/>
          </w:tcPr>
          <w:p>
            <w:pPr>
              <w:pStyle w:val="TableParagraph"/>
              <w:spacing w:line="412" w:lineRule="exact"/>
              <w:ind w:left="0" w:right="184"/>
              <w:jc w:val="right"/>
              <w:rPr>
                <w:b/>
                <w:sz w:val="36"/>
              </w:rPr>
            </w:pPr>
            <w:r>
              <w:rPr>
                <w:b/>
                <w:sz w:val="36"/>
              </w:rPr>
              <w:t>2019</w:t>
            </w:r>
          </w:p>
        </w:tc>
      </w:tr>
      <w:tr>
        <w:trPr>
          <w:trHeight w:val="321" w:hRule="atLeast"/>
        </w:trPr>
        <w:tc>
          <w:tcPr>
            <w:tcW w:w="3328" w:type="dxa"/>
            <w:tcBorders>
              <w:left w:val="single" w:sz="4" w:space="0" w:color="9CC2E3"/>
              <w:bottom w:val="single" w:sz="4" w:space="0" w:color="9CC2E3"/>
              <w:right w:val="single" w:sz="4" w:space="0" w:color="9CC2E3"/>
            </w:tcBorders>
            <w:shd w:val="clear" w:color="auto" w:fill="DEEAF6"/>
          </w:tcPr>
          <w:p>
            <w:pPr>
              <w:pStyle w:val="TableParagraph"/>
              <w:spacing w:line="301" w:lineRule="exact"/>
              <w:rPr>
                <w:b/>
                <w:sz w:val="28"/>
              </w:rPr>
            </w:pPr>
            <w:r>
              <w:rPr>
                <w:b/>
                <w:sz w:val="28"/>
              </w:rPr>
              <w:t>Capital Adequacy Ratio</w:t>
            </w:r>
          </w:p>
        </w:tc>
        <w:tc>
          <w:tcPr>
            <w:tcW w:w="1167" w:type="dxa"/>
            <w:tcBorders>
              <w:left w:val="single" w:sz="4" w:space="0" w:color="9CC2E3"/>
              <w:bottom w:val="single" w:sz="4" w:space="0" w:color="9CC2E3"/>
              <w:right w:val="single" w:sz="4" w:space="0" w:color="9CC2E3"/>
            </w:tcBorders>
            <w:shd w:val="clear" w:color="auto" w:fill="DEEAF6"/>
          </w:tcPr>
          <w:p>
            <w:pPr>
              <w:pStyle w:val="TableParagraph"/>
              <w:spacing w:line="301" w:lineRule="exact"/>
              <w:ind w:left="0" w:right="179"/>
              <w:jc w:val="right"/>
              <w:rPr>
                <w:sz w:val="28"/>
              </w:rPr>
            </w:pPr>
            <w:r>
              <w:rPr>
                <w:w w:val="95"/>
                <w:sz w:val="28"/>
              </w:rPr>
              <w:t>11.30%</w:t>
            </w:r>
          </w:p>
        </w:tc>
        <w:tc>
          <w:tcPr>
            <w:tcW w:w="1172" w:type="dxa"/>
            <w:tcBorders>
              <w:left w:val="single" w:sz="4" w:space="0" w:color="9CC2E3"/>
              <w:bottom w:val="single" w:sz="4" w:space="0" w:color="9CC2E3"/>
              <w:right w:val="single" w:sz="4" w:space="0" w:color="9CC2E3"/>
            </w:tcBorders>
            <w:shd w:val="clear" w:color="auto" w:fill="DEEAF6"/>
          </w:tcPr>
          <w:p>
            <w:pPr>
              <w:pStyle w:val="TableParagraph"/>
              <w:spacing w:line="301" w:lineRule="exact"/>
              <w:ind w:left="109"/>
              <w:rPr>
                <w:sz w:val="28"/>
              </w:rPr>
            </w:pPr>
            <w:r>
              <w:rPr>
                <w:sz w:val="28"/>
              </w:rPr>
              <w:t>9.21%</w:t>
            </w:r>
          </w:p>
        </w:tc>
        <w:tc>
          <w:tcPr>
            <w:tcW w:w="1056" w:type="dxa"/>
            <w:tcBorders>
              <w:left w:val="single" w:sz="4" w:space="0" w:color="9CC2E3"/>
              <w:bottom w:val="single" w:sz="4" w:space="0" w:color="9CC2E3"/>
              <w:right w:val="single" w:sz="4" w:space="0" w:color="9CC2E3"/>
            </w:tcBorders>
            <w:shd w:val="clear" w:color="auto" w:fill="DEEAF6"/>
          </w:tcPr>
          <w:p>
            <w:pPr>
              <w:pStyle w:val="TableParagraph"/>
              <w:spacing w:line="301" w:lineRule="exact"/>
              <w:ind w:left="109"/>
              <w:rPr>
                <w:sz w:val="28"/>
              </w:rPr>
            </w:pPr>
            <w:r>
              <w:rPr>
                <w:sz w:val="28"/>
              </w:rPr>
              <w:t>9.01%</w:t>
            </w:r>
          </w:p>
        </w:tc>
        <w:tc>
          <w:tcPr>
            <w:tcW w:w="1196" w:type="dxa"/>
            <w:tcBorders>
              <w:left w:val="single" w:sz="4" w:space="0" w:color="9CC2E3"/>
              <w:bottom w:val="single" w:sz="4" w:space="0" w:color="9CC2E3"/>
              <w:right w:val="single" w:sz="4" w:space="0" w:color="9CC2E3"/>
            </w:tcBorders>
            <w:shd w:val="clear" w:color="auto" w:fill="DEEAF6"/>
          </w:tcPr>
          <w:p>
            <w:pPr>
              <w:pStyle w:val="TableParagraph"/>
              <w:spacing w:line="301" w:lineRule="exact"/>
              <w:ind w:left="0" w:right="208"/>
              <w:jc w:val="right"/>
              <w:rPr>
                <w:sz w:val="28"/>
              </w:rPr>
            </w:pPr>
            <w:r>
              <w:rPr>
                <w:w w:val="95"/>
                <w:sz w:val="28"/>
              </w:rPr>
              <w:t>12.38%</w:t>
            </w:r>
          </w:p>
        </w:tc>
        <w:tc>
          <w:tcPr>
            <w:tcW w:w="1105" w:type="dxa"/>
            <w:tcBorders>
              <w:left w:val="single" w:sz="4" w:space="0" w:color="9CC2E3"/>
              <w:bottom w:val="single" w:sz="4" w:space="0" w:color="9CC2E3"/>
              <w:right w:val="single" w:sz="4" w:space="0" w:color="9CC2E3"/>
            </w:tcBorders>
            <w:shd w:val="clear" w:color="auto" w:fill="DEEAF6"/>
          </w:tcPr>
          <w:p>
            <w:pPr>
              <w:pStyle w:val="TableParagraph"/>
              <w:spacing w:line="301" w:lineRule="exact"/>
              <w:ind w:left="0" w:right="118"/>
              <w:jc w:val="right"/>
              <w:rPr>
                <w:sz w:val="28"/>
              </w:rPr>
            </w:pPr>
            <w:r>
              <w:rPr>
                <w:w w:val="95"/>
                <w:sz w:val="28"/>
              </w:rPr>
              <w:t>12.12%</w:t>
            </w:r>
          </w:p>
        </w:tc>
      </w:tr>
    </w:tbl>
    <w:p>
      <w:pPr>
        <w:spacing w:after="0" w:line="301" w:lineRule="exact"/>
        <w:jc w:val="right"/>
        <w:rPr>
          <w:sz w:val="28"/>
        </w:rPr>
        <w:sectPr>
          <w:pgSz w:w="12240" w:h="15840"/>
          <w:pgMar w:header="0" w:footer="1039" w:top="1440" w:bottom="1220" w:left="1100" w:right="1300"/>
        </w:sectPr>
      </w:pPr>
    </w:p>
    <w:p>
      <w:pPr>
        <w:pStyle w:val="BodyText"/>
        <w:spacing w:line="360" w:lineRule="auto" w:before="72"/>
        <w:ind w:left="340" w:right="139"/>
        <w:jc w:val="both"/>
      </w:pPr>
      <w:r>
        <w:rPr>
          <w:b/>
        </w:rPr>
        <w:t>Interpretation: </w:t>
      </w:r>
      <w:r>
        <w:rPr/>
        <w:t>Capital Adequacy Ratio (CAR) </w:t>
      </w:r>
      <w:r>
        <w:rPr>
          <w:spacing w:val="-5"/>
        </w:rPr>
        <w:t>is </w:t>
      </w:r>
      <w:r>
        <w:rPr/>
        <w:t>a measure of a bank's available capital expressed</w:t>
      </w:r>
      <w:r>
        <w:rPr>
          <w:spacing w:val="-20"/>
        </w:rPr>
        <w:t> </w:t>
      </w:r>
      <w:r>
        <w:rPr/>
        <w:t>as</w:t>
      </w:r>
      <w:r>
        <w:rPr>
          <w:spacing w:val="-23"/>
        </w:rPr>
        <w:t> </w:t>
      </w:r>
      <w:r>
        <w:rPr/>
        <w:t>a</w:t>
      </w:r>
      <w:r>
        <w:rPr>
          <w:spacing w:val="-22"/>
        </w:rPr>
        <w:t> </w:t>
      </w:r>
      <w:r>
        <w:rPr/>
        <w:t>percentage</w:t>
      </w:r>
      <w:r>
        <w:rPr>
          <w:spacing w:val="-25"/>
        </w:rPr>
        <w:t> </w:t>
      </w:r>
      <w:r>
        <w:rPr/>
        <w:t>of</w:t>
      </w:r>
      <w:r>
        <w:rPr>
          <w:spacing w:val="-29"/>
        </w:rPr>
        <w:t> </w:t>
      </w:r>
      <w:r>
        <w:rPr/>
        <w:t>a</w:t>
      </w:r>
      <w:r>
        <w:rPr>
          <w:spacing w:val="-21"/>
        </w:rPr>
        <w:t> </w:t>
      </w:r>
      <w:r>
        <w:rPr/>
        <w:t>bank's</w:t>
      </w:r>
      <w:r>
        <w:rPr>
          <w:spacing w:val="-23"/>
        </w:rPr>
        <w:t> </w:t>
      </w:r>
      <w:r>
        <w:rPr/>
        <w:t>risk-weighted</w:t>
      </w:r>
      <w:r>
        <w:rPr>
          <w:spacing w:val="-25"/>
        </w:rPr>
        <w:t> </w:t>
      </w:r>
      <w:r>
        <w:rPr/>
        <w:t>credit</w:t>
      </w:r>
      <w:r>
        <w:rPr>
          <w:spacing w:val="-15"/>
        </w:rPr>
        <w:t> </w:t>
      </w:r>
      <w:r>
        <w:rPr/>
        <w:t>exposures.</w:t>
      </w:r>
      <w:r>
        <w:rPr>
          <w:spacing w:val="-27"/>
        </w:rPr>
        <w:t> </w:t>
      </w:r>
      <w:r>
        <w:rPr/>
        <w:t>The</w:t>
      </w:r>
      <w:r>
        <w:rPr>
          <w:spacing w:val="-22"/>
        </w:rPr>
        <w:t> </w:t>
      </w:r>
      <w:r>
        <w:rPr/>
        <w:t>minimum</w:t>
      </w:r>
      <w:r>
        <w:rPr>
          <w:spacing w:val="-28"/>
        </w:rPr>
        <w:t> </w:t>
      </w:r>
      <w:r>
        <w:rPr/>
        <w:t>acceptable</w:t>
      </w:r>
      <w:r>
        <w:rPr>
          <w:spacing w:val="-18"/>
        </w:rPr>
        <w:t> </w:t>
      </w:r>
      <w:r>
        <w:rPr/>
        <w:t>ratio </w:t>
      </w:r>
      <w:r>
        <w:rPr>
          <w:spacing w:val="-3"/>
        </w:rPr>
        <w:t>is</w:t>
      </w:r>
      <w:r>
        <w:rPr>
          <w:spacing w:val="-6"/>
        </w:rPr>
        <w:t> </w:t>
      </w:r>
      <w:r>
        <w:rPr/>
        <w:t>10%.</w:t>
      </w:r>
      <w:r>
        <w:rPr>
          <w:spacing w:val="-3"/>
        </w:rPr>
        <w:t> </w:t>
      </w:r>
      <w:r>
        <w:rPr/>
        <w:t>In</w:t>
      </w:r>
      <w:r>
        <w:rPr>
          <w:spacing w:val="-8"/>
        </w:rPr>
        <w:t> </w:t>
      </w:r>
      <w:r>
        <w:rPr/>
        <w:t>2015</w:t>
      </w:r>
      <w:r>
        <w:rPr>
          <w:spacing w:val="-4"/>
        </w:rPr>
        <w:t> </w:t>
      </w:r>
      <w:r>
        <w:rPr/>
        <w:t>the</w:t>
      </w:r>
      <w:r>
        <w:rPr>
          <w:spacing w:val="-6"/>
        </w:rPr>
        <w:t> </w:t>
      </w:r>
      <w:r>
        <w:rPr/>
        <w:t>CAR</w:t>
      </w:r>
      <w:r>
        <w:rPr>
          <w:spacing w:val="-5"/>
        </w:rPr>
        <w:t> </w:t>
      </w:r>
      <w:r>
        <w:rPr/>
        <w:t>was</w:t>
      </w:r>
      <w:r>
        <w:rPr>
          <w:spacing w:val="-6"/>
        </w:rPr>
        <w:t> </w:t>
      </w:r>
      <w:r>
        <w:rPr/>
        <w:t>11.30%</w:t>
      </w:r>
      <w:r>
        <w:rPr>
          <w:spacing w:val="-3"/>
        </w:rPr>
        <w:t> </w:t>
      </w:r>
      <w:r>
        <w:rPr/>
        <w:t>this</w:t>
      </w:r>
      <w:r>
        <w:rPr>
          <w:spacing w:val="-1"/>
        </w:rPr>
        <w:t> </w:t>
      </w:r>
      <w:r>
        <w:rPr/>
        <w:t>year</w:t>
      </w:r>
      <w:r>
        <w:rPr>
          <w:spacing w:val="-2"/>
        </w:rPr>
        <w:t> </w:t>
      </w:r>
      <w:r>
        <w:rPr/>
        <w:t>was</w:t>
      </w:r>
      <w:r>
        <w:rPr>
          <w:spacing w:val="-6"/>
        </w:rPr>
        <w:t> </w:t>
      </w:r>
      <w:r>
        <w:rPr/>
        <w:t>good</w:t>
      </w:r>
      <w:r>
        <w:rPr>
          <w:spacing w:val="-4"/>
        </w:rPr>
        <w:t> </w:t>
      </w:r>
      <w:r>
        <w:rPr/>
        <w:t>for</w:t>
      </w:r>
      <w:r>
        <w:rPr>
          <w:spacing w:val="-7"/>
        </w:rPr>
        <w:t> </w:t>
      </w:r>
      <w:r>
        <w:rPr/>
        <w:t>the</w:t>
      </w:r>
      <w:r>
        <w:rPr>
          <w:spacing w:val="-5"/>
        </w:rPr>
        <w:t> </w:t>
      </w:r>
      <w:r>
        <w:rPr/>
        <w:t>bank</w:t>
      </w:r>
      <w:r>
        <w:rPr>
          <w:spacing w:val="1"/>
        </w:rPr>
        <w:t> </w:t>
      </w:r>
      <w:r>
        <w:rPr/>
        <w:t>but</w:t>
      </w:r>
      <w:r>
        <w:rPr>
          <w:spacing w:val="1"/>
        </w:rPr>
        <w:t> </w:t>
      </w:r>
      <w:r>
        <w:rPr>
          <w:spacing w:val="-3"/>
        </w:rPr>
        <w:t>in</w:t>
      </w:r>
      <w:r>
        <w:rPr>
          <w:spacing w:val="-4"/>
        </w:rPr>
        <w:t> </w:t>
      </w:r>
      <w:r>
        <w:rPr/>
        <w:t>next</w:t>
      </w:r>
      <w:r>
        <w:rPr>
          <w:spacing w:val="1"/>
        </w:rPr>
        <w:t> </w:t>
      </w:r>
      <w:r>
        <w:rPr/>
        <w:t>two</w:t>
      </w:r>
      <w:r>
        <w:rPr>
          <w:spacing w:val="1"/>
        </w:rPr>
        <w:t> </w:t>
      </w:r>
      <w:r>
        <w:rPr>
          <w:spacing w:val="-3"/>
        </w:rPr>
        <w:t>years</w:t>
      </w:r>
      <w:r>
        <w:rPr>
          <w:spacing w:val="-1"/>
        </w:rPr>
        <w:t> </w:t>
      </w:r>
      <w:r>
        <w:rPr>
          <w:spacing w:val="-5"/>
        </w:rPr>
        <w:t>it</w:t>
      </w:r>
      <w:r>
        <w:rPr>
          <w:spacing w:val="1"/>
        </w:rPr>
        <w:t> </w:t>
      </w:r>
      <w:r>
        <w:rPr/>
        <w:t>was 9.21% &amp; 9.01% this </w:t>
      </w:r>
      <w:r>
        <w:rPr>
          <w:spacing w:val="-5"/>
        </w:rPr>
        <w:t>is </w:t>
      </w:r>
      <w:r>
        <w:rPr/>
        <w:t>not good for the bank. In 2018 and 2019 was 12.38% &amp; 12.12% so </w:t>
      </w:r>
      <w:r>
        <w:rPr>
          <w:spacing w:val="-3"/>
        </w:rPr>
        <w:t>it’s </w:t>
      </w:r>
      <w:r>
        <w:rPr/>
        <w:t>good sign for the</w:t>
      </w:r>
      <w:r>
        <w:rPr>
          <w:spacing w:val="-4"/>
        </w:rPr>
        <w:t> </w:t>
      </w:r>
      <w:r>
        <w:rPr/>
        <w:t>bank.</w:t>
      </w:r>
    </w:p>
    <w:p>
      <w:pPr>
        <w:pStyle w:val="BodyText"/>
        <w:spacing w:before="4"/>
      </w:pPr>
    </w:p>
    <w:p>
      <w:pPr>
        <w:pStyle w:val="Heading1"/>
        <w:numPr>
          <w:ilvl w:val="1"/>
          <w:numId w:val="15"/>
        </w:numPr>
        <w:tabs>
          <w:tab w:pos="825" w:val="left" w:leader="none"/>
        </w:tabs>
        <w:spacing w:line="240" w:lineRule="auto" w:before="0" w:after="0"/>
        <w:ind w:left="824" w:right="0" w:hanging="485"/>
        <w:jc w:val="left"/>
      </w:pPr>
      <w:r>
        <w:rPr/>
        <w:t>Financial Performance Analysis of City Bank</w:t>
      </w:r>
      <w:r>
        <w:rPr>
          <w:spacing w:val="-18"/>
        </w:rPr>
        <w:t> </w:t>
      </w:r>
      <w:r>
        <w:rPr/>
        <w:t>Limited</w:t>
      </w:r>
    </w:p>
    <w:p>
      <w:pPr>
        <w:pStyle w:val="Heading3"/>
        <w:numPr>
          <w:ilvl w:val="2"/>
          <w:numId w:val="15"/>
        </w:numPr>
        <w:tabs>
          <w:tab w:pos="883" w:val="left" w:leader="none"/>
        </w:tabs>
        <w:spacing w:line="240" w:lineRule="auto" w:before="278" w:after="0"/>
        <w:ind w:left="882" w:right="0" w:hanging="543"/>
        <w:jc w:val="left"/>
      </w:pPr>
      <w:r>
        <w:rPr/>
        <w:t>Return on</w:t>
      </w:r>
      <w:r>
        <w:rPr>
          <w:spacing w:val="3"/>
        </w:rPr>
        <w:t> </w:t>
      </w:r>
      <w:r>
        <w:rPr/>
        <w:t>Assets</w:t>
      </w:r>
    </w:p>
    <w:p>
      <w:pPr>
        <w:pStyle w:val="BodyText"/>
        <w:spacing w:line="360" w:lineRule="auto" w:before="132"/>
        <w:ind w:left="340"/>
      </w:pPr>
      <w:r>
        <w:rPr/>
        <w:t>Return on assets (ROA) is a financial ratio that shows the percentage of profit a company earns in relation to its overall resources.</w:t>
      </w:r>
    </w:p>
    <w:p>
      <w:pPr>
        <w:pStyle w:val="Heading3"/>
        <w:spacing w:before="8"/>
      </w:pPr>
      <w:r>
        <w:rPr/>
        <w:t>Formula: Net Income/Total Assets</w:t>
      </w:r>
    </w:p>
    <w:p>
      <w:pPr>
        <w:pStyle w:val="BodyText"/>
        <w:spacing w:before="2"/>
        <w:rPr>
          <w:b/>
          <w:sz w:val="12"/>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3"/>
        <w:gridCol w:w="1263"/>
        <w:gridCol w:w="1263"/>
        <w:gridCol w:w="1258"/>
        <w:gridCol w:w="1263"/>
        <w:gridCol w:w="1263"/>
      </w:tblGrid>
      <w:tr>
        <w:trPr>
          <w:trHeight w:val="412" w:hRule="atLeast"/>
        </w:trPr>
        <w:tc>
          <w:tcPr>
            <w:tcW w:w="1263" w:type="dxa"/>
          </w:tcPr>
          <w:p>
            <w:pPr>
              <w:pStyle w:val="TableParagraph"/>
              <w:spacing w:line="248" w:lineRule="exact" w:before="145"/>
              <w:rPr>
                <w:b/>
                <w:sz w:val="22"/>
              </w:rPr>
            </w:pPr>
            <w:r>
              <w:rPr>
                <w:b/>
                <w:sz w:val="22"/>
              </w:rPr>
              <w:t>Year</w:t>
            </w:r>
          </w:p>
        </w:tc>
        <w:tc>
          <w:tcPr>
            <w:tcW w:w="1263" w:type="dxa"/>
          </w:tcPr>
          <w:p>
            <w:pPr>
              <w:pStyle w:val="TableParagraph"/>
              <w:spacing w:line="248" w:lineRule="exact" w:before="145"/>
              <w:ind w:left="0" w:right="89"/>
              <w:jc w:val="right"/>
              <w:rPr>
                <w:sz w:val="22"/>
              </w:rPr>
            </w:pPr>
            <w:r>
              <w:rPr>
                <w:sz w:val="22"/>
              </w:rPr>
              <w:t>2015</w:t>
            </w:r>
          </w:p>
        </w:tc>
        <w:tc>
          <w:tcPr>
            <w:tcW w:w="1263" w:type="dxa"/>
          </w:tcPr>
          <w:p>
            <w:pPr>
              <w:pStyle w:val="TableParagraph"/>
              <w:spacing w:line="248" w:lineRule="exact" w:before="145"/>
              <w:ind w:left="0" w:right="89"/>
              <w:jc w:val="right"/>
              <w:rPr>
                <w:sz w:val="22"/>
              </w:rPr>
            </w:pPr>
            <w:r>
              <w:rPr>
                <w:sz w:val="22"/>
              </w:rPr>
              <w:t>2016</w:t>
            </w:r>
          </w:p>
        </w:tc>
        <w:tc>
          <w:tcPr>
            <w:tcW w:w="1258" w:type="dxa"/>
          </w:tcPr>
          <w:p>
            <w:pPr>
              <w:pStyle w:val="TableParagraph"/>
              <w:spacing w:line="248" w:lineRule="exact" w:before="145"/>
              <w:ind w:left="0" w:right="84"/>
              <w:jc w:val="right"/>
              <w:rPr>
                <w:sz w:val="22"/>
              </w:rPr>
            </w:pPr>
            <w:r>
              <w:rPr>
                <w:sz w:val="22"/>
              </w:rPr>
              <w:t>2017</w:t>
            </w:r>
          </w:p>
        </w:tc>
        <w:tc>
          <w:tcPr>
            <w:tcW w:w="1263" w:type="dxa"/>
          </w:tcPr>
          <w:p>
            <w:pPr>
              <w:pStyle w:val="TableParagraph"/>
              <w:spacing w:line="248" w:lineRule="exact" w:before="145"/>
              <w:ind w:left="0" w:right="84"/>
              <w:jc w:val="right"/>
              <w:rPr>
                <w:sz w:val="22"/>
              </w:rPr>
            </w:pPr>
            <w:r>
              <w:rPr>
                <w:sz w:val="22"/>
              </w:rPr>
              <w:t>2018</w:t>
            </w:r>
          </w:p>
        </w:tc>
        <w:tc>
          <w:tcPr>
            <w:tcW w:w="1263" w:type="dxa"/>
          </w:tcPr>
          <w:p>
            <w:pPr>
              <w:pStyle w:val="TableParagraph"/>
              <w:spacing w:line="248" w:lineRule="exact" w:before="145"/>
              <w:ind w:left="0" w:right="84"/>
              <w:jc w:val="right"/>
              <w:rPr>
                <w:sz w:val="22"/>
              </w:rPr>
            </w:pPr>
            <w:r>
              <w:rPr>
                <w:sz w:val="22"/>
              </w:rPr>
              <w:t>2019</w:t>
            </w:r>
          </w:p>
        </w:tc>
      </w:tr>
      <w:tr>
        <w:trPr>
          <w:trHeight w:val="412" w:hRule="atLeast"/>
        </w:trPr>
        <w:tc>
          <w:tcPr>
            <w:tcW w:w="1263" w:type="dxa"/>
          </w:tcPr>
          <w:p>
            <w:pPr>
              <w:pStyle w:val="TableParagraph"/>
              <w:spacing w:line="248" w:lineRule="exact" w:before="145"/>
              <w:rPr>
                <w:b/>
                <w:sz w:val="22"/>
              </w:rPr>
            </w:pPr>
            <w:r>
              <w:rPr>
                <w:b/>
                <w:sz w:val="22"/>
              </w:rPr>
              <w:t>ROA</w:t>
            </w:r>
          </w:p>
        </w:tc>
        <w:tc>
          <w:tcPr>
            <w:tcW w:w="1263" w:type="dxa"/>
          </w:tcPr>
          <w:p>
            <w:pPr>
              <w:pStyle w:val="TableParagraph"/>
              <w:spacing w:line="248" w:lineRule="exact" w:before="145"/>
              <w:ind w:left="0" w:right="84"/>
              <w:jc w:val="right"/>
              <w:rPr>
                <w:sz w:val="22"/>
              </w:rPr>
            </w:pPr>
            <w:r>
              <w:rPr>
                <w:sz w:val="22"/>
              </w:rPr>
              <w:t>0.002</w:t>
            </w:r>
          </w:p>
        </w:tc>
        <w:tc>
          <w:tcPr>
            <w:tcW w:w="1263" w:type="dxa"/>
          </w:tcPr>
          <w:p>
            <w:pPr>
              <w:pStyle w:val="TableParagraph"/>
              <w:spacing w:line="248" w:lineRule="exact" w:before="145"/>
              <w:ind w:left="0" w:right="84"/>
              <w:jc w:val="right"/>
              <w:rPr>
                <w:sz w:val="22"/>
              </w:rPr>
            </w:pPr>
            <w:r>
              <w:rPr>
                <w:sz w:val="22"/>
              </w:rPr>
              <w:t>0.01</w:t>
            </w:r>
          </w:p>
        </w:tc>
        <w:tc>
          <w:tcPr>
            <w:tcW w:w="1258" w:type="dxa"/>
          </w:tcPr>
          <w:p>
            <w:pPr>
              <w:pStyle w:val="TableParagraph"/>
              <w:spacing w:line="248" w:lineRule="exact" w:before="145"/>
              <w:ind w:left="0" w:right="79"/>
              <w:jc w:val="right"/>
              <w:rPr>
                <w:sz w:val="22"/>
              </w:rPr>
            </w:pPr>
            <w:r>
              <w:rPr>
                <w:sz w:val="22"/>
              </w:rPr>
              <w:t>0.02</w:t>
            </w:r>
          </w:p>
        </w:tc>
        <w:tc>
          <w:tcPr>
            <w:tcW w:w="1263" w:type="dxa"/>
          </w:tcPr>
          <w:p>
            <w:pPr>
              <w:pStyle w:val="TableParagraph"/>
              <w:spacing w:line="248" w:lineRule="exact" w:before="145"/>
              <w:ind w:left="0" w:right="80"/>
              <w:jc w:val="right"/>
              <w:rPr>
                <w:sz w:val="22"/>
              </w:rPr>
            </w:pPr>
            <w:r>
              <w:rPr>
                <w:sz w:val="22"/>
              </w:rPr>
              <w:t>0.02</w:t>
            </w:r>
          </w:p>
        </w:tc>
        <w:tc>
          <w:tcPr>
            <w:tcW w:w="1263" w:type="dxa"/>
          </w:tcPr>
          <w:p>
            <w:pPr>
              <w:pStyle w:val="TableParagraph"/>
              <w:spacing w:line="248" w:lineRule="exact" w:before="145"/>
              <w:ind w:left="0" w:right="80"/>
              <w:jc w:val="right"/>
              <w:rPr>
                <w:sz w:val="22"/>
              </w:rPr>
            </w:pPr>
            <w:r>
              <w:rPr>
                <w:sz w:val="22"/>
              </w:rPr>
              <w:t>0.01</w:t>
            </w:r>
          </w:p>
        </w:tc>
      </w:tr>
    </w:tbl>
    <w:p>
      <w:pPr>
        <w:pStyle w:val="BodyText"/>
        <w:spacing w:before="4"/>
        <w:rPr>
          <w:b/>
          <w:sz w:val="14"/>
        </w:rPr>
      </w:pPr>
      <w:r>
        <w:rPr/>
        <w:pict>
          <v:group style="position:absolute;margin-left:83.625pt;margin-top:10.225pt;width:373.5pt;height:202.55pt;mso-position-horizontal-relative:page;mso-position-vertical-relative:paragraph;z-index:-251510784;mso-wrap-distance-left:0;mso-wrap-distance-right:0" coordorigin="1673,205" coordsize="7470,4051">
            <v:line style="position:absolute" from="8631,3077" to="8906,3077" stroked="true" strokeweight=".75pt" strokecolor="#858585">
              <v:stroke dashstyle="solid"/>
            </v:line>
            <v:line style="position:absolute" from="7346,3077" to="7895,3077" stroked="true" strokeweight=".75pt" strokecolor="#858585">
              <v:stroke dashstyle="solid"/>
            </v:line>
            <v:line style="position:absolute" from="6061,3077" to="6610,3077" stroked="true" strokeweight=".75pt" strokecolor="#858585">
              <v:stroke dashstyle="solid"/>
            </v:line>
            <v:line style="position:absolute" from="4776,3077" to="5328,3077" stroked="true" strokeweight=".75pt" strokecolor="#858585">
              <v:stroke dashstyle="solid"/>
            </v:line>
            <v:line style="position:absolute" from="2483,3077" to="4043,3077" stroked="true" strokeweight=".75pt" strokecolor="#858585">
              <v:stroke dashstyle="solid"/>
            </v:line>
            <v:rect style="position:absolute;left:2757;top:3076;width:734;height:260" filled="true" fillcolor="#4f81bb" stroked="false">
              <v:fill type="solid"/>
            </v:rect>
            <v:line style="position:absolute" from="4776,2816" to="5328,2816" stroked="true" strokeweight=".75pt" strokecolor="#858585">
              <v:stroke dashstyle="solid"/>
            </v:line>
            <v:line style="position:absolute" from="2483,2816" to="4043,2816" stroked="true" strokeweight=".75pt" strokecolor="#858585">
              <v:stroke dashstyle="solid"/>
            </v:line>
            <v:line style="position:absolute" from="4776,2556" to="5328,2556" stroked="true" strokeweight=".75pt" strokecolor="#858585">
              <v:stroke dashstyle="solid"/>
            </v:line>
            <v:line style="position:absolute" from="2483,2556" to="4043,2556" stroked="true" strokeweight=".75pt" strokecolor="#858585">
              <v:stroke dashstyle="solid"/>
            </v:line>
            <v:line style="position:absolute" from="4776,2295" to="5328,2295" stroked="true" strokeweight=".75pt" strokecolor="#858585">
              <v:stroke dashstyle="solid"/>
            </v:line>
            <v:line style="position:absolute" from="2483,2295" to="4043,2295" stroked="true" strokeweight=".75pt" strokecolor="#858585">
              <v:stroke dashstyle="solid"/>
            </v:line>
            <v:line style="position:absolute" from="2483,2034" to="5328,2034" stroked="true" strokeweight=".75pt" strokecolor="#858585">
              <v:stroke dashstyle="solid"/>
            </v:line>
            <v:rect style="position:absolute;left:4042;top:2034;width:734;height:1302" filled="true" fillcolor="#4f81bb" stroked="false">
              <v:fill type="solid"/>
            </v:rect>
            <v:line style="position:absolute" from="6061,2816" to="6610,2816" stroked="true" strokeweight=".75pt" strokecolor="#858585">
              <v:stroke dashstyle="solid"/>
            </v:line>
            <v:line style="position:absolute" from="6061,2556" to="6610,2556" stroked="true" strokeweight=".75pt" strokecolor="#858585">
              <v:stroke dashstyle="solid"/>
            </v:line>
            <v:line style="position:absolute" from="6061,2295" to="6610,2295" stroked="true" strokeweight=".75pt" strokecolor="#858585">
              <v:stroke dashstyle="solid"/>
            </v:line>
            <v:line style="position:absolute" from="6061,2034" to="6610,2034" stroked="true" strokeweight=".75pt" strokecolor="#858585">
              <v:stroke dashstyle="solid"/>
            </v:line>
            <v:line style="position:absolute" from="6061,1774" to="6610,1774" stroked="true" strokeweight=".75pt" strokecolor="#858585">
              <v:stroke dashstyle="solid"/>
            </v:line>
            <v:line style="position:absolute" from="2483,1774" to="5328,1774" stroked="true" strokeweight=".75pt" strokecolor="#858585">
              <v:stroke dashstyle="solid"/>
            </v:line>
            <v:line style="position:absolute" from="6061,1514" to="6610,1514" stroked="true" strokeweight=".75pt" strokecolor="#858585">
              <v:stroke dashstyle="solid"/>
            </v:line>
            <v:line style="position:absolute" from="2483,1514" to="5328,1514" stroked="true" strokeweight=".75pt" strokecolor="#858585">
              <v:stroke dashstyle="solid"/>
            </v:line>
            <v:line style="position:absolute" from="6061,1253" to="8906,1253" stroked="true" strokeweight=".75pt" strokecolor="#858585">
              <v:stroke dashstyle="solid"/>
            </v:line>
            <v:line style="position:absolute" from="2483,1253" to="5328,1253" stroked="true" strokeweight=".75pt" strokecolor="#858585">
              <v:stroke dashstyle="solid"/>
            </v:line>
            <v:rect style="position:absolute;left:5327;top:1123;width:734;height:2213" filled="true" fillcolor="#4f81bb" stroked="false">
              <v:fill type="solid"/>
            </v:rect>
            <v:line style="position:absolute" from="7346,2816" to="7895,2816" stroked="true" strokeweight=".75pt" strokecolor="#858585">
              <v:stroke dashstyle="solid"/>
            </v:line>
            <v:line style="position:absolute" from="7346,2556" to="7895,2556" stroked="true" strokeweight=".75pt" strokecolor="#858585">
              <v:stroke dashstyle="solid"/>
            </v:line>
            <v:line style="position:absolute" from="7346,2295" to="7895,2295" stroked="true" strokeweight=".75pt" strokecolor="#858585">
              <v:stroke dashstyle="solid"/>
            </v:line>
            <v:line style="position:absolute" from="7346,2034" to="7895,2034" stroked="true" strokeweight=".75pt" strokecolor="#858585">
              <v:stroke dashstyle="solid"/>
            </v:line>
            <v:line style="position:absolute" from="7346,1774" to="8906,1774" stroked="true" strokeweight=".75pt" strokecolor="#858585">
              <v:stroke dashstyle="solid"/>
            </v:line>
            <v:line style="position:absolute" from="7346,1514" to="8906,1514" stroked="true" strokeweight=".75pt" strokecolor="#858585">
              <v:stroke dashstyle="solid"/>
            </v:line>
            <v:rect style="position:absolute;left:6610;top:1252;width:737;height:2084" filled="true" fillcolor="#4f81bb" stroked="false">
              <v:fill type="solid"/>
            </v:rect>
            <v:line style="position:absolute" from="8631,2816" to="8906,2816" stroked="true" strokeweight=".75pt" strokecolor="#858585">
              <v:stroke dashstyle="solid"/>
            </v:line>
            <v:line style="position:absolute" from="8631,2556" to="8906,2556" stroked="true" strokeweight=".75pt" strokecolor="#858585">
              <v:stroke dashstyle="solid"/>
            </v:line>
            <v:line style="position:absolute" from="8631,2295" to="8906,2295" stroked="true" strokeweight=".75pt" strokecolor="#858585">
              <v:stroke dashstyle="solid"/>
            </v:line>
            <v:line style="position:absolute" from="8631,2034" to="8906,2034" stroked="true" strokeweight=".75pt" strokecolor="#858585">
              <v:stroke dashstyle="solid"/>
            </v:line>
            <v:rect style="position:absolute;left:7895;top:1773;width:737;height:1563" filled="true" fillcolor="#4f81bb" stroked="false">
              <v:fill type="solid"/>
            </v:rect>
            <v:line style="position:absolute" from="2483,3336" to="2483,3336" stroked="true" strokeweight=".75pt" strokecolor="#858585">
              <v:stroke dashstyle="solid"/>
            </v:line>
            <v:line style="position:absolute" from="2483,3336" to="8906,3336" stroked="true" strokeweight=".75pt" strokecolor="#858585">
              <v:stroke dashstyle="solid"/>
            </v:line>
            <v:line style="position:absolute" from="2483,993" to="8906,993" stroked="true" strokeweight=".75pt" strokecolor="#858585">
              <v:stroke dashstyle="solid"/>
            </v:line>
            <v:rect style="position:absolute;left:4662;top:3917;width:115;height:103" filled="true" fillcolor="#4f81bb" stroked="false">
              <v:fill type="solid"/>
            </v:rect>
            <v:rect style="position:absolute;left:1680;top:212;width:7455;height:4036" filled="false" stroked="true" strokeweight=".75pt" strokecolor="#858585">
              <v:stroke dashstyle="solid"/>
            </v:rect>
            <v:shape style="position:absolute;left:4118;top:420;width:2597;height:336" type="#_x0000_t75" stroked="false">
              <v:imagedata r:id="rId105" o:title=""/>
            </v:shape>
            <v:shape style="position:absolute;left:1814;top:905;width:500;height:2530" type="#_x0000_t75" stroked="false">
              <v:imagedata r:id="rId106" o:title=""/>
            </v:shape>
            <v:shape style="position:absolute;left:2913;top:3492;width:442;height:188" type="#_x0000_t75" stroked="false">
              <v:imagedata r:id="rId107" o:title=""/>
            </v:shape>
            <v:shape style="position:absolute;left:4200;top:3492;width:442;height:188" type="#_x0000_t75" stroked="false">
              <v:imagedata r:id="rId107" o:title=""/>
            </v:shape>
            <v:shape style="position:absolute;left:5486;top:3492;width:442;height:188" type="#_x0000_t75" stroked="false">
              <v:imagedata r:id="rId107" o:title=""/>
            </v:shape>
            <v:shape style="position:absolute;left:6768;top:3492;width:447;height:188" type="#_x0000_t75" stroked="false">
              <v:imagedata r:id="rId107" o:title=""/>
            </v:shape>
            <v:shape style="position:absolute;left:8054;top:3492;width:442;height:188" type="#_x0000_t75" stroked="false">
              <v:imagedata r:id="rId107" o:title=""/>
            </v:shape>
            <v:shape style="position:absolute;left:4828;top:3881;width:1421;height:188" type="#_x0000_t75" stroked="false">
              <v:imagedata r:id="rId108" o:title=""/>
            </v:shape>
            <v:shape style="position:absolute;left:4830;top:3891;width:1345;height:202" type="#_x0000_t202" filled="false" stroked="false">
              <v:textbox inset="0,0,0,0">
                <w:txbxContent>
                  <w:p>
                    <w:pPr>
                      <w:spacing w:line="202" w:lineRule="exact" w:before="0"/>
                      <w:ind w:left="0" w:right="0" w:firstLine="0"/>
                      <w:jc w:val="left"/>
                      <w:rPr>
                        <w:rFonts w:ascii="Calibri"/>
                        <w:sz w:val="20"/>
                      </w:rPr>
                    </w:pPr>
                    <w:r>
                      <w:rPr>
                        <w:rFonts w:ascii="Calibri"/>
                        <w:sz w:val="20"/>
                      </w:rPr>
                      <w:t>Return On Asset</w:t>
                    </w:r>
                  </w:p>
                </w:txbxContent>
              </v:textbox>
              <w10:wrap type="none"/>
            </v:shape>
            <v:shape style="position:absolute;left:8057;top:3502;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2019</w:t>
                    </w:r>
                  </w:p>
                </w:txbxContent>
              </v:textbox>
              <w10:wrap type="none"/>
            </v:shape>
            <v:shape style="position:absolute;left:6770;top:3502;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2018</w:t>
                    </w:r>
                  </w:p>
                </w:txbxContent>
              </v:textbox>
              <w10:wrap type="none"/>
            </v:shape>
            <v:shape style="position:absolute;left:5483;top:3502;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2017</w:t>
                    </w:r>
                  </w:p>
                </w:txbxContent>
              </v:textbox>
              <w10:wrap type="none"/>
            </v:shape>
            <v:shape style="position:absolute;left:4201;top:3502;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2016</w:t>
                    </w:r>
                  </w:p>
                </w:txbxContent>
              </v:textbox>
              <w10:wrap type="none"/>
            </v:shape>
            <v:shape style="position:absolute;left:2914;top:3502;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2015</w:t>
                    </w:r>
                  </w:p>
                </w:txbxContent>
              </v:textbox>
              <w10:wrap type="none"/>
            </v:shape>
            <v:shape style="position:absolute;left:1814;top:919;width:478;height:2434" type="#_x0000_t202" filled="false" stroked="false">
              <v:textbox inset="0,0,0,0">
                <w:txbxContent>
                  <w:p>
                    <w:pPr>
                      <w:spacing w:line="205" w:lineRule="exact" w:before="0"/>
                      <w:ind w:left="0" w:right="0" w:firstLine="0"/>
                      <w:jc w:val="left"/>
                      <w:rPr>
                        <w:rFonts w:ascii="Calibri"/>
                        <w:sz w:val="20"/>
                      </w:rPr>
                    </w:pPr>
                    <w:r>
                      <w:rPr>
                        <w:rFonts w:ascii="Calibri"/>
                        <w:sz w:val="20"/>
                      </w:rPr>
                      <w:t>0.018</w:t>
                    </w:r>
                  </w:p>
                  <w:p>
                    <w:pPr>
                      <w:spacing w:before="24"/>
                      <w:ind w:left="0" w:right="0" w:firstLine="0"/>
                      <w:jc w:val="left"/>
                      <w:rPr>
                        <w:rFonts w:ascii="Calibri"/>
                        <w:sz w:val="20"/>
                      </w:rPr>
                    </w:pPr>
                    <w:r>
                      <w:rPr>
                        <w:rFonts w:ascii="Calibri"/>
                        <w:sz w:val="20"/>
                      </w:rPr>
                      <w:t>0.016</w:t>
                    </w:r>
                  </w:p>
                  <w:p>
                    <w:pPr>
                      <w:spacing w:before="39"/>
                      <w:ind w:left="0" w:right="0" w:firstLine="0"/>
                      <w:jc w:val="left"/>
                      <w:rPr>
                        <w:rFonts w:ascii="Calibri"/>
                        <w:sz w:val="20"/>
                      </w:rPr>
                    </w:pPr>
                    <w:r>
                      <w:rPr>
                        <w:rFonts w:ascii="Calibri"/>
                        <w:sz w:val="20"/>
                      </w:rPr>
                      <w:t>0.014</w:t>
                    </w:r>
                  </w:p>
                  <w:p>
                    <w:pPr>
                      <w:spacing w:before="35"/>
                      <w:ind w:left="0" w:right="0" w:firstLine="0"/>
                      <w:jc w:val="left"/>
                      <w:rPr>
                        <w:rFonts w:ascii="Calibri"/>
                        <w:sz w:val="20"/>
                      </w:rPr>
                    </w:pPr>
                    <w:r>
                      <w:rPr>
                        <w:rFonts w:ascii="Calibri"/>
                        <w:sz w:val="20"/>
                      </w:rPr>
                      <w:t>0.012</w:t>
                    </w:r>
                  </w:p>
                  <w:p>
                    <w:pPr>
                      <w:spacing w:before="39"/>
                      <w:ind w:left="0" w:right="0" w:firstLine="0"/>
                      <w:jc w:val="left"/>
                      <w:rPr>
                        <w:rFonts w:ascii="Calibri"/>
                        <w:sz w:val="20"/>
                      </w:rPr>
                    </w:pPr>
                    <w:r>
                      <w:rPr>
                        <w:rFonts w:ascii="Calibri"/>
                        <w:sz w:val="20"/>
                      </w:rPr>
                      <w:t>0.010</w:t>
                    </w:r>
                  </w:p>
                  <w:p>
                    <w:pPr>
                      <w:spacing w:before="34"/>
                      <w:ind w:left="0" w:right="0" w:firstLine="0"/>
                      <w:jc w:val="left"/>
                      <w:rPr>
                        <w:rFonts w:ascii="Calibri"/>
                        <w:sz w:val="20"/>
                      </w:rPr>
                    </w:pPr>
                    <w:r>
                      <w:rPr>
                        <w:rFonts w:ascii="Calibri"/>
                        <w:sz w:val="20"/>
                      </w:rPr>
                      <w:t>0.008</w:t>
                    </w:r>
                  </w:p>
                  <w:p>
                    <w:pPr>
                      <w:spacing w:before="35"/>
                      <w:ind w:left="0" w:right="0" w:firstLine="0"/>
                      <w:jc w:val="left"/>
                      <w:rPr>
                        <w:rFonts w:ascii="Calibri"/>
                        <w:sz w:val="20"/>
                      </w:rPr>
                    </w:pPr>
                    <w:r>
                      <w:rPr>
                        <w:rFonts w:ascii="Calibri"/>
                        <w:sz w:val="20"/>
                      </w:rPr>
                      <w:t>0.006</w:t>
                    </w:r>
                  </w:p>
                  <w:p>
                    <w:pPr>
                      <w:spacing w:before="39"/>
                      <w:ind w:left="0" w:right="0" w:firstLine="0"/>
                      <w:jc w:val="left"/>
                      <w:rPr>
                        <w:rFonts w:ascii="Calibri"/>
                        <w:sz w:val="20"/>
                      </w:rPr>
                    </w:pPr>
                    <w:r>
                      <w:rPr>
                        <w:rFonts w:ascii="Calibri"/>
                        <w:sz w:val="20"/>
                      </w:rPr>
                      <w:t>0.004</w:t>
                    </w:r>
                  </w:p>
                  <w:p>
                    <w:pPr>
                      <w:spacing w:line="241" w:lineRule="exact" w:before="34"/>
                      <w:ind w:left="0" w:right="0" w:firstLine="0"/>
                      <w:jc w:val="left"/>
                      <w:rPr>
                        <w:rFonts w:ascii="Calibri"/>
                        <w:sz w:val="20"/>
                      </w:rPr>
                    </w:pPr>
                    <w:r>
                      <w:rPr>
                        <w:rFonts w:ascii="Calibri"/>
                        <w:sz w:val="20"/>
                      </w:rPr>
                      <w:t>0.002</w:t>
                    </w:r>
                  </w:p>
                </w:txbxContent>
              </v:textbox>
              <w10:wrap type="none"/>
            </v:shape>
            <v:shape style="position:absolute;left:4119;top:440;width:2453;height:360" type="#_x0000_t202" filled="false" stroked="false">
              <v:textbox inset="0,0,0,0">
                <w:txbxContent>
                  <w:p>
                    <w:pPr>
                      <w:spacing w:line="360" w:lineRule="exact" w:before="0"/>
                      <w:ind w:left="0" w:right="0" w:firstLine="0"/>
                      <w:jc w:val="left"/>
                      <w:rPr>
                        <w:rFonts w:ascii="Calibri"/>
                        <w:b/>
                        <w:sz w:val="36"/>
                      </w:rPr>
                    </w:pPr>
                    <w:r>
                      <w:rPr>
                        <w:rFonts w:ascii="Calibri"/>
                        <w:b/>
                        <w:sz w:val="36"/>
                      </w:rPr>
                      <w:t>Return On Asset</w:t>
                    </w:r>
                  </w:p>
                </w:txbxContent>
              </v:textbox>
              <w10:wrap type="none"/>
            </v:shape>
            <w10:wrap type="topAndBottom"/>
          </v:group>
        </w:pict>
      </w:r>
    </w:p>
    <w:p>
      <w:pPr>
        <w:pStyle w:val="BodyText"/>
        <w:spacing w:line="362" w:lineRule="auto" w:before="230"/>
        <w:ind w:left="340" w:right="142"/>
        <w:jc w:val="both"/>
      </w:pPr>
      <w:r>
        <w:rPr/>
        <w:t>Interpretation: In the above, the table </w:t>
      </w:r>
      <w:r>
        <w:rPr>
          <w:spacing w:val="-3"/>
        </w:rPr>
        <w:t>is </w:t>
      </w:r>
      <w:r>
        <w:rPr/>
        <w:t>shows that ROA of the CBL was 0.002 </w:t>
      </w:r>
      <w:r>
        <w:rPr>
          <w:spacing w:val="-3"/>
        </w:rPr>
        <w:t>in </w:t>
      </w:r>
      <w:r>
        <w:rPr>
          <w:spacing w:val="3"/>
        </w:rPr>
        <w:t>2015 </w:t>
      </w:r>
      <w:r>
        <w:rPr/>
        <w:t>and </w:t>
      </w:r>
      <w:r>
        <w:rPr>
          <w:spacing w:val="-5"/>
        </w:rPr>
        <w:t>it </w:t>
      </w:r>
      <w:r>
        <w:rPr/>
        <w:t>increased</w:t>
      </w:r>
      <w:r>
        <w:rPr>
          <w:spacing w:val="-5"/>
        </w:rPr>
        <w:t> </w:t>
      </w:r>
      <w:r>
        <w:rPr/>
        <w:t>by</w:t>
      </w:r>
      <w:r>
        <w:rPr>
          <w:spacing w:val="-14"/>
        </w:rPr>
        <w:t> </w:t>
      </w:r>
      <w:r>
        <w:rPr/>
        <w:t>0.010</w:t>
      </w:r>
      <w:r>
        <w:rPr>
          <w:spacing w:val="-4"/>
        </w:rPr>
        <w:t> </w:t>
      </w:r>
      <w:r>
        <w:rPr>
          <w:spacing w:val="-3"/>
        </w:rPr>
        <w:t>in</w:t>
      </w:r>
      <w:r>
        <w:rPr>
          <w:spacing w:val="-14"/>
        </w:rPr>
        <w:t> </w:t>
      </w:r>
      <w:r>
        <w:rPr/>
        <w:t>2016.</w:t>
      </w:r>
      <w:r>
        <w:rPr>
          <w:spacing w:val="-7"/>
        </w:rPr>
        <w:t> </w:t>
      </w:r>
      <w:r>
        <w:rPr/>
        <w:t>It</w:t>
      </w:r>
      <w:r>
        <w:rPr>
          <w:spacing w:val="-5"/>
        </w:rPr>
        <w:t> </w:t>
      </w:r>
      <w:r>
        <w:rPr/>
        <w:t>was</w:t>
      </w:r>
      <w:r>
        <w:rPr>
          <w:spacing w:val="-10"/>
        </w:rPr>
        <w:t> </w:t>
      </w:r>
      <w:r>
        <w:rPr/>
        <w:t>not</w:t>
      </w:r>
      <w:r>
        <w:rPr>
          <w:spacing w:val="-4"/>
        </w:rPr>
        <w:t> </w:t>
      </w:r>
      <w:r>
        <w:rPr/>
        <w:t>good</w:t>
      </w:r>
      <w:r>
        <w:rPr>
          <w:spacing w:val="-10"/>
        </w:rPr>
        <w:t> </w:t>
      </w:r>
      <w:r>
        <w:rPr/>
        <w:t>for</w:t>
      </w:r>
      <w:r>
        <w:rPr>
          <w:spacing w:val="-12"/>
        </w:rPr>
        <w:t> </w:t>
      </w:r>
      <w:r>
        <w:rPr/>
        <w:t>the</w:t>
      </w:r>
      <w:r>
        <w:rPr>
          <w:spacing w:val="-11"/>
        </w:rPr>
        <w:t> </w:t>
      </w:r>
      <w:r>
        <w:rPr/>
        <w:t>bank.</w:t>
      </w:r>
      <w:r>
        <w:rPr>
          <w:spacing w:val="-8"/>
        </w:rPr>
        <w:t> </w:t>
      </w:r>
      <w:r>
        <w:rPr/>
        <w:t>But</w:t>
      </w:r>
      <w:r>
        <w:rPr>
          <w:spacing w:val="1"/>
        </w:rPr>
        <w:t> </w:t>
      </w:r>
      <w:r>
        <w:rPr>
          <w:spacing w:val="-3"/>
        </w:rPr>
        <w:t>in</w:t>
      </w:r>
      <w:r>
        <w:rPr>
          <w:spacing w:val="-14"/>
        </w:rPr>
        <w:t> </w:t>
      </w:r>
      <w:r>
        <w:rPr/>
        <w:t>2017,</w:t>
      </w:r>
      <w:r>
        <w:rPr>
          <w:spacing w:val="-7"/>
        </w:rPr>
        <w:t> </w:t>
      </w:r>
      <w:r>
        <w:rPr/>
        <w:t>the</w:t>
      </w:r>
      <w:r>
        <w:rPr>
          <w:spacing w:val="-11"/>
        </w:rPr>
        <w:t> </w:t>
      </w:r>
      <w:r>
        <w:rPr/>
        <w:t>bank</w:t>
      </w:r>
      <w:r>
        <w:rPr>
          <w:spacing w:val="-5"/>
        </w:rPr>
        <w:t> </w:t>
      </w:r>
      <w:r>
        <w:rPr/>
        <w:t>was</w:t>
      </w:r>
      <w:r>
        <w:rPr>
          <w:spacing w:val="-11"/>
        </w:rPr>
        <w:t> </w:t>
      </w:r>
      <w:r>
        <w:rPr/>
        <w:t>done</w:t>
      </w:r>
      <w:r>
        <w:rPr>
          <w:spacing w:val="-6"/>
        </w:rPr>
        <w:t> </w:t>
      </w:r>
      <w:r>
        <w:rPr/>
        <w:t>excellent performance and the ROA was increased by 0.017 which </w:t>
      </w:r>
      <w:r>
        <w:rPr>
          <w:spacing w:val="-3"/>
        </w:rPr>
        <w:t>is </w:t>
      </w:r>
      <w:r>
        <w:rPr/>
        <w:t>highest pack </w:t>
      </w:r>
      <w:r>
        <w:rPr>
          <w:spacing w:val="-3"/>
        </w:rPr>
        <w:t>in </w:t>
      </w:r>
      <w:r>
        <w:rPr/>
        <w:t>5</w:t>
      </w:r>
      <w:r>
        <w:rPr>
          <w:spacing w:val="10"/>
        </w:rPr>
        <w:t> </w:t>
      </w:r>
      <w:r>
        <w:rPr/>
        <w:t>years.</w:t>
      </w:r>
    </w:p>
    <w:p>
      <w:pPr>
        <w:pStyle w:val="BodyText"/>
        <w:spacing w:line="360" w:lineRule="auto"/>
        <w:ind w:left="340" w:right="140"/>
        <w:jc w:val="both"/>
      </w:pPr>
      <w:r>
        <w:rPr/>
        <w:t>During the period from 2018 to 2019 ROA was decreasing from 0.016 to 0.012. So 2017 is best performed year.</w:t>
      </w:r>
    </w:p>
    <w:p>
      <w:pPr>
        <w:spacing w:after="0" w:line="360" w:lineRule="auto"/>
        <w:jc w:val="both"/>
        <w:sectPr>
          <w:pgSz w:w="12240" w:h="15840"/>
          <w:pgMar w:header="0" w:footer="1039" w:top="1360" w:bottom="1220" w:left="1100" w:right="1300"/>
        </w:sectPr>
      </w:pPr>
    </w:p>
    <w:p>
      <w:pPr>
        <w:pStyle w:val="Heading3"/>
        <w:numPr>
          <w:ilvl w:val="2"/>
          <w:numId w:val="15"/>
        </w:numPr>
        <w:tabs>
          <w:tab w:pos="883" w:val="left" w:leader="none"/>
        </w:tabs>
        <w:spacing w:line="240" w:lineRule="auto" w:before="77" w:after="0"/>
        <w:ind w:left="882" w:right="0" w:hanging="543"/>
        <w:jc w:val="left"/>
      </w:pPr>
      <w:r>
        <w:rPr/>
        <w:t>Return on</w:t>
      </w:r>
      <w:r>
        <w:rPr>
          <w:spacing w:val="3"/>
        </w:rPr>
        <w:t> </w:t>
      </w:r>
      <w:r>
        <w:rPr/>
        <w:t>Equity</w:t>
      </w:r>
    </w:p>
    <w:p>
      <w:pPr>
        <w:pStyle w:val="BodyText"/>
        <w:spacing w:line="360" w:lineRule="auto" w:before="132"/>
        <w:ind w:left="340"/>
      </w:pPr>
      <w:r>
        <w:rPr/>
        <w:t>This ratio is a profitability ratio that indicates the ability of a firm to generate profits with the money that shareholders have invested.</w:t>
      </w:r>
    </w:p>
    <w:p>
      <w:pPr>
        <w:spacing w:before="12"/>
        <w:ind w:left="340" w:right="0" w:firstLine="0"/>
        <w:jc w:val="left"/>
        <w:rPr>
          <w:b/>
          <w:sz w:val="22"/>
        </w:rPr>
      </w:pPr>
      <w:r>
        <w:rPr>
          <w:b/>
          <w:sz w:val="22"/>
        </w:rPr>
        <w:t>Formula: Net Income / Stockholders' Equity</w:t>
      </w:r>
    </w:p>
    <w:p>
      <w:pPr>
        <w:pStyle w:val="BodyText"/>
        <w:spacing w:before="10"/>
        <w:rPr>
          <w:b/>
          <w:sz w:val="10"/>
        </w:rPr>
      </w:pPr>
    </w:p>
    <w:tbl>
      <w:tblPr>
        <w:tblW w:w="0" w:type="auto"/>
        <w:jc w:val="left"/>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9"/>
        <w:gridCol w:w="1157"/>
        <w:gridCol w:w="1234"/>
        <w:gridCol w:w="1119"/>
        <w:gridCol w:w="975"/>
        <w:gridCol w:w="975"/>
      </w:tblGrid>
      <w:tr>
        <w:trPr>
          <w:trHeight w:val="297" w:hRule="atLeast"/>
        </w:trPr>
        <w:tc>
          <w:tcPr>
            <w:tcW w:w="1619" w:type="dxa"/>
          </w:tcPr>
          <w:p>
            <w:pPr>
              <w:pStyle w:val="TableParagraph"/>
              <w:spacing w:line="266" w:lineRule="exact" w:before="11"/>
              <w:rPr>
                <w:b/>
                <w:sz w:val="24"/>
              </w:rPr>
            </w:pPr>
            <w:r>
              <w:rPr>
                <w:b/>
                <w:sz w:val="24"/>
              </w:rPr>
              <w:t>Year</w:t>
            </w:r>
          </w:p>
        </w:tc>
        <w:tc>
          <w:tcPr>
            <w:tcW w:w="1157" w:type="dxa"/>
          </w:tcPr>
          <w:p>
            <w:pPr>
              <w:pStyle w:val="TableParagraph"/>
              <w:spacing w:line="266" w:lineRule="exact" w:before="11"/>
              <w:ind w:left="0" w:right="84"/>
              <w:jc w:val="right"/>
              <w:rPr>
                <w:sz w:val="24"/>
              </w:rPr>
            </w:pPr>
            <w:r>
              <w:rPr>
                <w:sz w:val="24"/>
              </w:rPr>
              <w:t>2015</w:t>
            </w:r>
          </w:p>
        </w:tc>
        <w:tc>
          <w:tcPr>
            <w:tcW w:w="1234" w:type="dxa"/>
          </w:tcPr>
          <w:p>
            <w:pPr>
              <w:pStyle w:val="TableParagraph"/>
              <w:spacing w:line="266" w:lineRule="exact" w:before="11"/>
              <w:ind w:left="0" w:right="84"/>
              <w:jc w:val="right"/>
              <w:rPr>
                <w:sz w:val="24"/>
              </w:rPr>
            </w:pPr>
            <w:r>
              <w:rPr>
                <w:sz w:val="24"/>
              </w:rPr>
              <w:t>2016</w:t>
            </w:r>
          </w:p>
        </w:tc>
        <w:tc>
          <w:tcPr>
            <w:tcW w:w="1119" w:type="dxa"/>
          </w:tcPr>
          <w:p>
            <w:pPr>
              <w:pStyle w:val="TableParagraph"/>
              <w:spacing w:line="266" w:lineRule="exact" w:before="11"/>
              <w:ind w:left="0" w:right="89"/>
              <w:jc w:val="right"/>
              <w:rPr>
                <w:sz w:val="24"/>
              </w:rPr>
            </w:pPr>
            <w:r>
              <w:rPr>
                <w:sz w:val="24"/>
              </w:rPr>
              <w:t>2017</w:t>
            </w:r>
          </w:p>
        </w:tc>
        <w:tc>
          <w:tcPr>
            <w:tcW w:w="975" w:type="dxa"/>
          </w:tcPr>
          <w:p>
            <w:pPr>
              <w:pStyle w:val="TableParagraph"/>
              <w:spacing w:line="266" w:lineRule="exact" w:before="11"/>
              <w:ind w:left="0" w:right="85"/>
              <w:jc w:val="right"/>
              <w:rPr>
                <w:sz w:val="24"/>
              </w:rPr>
            </w:pPr>
            <w:r>
              <w:rPr>
                <w:sz w:val="24"/>
              </w:rPr>
              <w:t>2018</w:t>
            </w:r>
          </w:p>
        </w:tc>
        <w:tc>
          <w:tcPr>
            <w:tcW w:w="975" w:type="dxa"/>
          </w:tcPr>
          <w:p>
            <w:pPr>
              <w:pStyle w:val="TableParagraph"/>
              <w:spacing w:line="266" w:lineRule="exact" w:before="11"/>
              <w:ind w:left="0" w:right="85"/>
              <w:jc w:val="right"/>
              <w:rPr>
                <w:sz w:val="24"/>
              </w:rPr>
            </w:pPr>
            <w:r>
              <w:rPr>
                <w:sz w:val="24"/>
              </w:rPr>
              <w:t>2019</w:t>
            </w:r>
          </w:p>
        </w:tc>
      </w:tr>
      <w:tr>
        <w:trPr>
          <w:trHeight w:val="302" w:hRule="atLeast"/>
        </w:trPr>
        <w:tc>
          <w:tcPr>
            <w:tcW w:w="1619" w:type="dxa"/>
          </w:tcPr>
          <w:p>
            <w:pPr>
              <w:pStyle w:val="TableParagraph"/>
              <w:spacing w:line="266" w:lineRule="exact" w:before="15"/>
              <w:rPr>
                <w:b/>
                <w:sz w:val="24"/>
              </w:rPr>
            </w:pPr>
            <w:r>
              <w:rPr>
                <w:b/>
                <w:sz w:val="24"/>
              </w:rPr>
              <w:t>ROE</w:t>
            </w:r>
          </w:p>
        </w:tc>
        <w:tc>
          <w:tcPr>
            <w:tcW w:w="1157" w:type="dxa"/>
          </w:tcPr>
          <w:p>
            <w:pPr>
              <w:pStyle w:val="TableParagraph"/>
              <w:spacing w:line="266" w:lineRule="exact" w:before="15"/>
              <w:ind w:left="0" w:right="80"/>
              <w:jc w:val="right"/>
              <w:rPr>
                <w:sz w:val="24"/>
              </w:rPr>
            </w:pPr>
            <w:r>
              <w:rPr>
                <w:sz w:val="24"/>
              </w:rPr>
              <w:t>0.02</w:t>
            </w:r>
          </w:p>
        </w:tc>
        <w:tc>
          <w:tcPr>
            <w:tcW w:w="1234" w:type="dxa"/>
          </w:tcPr>
          <w:p>
            <w:pPr>
              <w:pStyle w:val="TableParagraph"/>
              <w:spacing w:line="266" w:lineRule="exact" w:before="15"/>
              <w:ind w:left="0" w:right="80"/>
              <w:jc w:val="right"/>
              <w:rPr>
                <w:sz w:val="24"/>
              </w:rPr>
            </w:pPr>
            <w:r>
              <w:rPr>
                <w:sz w:val="24"/>
              </w:rPr>
              <w:t>0.076</w:t>
            </w:r>
          </w:p>
        </w:tc>
        <w:tc>
          <w:tcPr>
            <w:tcW w:w="1119" w:type="dxa"/>
          </w:tcPr>
          <w:p>
            <w:pPr>
              <w:pStyle w:val="TableParagraph"/>
              <w:spacing w:line="266" w:lineRule="exact" w:before="15"/>
              <w:ind w:left="0" w:right="85"/>
              <w:jc w:val="right"/>
              <w:rPr>
                <w:sz w:val="24"/>
              </w:rPr>
            </w:pPr>
            <w:r>
              <w:rPr>
                <w:sz w:val="24"/>
              </w:rPr>
              <w:t>0.146</w:t>
            </w:r>
          </w:p>
        </w:tc>
        <w:tc>
          <w:tcPr>
            <w:tcW w:w="975" w:type="dxa"/>
          </w:tcPr>
          <w:p>
            <w:pPr>
              <w:pStyle w:val="TableParagraph"/>
              <w:spacing w:line="266" w:lineRule="exact" w:before="15"/>
              <w:ind w:left="0" w:right="80"/>
              <w:jc w:val="right"/>
              <w:rPr>
                <w:sz w:val="24"/>
              </w:rPr>
            </w:pPr>
            <w:r>
              <w:rPr>
                <w:sz w:val="24"/>
              </w:rPr>
              <w:t>0.205</w:t>
            </w:r>
          </w:p>
        </w:tc>
        <w:tc>
          <w:tcPr>
            <w:tcW w:w="975" w:type="dxa"/>
          </w:tcPr>
          <w:p>
            <w:pPr>
              <w:pStyle w:val="TableParagraph"/>
              <w:spacing w:line="266" w:lineRule="exact" w:before="15"/>
              <w:ind w:left="0" w:right="81"/>
              <w:jc w:val="right"/>
              <w:rPr>
                <w:sz w:val="24"/>
              </w:rPr>
            </w:pPr>
            <w:r>
              <w:rPr>
                <w:sz w:val="24"/>
              </w:rPr>
              <w:t>0.132</w:t>
            </w:r>
          </w:p>
        </w:tc>
      </w:tr>
    </w:tbl>
    <w:p>
      <w:pPr>
        <w:pStyle w:val="BodyText"/>
        <w:rPr>
          <w:b/>
          <w:sz w:val="20"/>
        </w:rPr>
      </w:pPr>
    </w:p>
    <w:p>
      <w:pPr>
        <w:pStyle w:val="BodyText"/>
        <w:spacing w:before="9"/>
        <w:rPr>
          <w:b/>
          <w:sz w:val="23"/>
        </w:rPr>
      </w:pPr>
      <w:r>
        <w:rPr/>
        <w:pict>
          <v:group style="position:absolute;margin-left:73.125pt;margin-top:15.685977pt;width:367.5pt;height:210.8pt;mso-position-horizontal-relative:page;mso-position-vertical-relative:paragraph;z-index:-251501568;mso-wrap-distance-left:0;mso-wrap-distance-right:0" coordorigin="1463,314" coordsize="7350,4216">
            <v:line style="position:absolute" from="8309,3082" to="8585,3082" stroked="true" strokeweight=".75pt" strokecolor="#858585">
              <v:stroke dashstyle="solid"/>
            </v:line>
            <v:line style="position:absolute" from="7020,3082" to="7572,3082" stroked="true" strokeweight=".75pt" strokecolor="#858585">
              <v:stroke dashstyle="solid"/>
            </v:line>
            <v:line style="position:absolute" from="5731,3082" to="6283,3082" stroked="true" strokeweight=".75pt" strokecolor="#858585">
              <v:stroke dashstyle="solid"/>
            </v:line>
            <v:line style="position:absolute" from="4442,3082" to="4994,3082" stroked="true" strokeweight=".75pt" strokecolor="#858585">
              <v:stroke dashstyle="solid"/>
            </v:line>
            <v:line style="position:absolute" from="2140,3082" to="3706,3082" stroked="true" strokeweight=".75pt" strokecolor="#858585">
              <v:stroke dashstyle="solid"/>
            </v:line>
            <v:rect style="position:absolute;left:3705;top:2829;width:737;height:738" filled="true" fillcolor="#4f81bb" stroked="false">
              <v:fill type="solid"/>
            </v:rect>
            <v:line style="position:absolute" from="5731,2596" to="6283,2596" stroked="true" strokeweight=".75pt" strokecolor="#858585">
              <v:stroke dashstyle="solid"/>
            </v:line>
            <v:line style="position:absolute" from="2140,2596" to="4994,2596" stroked="true" strokeweight=".75pt" strokecolor="#858585">
              <v:stroke dashstyle="solid"/>
            </v:line>
            <v:line style="position:absolute" from="2140,2111" to="6283,2111" stroked="true" strokeweight=".75pt" strokecolor="#858585">
              <v:stroke dashstyle="solid"/>
            </v:line>
            <v:rect style="position:absolute;left:4994;top:2148;width:737;height:1419" filled="true" fillcolor="#4f81bb" stroked="false">
              <v:fill type="solid"/>
            </v:rect>
            <v:line style="position:absolute" from="7020,2596" to="7572,2596" stroked="true" strokeweight=".75pt" strokecolor="#858585">
              <v:stroke dashstyle="solid"/>
            </v:line>
            <v:line style="position:absolute" from="7020,2111" to="8585,2111" stroked="true" strokeweight=".75pt" strokecolor="#858585">
              <v:stroke dashstyle="solid"/>
            </v:line>
            <v:line style="position:absolute" from="7020,1626" to="8585,1626" stroked="true" strokeweight=".75pt" strokecolor="#858585">
              <v:stroke dashstyle="solid"/>
            </v:line>
            <v:line style="position:absolute" from="2140,1626" to="6283,1626" stroked="true" strokeweight=".75pt" strokecolor="#858585">
              <v:stroke dashstyle="solid"/>
            </v:line>
            <v:rect style="position:absolute;left:6283;top:1576;width:737;height:1991" filled="true" fillcolor="#4f81bb" stroked="false">
              <v:fill type="solid"/>
            </v:rect>
            <v:line style="position:absolute" from="8309,2596" to="8585,2596" stroked="true" strokeweight=".75pt" strokecolor="#858585">
              <v:stroke dashstyle="solid"/>
            </v:line>
            <v:rect style="position:absolute;left:7572;top:2285;width:737;height:1281" filled="true" fillcolor="#4f81bb" stroked="false">
              <v:fill type="solid"/>
            </v:rect>
            <v:line style="position:absolute" from="2140,3567" to="2140,3567" stroked="true" strokeweight=".75pt" strokecolor="#858585">
              <v:stroke dashstyle="solid"/>
            </v:line>
            <v:rect style="position:absolute;left:2416;top:3370;width:737;height:196" filled="true" fillcolor="#4f81bb" stroked="false">
              <v:fill type="solid"/>
            </v:rect>
            <v:line style="position:absolute" from="2140,3567" to="8585,3567" stroked="true" strokeweight=".75pt" strokecolor="#858585">
              <v:stroke dashstyle="solid"/>
            </v:line>
            <v:line style="position:absolute" from="2140,1140" to="8585,1140" stroked="true" strokeweight=".75pt" strokecolor="#858585">
              <v:stroke dashstyle="solid"/>
            </v:line>
            <v:rect style="position:absolute;left:4400;top:4175;width:110;height:107" filled="true" fillcolor="#4f81bb" stroked="false">
              <v:fill type="solid"/>
            </v:rect>
            <v:rect style="position:absolute;left:1470;top:321;width:7335;height:4201" filled="false" stroked="true" strokeweight=".75pt" strokecolor="#858585">
              <v:stroke dashstyle="solid"/>
            </v:rect>
            <v:shape style="position:absolute;left:4560;top:4141;width:1412;height:192" type="#_x0000_t75" stroked="false">
              <v:imagedata r:id="rId109" o:title=""/>
            </v:shape>
            <v:shape style="position:absolute;left:7737;top:3729;width:428;height:197" type="#_x0000_t75" stroked="false">
              <v:imagedata r:id="rId110" o:title=""/>
            </v:shape>
            <v:shape style="position:absolute;left:6451;top:3729;width:428;height:197" type="#_x0000_t75" stroked="false">
              <v:imagedata r:id="rId110" o:title=""/>
            </v:shape>
            <v:shape style="position:absolute;left:5160;top:3729;width:428;height:197" type="#_x0000_t75" stroked="false">
              <v:imagedata r:id="rId110" o:title=""/>
            </v:shape>
            <v:shape style="position:absolute;left:3868;top:3729;width:428;height:197" type="#_x0000_t75" stroked="false">
              <v:imagedata r:id="rId110" o:title=""/>
            </v:shape>
            <v:shape style="position:absolute;left:2582;top:3729;width:428;height:197" type="#_x0000_t75" stroked="false">
              <v:imagedata r:id="rId110" o:title=""/>
            </v:shape>
            <v:shape style="position:absolute;left:1598;top:1050;width:380;height:2621" type="#_x0000_t75" stroked="false">
              <v:imagedata r:id="rId111" o:title=""/>
            </v:shape>
            <v:shape style="position:absolute;left:1864;top:3566;width:88;height:110" coordorigin="1865,3566" coordsize="88,110" path="m1917,3566l1901,3566,1894,3568,1883,3574,1878,3579,1871,3590,1869,3597,1865,3613,1865,3621,1865,3643,1865,3652,1868,3668,1870,3675,1871,3676,1891,3676,1890,3676,1886,3667,1884,3662,1882,3648,1882,3643,1882,3621,1882,3617,1884,3605,1885,3599,1889,3590,1892,3587,1898,3581,1903,3580,1941,3580,1939,3577,1935,3573,1924,3568,1917,3566xm1941,3580l1912,3580,1914,3580,1919,3582,1922,3583,1926,3587,1927,3589,1929,3592,1930,3595,1931,3598,1932,3602,1933,3606,1934,3610,1934,3621,1934,3643,1934,3650,1933,3655,1932,3662,1931,3666,1930,3669,1928,3672,1927,3674,1925,3676,1944,3676,1945,3673,1948,3666,1951,3650,1952,3643,1952,3621,1951,3612,1948,3595,1946,3589,1941,3580xe" filled="true" fillcolor="#000000" stroked="false">
              <v:path arrowok="t"/>
              <v:fill type="solid"/>
            </v:shape>
            <v:shape style="position:absolute;left:3859;top:537;width:2578;height:351" type="#_x0000_t75" stroked="false">
              <v:imagedata r:id="rId112" o:title=""/>
            </v:shape>
            <v:shape style="position:absolute;left:4562;top:4151;width:1417;height:202" type="#_x0000_t202" filled="false" stroked="false">
              <v:textbox inset="0,0,0,0">
                <w:txbxContent>
                  <w:p>
                    <w:pPr>
                      <w:spacing w:line="202" w:lineRule="exact" w:before="0"/>
                      <w:ind w:left="0" w:right="0" w:firstLine="0"/>
                      <w:jc w:val="left"/>
                      <w:rPr>
                        <w:rFonts w:ascii="Calibri"/>
                        <w:sz w:val="20"/>
                      </w:rPr>
                    </w:pPr>
                    <w:r>
                      <w:rPr>
                        <w:rFonts w:ascii="Calibri"/>
                        <w:sz w:val="20"/>
                      </w:rPr>
                      <w:t>Return On Equity</w:t>
                    </w:r>
                  </w:p>
                </w:txbxContent>
              </v:textbox>
              <w10:wrap type="none"/>
            </v:shape>
            <v:shape style="position:absolute;left:7740;top:3738;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2019</w:t>
                    </w:r>
                  </w:p>
                </w:txbxContent>
              </v:textbox>
              <w10:wrap type="none"/>
            </v:shape>
            <v:shape style="position:absolute;left:6453;top:3738;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2018</w:t>
                    </w:r>
                  </w:p>
                </w:txbxContent>
              </v:textbox>
              <w10:wrap type="none"/>
            </v:shape>
            <v:shape style="position:absolute;left:5162;top:3738;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2017</w:t>
                    </w:r>
                  </w:p>
                </w:txbxContent>
              </v:textbox>
              <w10:wrap type="none"/>
            </v:shape>
            <v:shape style="position:absolute;left:3870;top:3738;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2016</w:t>
                    </w:r>
                  </w:p>
                </w:txbxContent>
              </v:textbox>
              <w10:wrap type="none"/>
            </v:shape>
            <v:shape style="position:absolute;left:2583;top:3738;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2015</w:t>
                    </w:r>
                  </w:p>
                </w:txbxContent>
              </v:textbox>
              <w10:wrap type="none"/>
            </v:shape>
            <v:shape style="position:absolute;left:1603;top:1064;width:377;height:2185" type="#_x0000_t202" filled="false" stroked="false">
              <v:textbox inset="0,0,0,0">
                <w:txbxContent>
                  <w:p>
                    <w:pPr>
                      <w:spacing w:line="205" w:lineRule="exact" w:before="0"/>
                      <w:ind w:left="0" w:right="0" w:firstLine="0"/>
                      <w:jc w:val="left"/>
                      <w:rPr>
                        <w:rFonts w:ascii="Calibri"/>
                        <w:sz w:val="20"/>
                      </w:rPr>
                    </w:pPr>
                    <w:r>
                      <w:rPr>
                        <w:rFonts w:ascii="Calibri"/>
                        <w:sz w:val="20"/>
                      </w:rPr>
                      <w:t>0.25</w:t>
                    </w:r>
                  </w:p>
                  <w:p>
                    <w:pPr>
                      <w:spacing w:line="240" w:lineRule="auto" w:before="10"/>
                      <w:rPr>
                        <w:b/>
                        <w:sz w:val="20"/>
                      </w:rPr>
                    </w:pPr>
                  </w:p>
                  <w:p>
                    <w:pPr>
                      <w:spacing w:before="0"/>
                      <w:ind w:left="0" w:right="18" w:firstLine="0"/>
                      <w:jc w:val="right"/>
                      <w:rPr>
                        <w:rFonts w:ascii="Calibri"/>
                        <w:sz w:val="20"/>
                      </w:rPr>
                    </w:pPr>
                    <w:r>
                      <w:rPr>
                        <w:rFonts w:ascii="Calibri"/>
                        <w:spacing w:val="-1"/>
                        <w:sz w:val="20"/>
                      </w:rPr>
                      <w:t>0.2</w:t>
                    </w:r>
                  </w:p>
                  <w:p>
                    <w:pPr>
                      <w:spacing w:line="240" w:lineRule="auto" w:before="3"/>
                      <w:rPr>
                        <w:b/>
                        <w:sz w:val="22"/>
                      </w:rPr>
                    </w:pPr>
                  </w:p>
                  <w:p>
                    <w:pPr>
                      <w:spacing w:before="0"/>
                      <w:ind w:left="0" w:right="18" w:firstLine="0"/>
                      <w:jc w:val="right"/>
                      <w:rPr>
                        <w:rFonts w:ascii="Calibri"/>
                        <w:sz w:val="20"/>
                      </w:rPr>
                    </w:pPr>
                    <w:r>
                      <w:rPr>
                        <w:rFonts w:ascii="Calibri"/>
                        <w:spacing w:val="-1"/>
                        <w:sz w:val="20"/>
                      </w:rPr>
                      <w:t>0.15</w:t>
                    </w:r>
                  </w:p>
                  <w:p>
                    <w:pPr>
                      <w:spacing w:line="240" w:lineRule="auto" w:before="2"/>
                      <w:rPr>
                        <w:b/>
                        <w:sz w:val="22"/>
                      </w:rPr>
                    </w:pPr>
                  </w:p>
                  <w:p>
                    <w:pPr>
                      <w:spacing w:before="0"/>
                      <w:ind w:left="0" w:right="18" w:firstLine="0"/>
                      <w:jc w:val="right"/>
                      <w:rPr>
                        <w:rFonts w:ascii="Calibri"/>
                        <w:sz w:val="20"/>
                      </w:rPr>
                    </w:pPr>
                    <w:r>
                      <w:rPr>
                        <w:rFonts w:ascii="Calibri"/>
                        <w:spacing w:val="-1"/>
                        <w:sz w:val="20"/>
                      </w:rPr>
                      <w:t>0.1</w:t>
                    </w:r>
                  </w:p>
                  <w:p>
                    <w:pPr>
                      <w:spacing w:line="240" w:lineRule="auto" w:before="2"/>
                      <w:rPr>
                        <w:b/>
                        <w:sz w:val="22"/>
                      </w:rPr>
                    </w:pPr>
                  </w:p>
                  <w:p>
                    <w:pPr>
                      <w:spacing w:line="241" w:lineRule="exact" w:before="0"/>
                      <w:ind w:left="0" w:right="0" w:firstLine="0"/>
                      <w:jc w:val="left"/>
                      <w:rPr>
                        <w:rFonts w:ascii="Calibri"/>
                        <w:sz w:val="20"/>
                      </w:rPr>
                    </w:pPr>
                    <w:r>
                      <w:rPr>
                        <w:rFonts w:ascii="Calibri"/>
                        <w:sz w:val="20"/>
                      </w:rPr>
                      <w:t>0.05</w:t>
                    </w:r>
                  </w:p>
                </w:txbxContent>
              </v:textbox>
              <w10:wrap type="none"/>
            </v:shape>
            <v:shape style="position:absolute;left:3860;top:556;width:2585;height:360" type="#_x0000_t202" filled="false" stroked="false">
              <v:textbox inset="0,0,0,0">
                <w:txbxContent>
                  <w:p>
                    <w:pPr>
                      <w:spacing w:line="360" w:lineRule="exact" w:before="0"/>
                      <w:ind w:left="0" w:right="0" w:firstLine="0"/>
                      <w:jc w:val="left"/>
                      <w:rPr>
                        <w:rFonts w:ascii="Calibri"/>
                        <w:b/>
                        <w:sz w:val="36"/>
                      </w:rPr>
                    </w:pPr>
                    <w:r>
                      <w:rPr>
                        <w:rFonts w:ascii="Calibri"/>
                        <w:b/>
                        <w:sz w:val="36"/>
                      </w:rPr>
                      <w:t>Return On Equity</w:t>
                    </w:r>
                  </w:p>
                </w:txbxContent>
              </v:textbox>
              <w10:wrap type="none"/>
            </v:shape>
            <w10:wrap type="topAndBottom"/>
          </v:group>
        </w:pict>
      </w:r>
    </w:p>
    <w:p>
      <w:pPr>
        <w:pStyle w:val="BodyText"/>
        <w:spacing w:before="10"/>
        <w:rPr>
          <w:b/>
          <w:sz w:val="22"/>
        </w:rPr>
      </w:pPr>
    </w:p>
    <w:p>
      <w:pPr>
        <w:pStyle w:val="BodyText"/>
        <w:spacing w:line="360" w:lineRule="auto" w:before="1"/>
        <w:ind w:left="340" w:right="137"/>
        <w:jc w:val="both"/>
      </w:pPr>
      <w:r>
        <w:rPr/>
        <w:t>From</w:t>
      </w:r>
      <w:r>
        <w:rPr>
          <w:spacing w:val="-18"/>
        </w:rPr>
        <w:t> </w:t>
      </w:r>
      <w:r>
        <w:rPr/>
        <w:t>the</w:t>
      </w:r>
      <w:r>
        <w:rPr>
          <w:spacing w:val="-9"/>
        </w:rPr>
        <w:t> </w:t>
      </w:r>
      <w:r>
        <w:rPr/>
        <w:t>table</w:t>
      </w:r>
      <w:r>
        <w:rPr>
          <w:spacing w:val="-10"/>
        </w:rPr>
        <w:t> </w:t>
      </w:r>
      <w:r>
        <w:rPr/>
        <w:t>and</w:t>
      </w:r>
      <w:r>
        <w:rPr>
          <w:spacing w:val="-3"/>
        </w:rPr>
        <w:t> </w:t>
      </w:r>
      <w:r>
        <w:rPr/>
        <w:t>figure</w:t>
      </w:r>
      <w:r>
        <w:rPr>
          <w:spacing w:val="-10"/>
        </w:rPr>
        <w:t> </w:t>
      </w:r>
      <w:r>
        <w:rPr/>
        <w:t>we</w:t>
      </w:r>
      <w:r>
        <w:rPr>
          <w:spacing w:val="-9"/>
        </w:rPr>
        <w:t> </w:t>
      </w:r>
      <w:r>
        <w:rPr/>
        <w:t>see</w:t>
      </w:r>
      <w:r>
        <w:rPr>
          <w:spacing w:val="-10"/>
        </w:rPr>
        <w:t> </w:t>
      </w:r>
      <w:r>
        <w:rPr/>
        <w:t>that</w:t>
      </w:r>
      <w:r>
        <w:rPr>
          <w:spacing w:val="-3"/>
        </w:rPr>
        <w:t> </w:t>
      </w:r>
      <w:r>
        <w:rPr/>
        <w:t>return</w:t>
      </w:r>
      <w:r>
        <w:rPr>
          <w:spacing w:val="-18"/>
        </w:rPr>
        <w:t> </w:t>
      </w:r>
      <w:r>
        <w:rPr/>
        <w:t>on</w:t>
      </w:r>
      <w:r>
        <w:rPr>
          <w:spacing w:val="-12"/>
        </w:rPr>
        <w:t> </w:t>
      </w:r>
      <w:r>
        <w:rPr/>
        <w:t>stockholders’</w:t>
      </w:r>
      <w:r>
        <w:rPr>
          <w:spacing w:val="-12"/>
        </w:rPr>
        <w:t> </w:t>
      </w:r>
      <w:r>
        <w:rPr/>
        <w:t>equity</w:t>
      </w:r>
      <w:r>
        <w:rPr>
          <w:spacing w:val="-17"/>
        </w:rPr>
        <w:t> </w:t>
      </w:r>
      <w:r>
        <w:rPr/>
        <w:t>of</w:t>
      </w:r>
      <w:r>
        <w:rPr>
          <w:spacing w:val="-17"/>
        </w:rPr>
        <w:t> </w:t>
      </w:r>
      <w:r>
        <w:rPr/>
        <w:t>the</w:t>
      </w:r>
      <w:r>
        <w:rPr>
          <w:spacing w:val="-9"/>
        </w:rPr>
        <w:t> </w:t>
      </w:r>
      <w:r>
        <w:rPr/>
        <w:t>CBL</w:t>
      </w:r>
      <w:r>
        <w:rPr>
          <w:spacing w:val="-11"/>
        </w:rPr>
        <w:t> </w:t>
      </w:r>
      <w:r>
        <w:rPr/>
        <w:t>was</w:t>
      </w:r>
      <w:r>
        <w:rPr>
          <w:spacing w:val="-10"/>
        </w:rPr>
        <w:t> </w:t>
      </w:r>
      <w:r>
        <w:rPr/>
        <w:t>0.020</w:t>
      </w:r>
      <w:r>
        <w:rPr>
          <w:spacing w:val="-9"/>
        </w:rPr>
        <w:t> </w:t>
      </w:r>
      <w:r>
        <w:rPr>
          <w:spacing w:val="-3"/>
        </w:rPr>
        <w:t>in</w:t>
      </w:r>
      <w:r>
        <w:rPr>
          <w:spacing w:val="-12"/>
        </w:rPr>
        <w:t> </w:t>
      </w:r>
      <w:r>
        <w:rPr/>
        <w:t>2015. In 2016 the rate was increased by 0.076. But </w:t>
      </w:r>
      <w:r>
        <w:rPr>
          <w:spacing w:val="-3"/>
        </w:rPr>
        <w:t>in </w:t>
      </w:r>
      <w:r>
        <w:rPr>
          <w:spacing w:val="2"/>
        </w:rPr>
        <w:t>2017 </w:t>
      </w:r>
      <w:r>
        <w:rPr/>
        <w:t>the bank was doing well and the rate was increased.</w:t>
      </w:r>
      <w:r>
        <w:rPr>
          <w:spacing w:val="10"/>
        </w:rPr>
        <w:t> </w:t>
      </w:r>
      <w:r>
        <w:rPr/>
        <w:t>During</w:t>
      </w:r>
      <w:r>
        <w:rPr>
          <w:spacing w:val="9"/>
        </w:rPr>
        <w:t> </w:t>
      </w:r>
      <w:r>
        <w:rPr/>
        <w:t>the</w:t>
      </w:r>
      <w:r>
        <w:rPr>
          <w:spacing w:val="8"/>
        </w:rPr>
        <w:t> </w:t>
      </w:r>
      <w:r>
        <w:rPr/>
        <w:t>period</w:t>
      </w:r>
      <w:r>
        <w:rPr>
          <w:spacing w:val="8"/>
        </w:rPr>
        <w:t> </w:t>
      </w:r>
      <w:r>
        <w:rPr/>
        <w:t>of</w:t>
      </w:r>
      <w:r>
        <w:rPr>
          <w:spacing w:val="1"/>
        </w:rPr>
        <w:t> </w:t>
      </w:r>
      <w:r>
        <w:rPr/>
        <w:t>2018</w:t>
      </w:r>
      <w:r>
        <w:rPr>
          <w:spacing w:val="5"/>
        </w:rPr>
        <w:t> </w:t>
      </w:r>
      <w:r>
        <w:rPr/>
        <w:t>the</w:t>
      </w:r>
      <w:r>
        <w:rPr>
          <w:spacing w:val="8"/>
        </w:rPr>
        <w:t> </w:t>
      </w:r>
      <w:r>
        <w:rPr>
          <w:spacing w:val="-3"/>
        </w:rPr>
        <w:t>bank</w:t>
      </w:r>
      <w:r>
        <w:rPr>
          <w:spacing w:val="9"/>
        </w:rPr>
        <w:t> </w:t>
      </w:r>
      <w:r>
        <w:rPr/>
        <w:t>was</w:t>
      </w:r>
      <w:r>
        <w:rPr>
          <w:spacing w:val="6"/>
        </w:rPr>
        <w:t> </w:t>
      </w:r>
      <w:r>
        <w:rPr/>
        <w:t>outperformed</w:t>
      </w:r>
      <w:r>
        <w:rPr>
          <w:spacing w:val="9"/>
        </w:rPr>
        <w:t> </w:t>
      </w:r>
      <w:r>
        <w:rPr/>
        <w:t>and</w:t>
      </w:r>
      <w:r>
        <w:rPr>
          <w:spacing w:val="9"/>
        </w:rPr>
        <w:t> </w:t>
      </w:r>
      <w:r>
        <w:rPr/>
        <w:t>achieved</w:t>
      </w:r>
      <w:r>
        <w:rPr>
          <w:spacing w:val="9"/>
        </w:rPr>
        <w:t> </w:t>
      </w:r>
      <w:r>
        <w:rPr/>
        <w:t>the</w:t>
      </w:r>
      <w:r>
        <w:rPr>
          <w:spacing w:val="7"/>
        </w:rPr>
        <w:t> </w:t>
      </w:r>
      <w:r>
        <w:rPr/>
        <w:t>percentage</w:t>
      </w:r>
      <w:r>
        <w:rPr>
          <w:spacing w:val="4"/>
        </w:rPr>
        <w:t> </w:t>
      </w:r>
      <w:r>
        <w:rPr/>
        <w:t>of</w:t>
      </w:r>
    </w:p>
    <w:p>
      <w:pPr>
        <w:pStyle w:val="BodyText"/>
        <w:spacing w:line="273" w:lineRule="exact"/>
        <w:ind w:left="340"/>
        <w:jc w:val="both"/>
      </w:pPr>
      <w:r>
        <w:rPr/>
        <w:t>0.205 in ROE but it was decreased in 2019 (0.132).</w:t>
      </w:r>
    </w:p>
    <w:p>
      <w:pPr>
        <w:pStyle w:val="BodyText"/>
        <w:spacing w:before="5"/>
        <w:rPr>
          <w:sz w:val="34"/>
        </w:rPr>
      </w:pPr>
    </w:p>
    <w:p>
      <w:pPr>
        <w:pStyle w:val="Heading3"/>
        <w:numPr>
          <w:ilvl w:val="2"/>
          <w:numId w:val="15"/>
        </w:numPr>
        <w:tabs>
          <w:tab w:pos="883" w:val="left" w:leader="none"/>
        </w:tabs>
        <w:spacing w:line="240" w:lineRule="auto" w:before="0" w:after="0"/>
        <w:ind w:left="882" w:right="0" w:hanging="543"/>
        <w:jc w:val="left"/>
      </w:pPr>
      <w:r>
        <w:rPr/>
        <w:t>Debt</w:t>
      </w:r>
      <w:r>
        <w:rPr>
          <w:spacing w:val="2"/>
        </w:rPr>
        <w:t> </w:t>
      </w:r>
      <w:r>
        <w:rPr/>
        <w:t>Ratio</w:t>
      </w:r>
    </w:p>
    <w:p>
      <w:pPr>
        <w:pStyle w:val="BodyText"/>
        <w:spacing w:line="360" w:lineRule="auto" w:before="137"/>
        <w:ind w:left="340" w:right="63"/>
      </w:pPr>
      <w:r>
        <w:rPr/>
        <w:t>It is a financial ratio that indicates the extent of a bank’s leverage. A higher ratio indicates that the bank is more leverage.</w:t>
      </w:r>
    </w:p>
    <w:p>
      <w:pPr>
        <w:pStyle w:val="Heading3"/>
        <w:spacing w:before="3"/>
      </w:pPr>
      <w:r>
        <w:rPr/>
        <w:t>Formula: Total Liabilities / Total Assets</w:t>
      </w:r>
    </w:p>
    <w:p>
      <w:pPr>
        <w:pStyle w:val="BodyText"/>
        <w:spacing w:before="2"/>
        <w:rPr>
          <w:b/>
          <w:sz w:val="12"/>
        </w:rPr>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48"/>
        <w:gridCol w:w="1488"/>
        <w:gridCol w:w="1061"/>
        <w:gridCol w:w="1138"/>
        <w:gridCol w:w="1027"/>
        <w:gridCol w:w="903"/>
      </w:tblGrid>
      <w:tr>
        <w:trPr>
          <w:trHeight w:val="307" w:hRule="atLeast"/>
        </w:trPr>
        <w:tc>
          <w:tcPr>
            <w:tcW w:w="3448" w:type="dxa"/>
          </w:tcPr>
          <w:p>
            <w:pPr>
              <w:pStyle w:val="TableParagraph"/>
              <w:spacing w:line="240" w:lineRule="auto" w:before="11"/>
              <w:rPr>
                <w:sz w:val="24"/>
              </w:rPr>
            </w:pPr>
            <w:r>
              <w:rPr>
                <w:sz w:val="24"/>
              </w:rPr>
              <w:t>Year</w:t>
            </w:r>
          </w:p>
        </w:tc>
        <w:tc>
          <w:tcPr>
            <w:tcW w:w="1488" w:type="dxa"/>
          </w:tcPr>
          <w:p>
            <w:pPr>
              <w:pStyle w:val="TableParagraph"/>
              <w:spacing w:line="240" w:lineRule="auto" w:before="11"/>
              <w:rPr>
                <w:sz w:val="24"/>
              </w:rPr>
            </w:pPr>
            <w:r>
              <w:rPr>
                <w:sz w:val="24"/>
              </w:rPr>
              <w:t>2015</w:t>
            </w:r>
          </w:p>
        </w:tc>
        <w:tc>
          <w:tcPr>
            <w:tcW w:w="1061" w:type="dxa"/>
          </w:tcPr>
          <w:p>
            <w:pPr>
              <w:pStyle w:val="TableParagraph"/>
              <w:spacing w:line="240" w:lineRule="auto" w:before="11"/>
              <w:rPr>
                <w:sz w:val="24"/>
              </w:rPr>
            </w:pPr>
            <w:r>
              <w:rPr>
                <w:sz w:val="24"/>
              </w:rPr>
              <w:t>2016</w:t>
            </w:r>
          </w:p>
        </w:tc>
        <w:tc>
          <w:tcPr>
            <w:tcW w:w="1138" w:type="dxa"/>
          </w:tcPr>
          <w:p>
            <w:pPr>
              <w:pStyle w:val="TableParagraph"/>
              <w:spacing w:line="240" w:lineRule="auto" w:before="11"/>
              <w:rPr>
                <w:sz w:val="24"/>
              </w:rPr>
            </w:pPr>
            <w:r>
              <w:rPr>
                <w:sz w:val="24"/>
              </w:rPr>
              <w:t>2017</w:t>
            </w:r>
          </w:p>
        </w:tc>
        <w:tc>
          <w:tcPr>
            <w:tcW w:w="1027" w:type="dxa"/>
          </w:tcPr>
          <w:p>
            <w:pPr>
              <w:pStyle w:val="TableParagraph"/>
              <w:spacing w:line="240" w:lineRule="auto" w:before="11"/>
              <w:rPr>
                <w:sz w:val="24"/>
              </w:rPr>
            </w:pPr>
            <w:r>
              <w:rPr>
                <w:sz w:val="24"/>
              </w:rPr>
              <w:t>2018</w:t>
            </w:r>
          </w:p>
        </w:tc>
        <w:tc>
          <w:tcPr>
            <w:tcW w:w="903" w:type="dxa"/>
          </w:tcPr>
          <w:p>
            <w:pPr>
              <w:pStyle w:val="TableParagraph"/>
              <w:spacing w:line="240" w:lineRule="auto" w:before="11"/>
              <w:ind w:left="111"/>
              <w:rPr>
                <w:sz w:val="24"/>
              </w:rPr>
            </w:pPr>
            <w:r>
              <w:rPr>
                <w:sz w:val="24"/>
              </w:rPr>
              <w:t>2019</w:t>
            </w:r>
          </w:p>
        </w:tc>
      </w:tr>
      <w:tr>
        <w:trPr>
          <w:trHeight w:val="306" w:hRule="atLeast"/>
        </w:trPr>
        <w:tc>
          <w:tcPr>
            <w:tcW w:w="3448" w:type="dxa"/>
          </w:tcPr>
          <w:p>
            <w:pPr>
              <w:pStyle w:val="TableParagraph"/>
              <w:spacing w:line="240" w:lineRule="auto" w:before="11"/>
              <w:rPr>
                <w:sz w:val="24"/>
              </w:rPr>
            </w:pPr>
            <w:r>
              <w:rPr>
                <w:sz w:val="24"/>
              </w:rPr>
              <w:t>Debt Ratio</w:t>
            </w:r>
          </w:p>
        </w:tc>
        <w:tc>
          <w:tcPr>
            <w:tcW w:w="1488" w:type="dxa"/>
          </w:tcPr>
          <w:p>
            <w:pPr>
              <w:pStyle w:val="TableParagraph"/>
              <w:spacing w:line="240" w:lineRule="auto" w:before="11"/>
              <w:rPr>
                <w:sz w:val="24"/>
              </w:rPr>
            </w:pPr>
            <w:r>
              <w:rPr>
                <w:sz w:val="24"/>
              </w:rPr>
              <w:t>0.877</w:t>
            </w:r>
          </w:p>
        </w:tc>
        <w:tc>
          <w:tcPr>
            <w:tcW w:w="1061" w:type="dxa"/>
          </w:tcPr>
          <w:p>
            <w:pPr>
              <w:pStyle w:val="TableParagraph"/>
              <w:spacing w:line="240" w:lineRule="auto" w:before="11"/>
              <w:rPr>
                <w:sz w:val="24"/>
              </w:rPr>
            </w:pPr>
            <w:r>
              <w:rPr>
                <w:sz w:val="24"/>
              </w:rPr>
              <w:t>0.876</w:t>
            </w:r>
          </w:p>
        </w:tc>
        <w:tc>
          <w:tcPr>
            <w:tcW w:w="1138" w:type="dxa"/>
          </w:tcPr>
          <w:p>
            <w:pPr>
              <w:pStyle w:val="TableParagraph"/>
              <w:spacing w:line="240" w:lineRule="auto" w:before="11"/>
              <w:rPr>
                <w:sz w:val="24"/>
              </w:rPr>
            </w:pPr>
            <w:r>
              <w:rPr>
                <w:sz w:val="24"/>
              </w:rPr>
              <w:t>0.885</w:t>
            </w:r>
          </w:p>
        </w:tc>
        <w:tc>
          <w:tcPr>
            <w:tcW w:w="1027" w:type="dxa"/>
          </w:tcPr>
          <w:p>
            <w:pPr>
              <w:pStyle w:val="TableParagraph"/>
              <w:spacing w:line="240" w:lineRule="auto" w:before="11"/>
              <w:rPr>
                <w:sz w:val="24"/>
              </w:rPr>
            </w:pPr>
            <w:r>
              <w:rPr>
                <w:sz w:val="24"/>
              </w:rPr>
              <w:t>0.922</w:t>
            </w:r>
          </w:p>
        </w:tc>
        <w:tc>
          <w:tcPr>
            <w:tcW w:w="903" w:type="dxa"/>
          </w:tcPr>
          <w:p>
            <w:pPr>
              <w:pStyle w:val="TableParagraph"/>
              <w:spacing w:line="240" w:lineRule="auto" w:before="11"/>
              <w:ind w:left="111"/>
              <w:rPr>
                <w:sz w:val="24"/>
              </w:rPr>
            </w:pPr>
            <w:r>
              <w:rPr>
                <w:sz w:val="24"/>
              </w:rPr>
              <w:t>0.906</w:t>
            </w:r>
          </w:p>
        </w:tc>
      </w:tr>
    </w:tbl>
    <w:p>
      <w:pPr>
        <w:spacing w:after="0" w:line="240" w:lineRule="auto"/>
        <w:rPr>
          <w:sz w:val="24"/>
        </w:rPr>
        <w:sectPr>
          <w:pgSz w:w="12240" w:h="15840"/>
          <w:pgMar w:header="0" w:footer="1039" w:top="1360" w:bottom="1220" w:left="1100" w:right="1300"/>
        </w:sectPr>
      </w:pPr>
    </w:p>
    <w:p>
      <w:pPr>
        <w:pStyle w:val="BodyText"/>
        <w:spacing w:before="8"/>
        <w:rPr>
          <w:b/>
          <w:sz w:val="14"/>
        </w:rPr>
      </w:pPr>
    </w:p>
    <w:p>
      <w:pPr>
        <w:pStyle w:val="BodyText"/>
        <w:ind w:left="340"/>
        <w:rPr>
          <w:sz w:val="20"/>
        </w:rPr>
      </w:pPr>
      <w:r>
        <w:rPr>
          <w:sz w:val="20"/>
        </w:rPr>
        <w:pict>
          <v:group style="width:446.85pt;height:195.85pt;mso-position-horizontal-relative:char;mso-position-vertical-relative:line" coordorigin="0,0" coordsize="8937,3917">
            <v:line style="position:absolute" from="8326,2739" to="8662,2739" stroked="true" strokeweight=".75pt" strokecolor="#858585">
              <v:stroke dashstyle="solid"/>
            </v:line>
            <v:line style="position:absolute" from="6758,2739" to="7430,2739" stroked="true" strokeweight=".75pt" strokecolor="#858585">
              <v:stroke dashstyle="solid"/>
            </v:line>
            <v:line style="position:absolute" from="5190,2739" to="5862,2739" stroked="true" strokeweight=".75pt" strokecolor="#858585">
              <v:stroke dashstyle="solid"/>
            </v:line>
            <v:line style="position:absolute" from="3622,2739" to="4294,2739" stroked="true" strokeweight=".75pt" strokecolor="#858585">
              <v:stroke dashstyle="solid"/>
            </v:line>
            <v:line style="position:absolute" from="2056,2739" to="2727,2739" stroked="true" strokeweight=".75pt" strokecolor="#858585">
              <v:stroke dashstyle="solid"/>
            </v:line>
            <v:line style="position:absolute" from="822,2739" to="1159,2739" stroked="true" strokeweight=".75pt" strokecolor="#858585">
              <v:stroke dashstyle="solid"/>
            </v:line>
            <v:line style="position:absolute" from="2056,2457" to="2727,2457" stroked="true" strokeweight=".75pt" strokecolor="#858585">
              <v:stroke dashstyle="solid"/>
            </v:line>
            <v:line style="position:absolute" from="822,2457" to="1159,2457" stroked="true" strokeweight=".75pt" strokecolor="#858585">
              <v:stroke dashstyle="solid"/>
            </v:line>
            <v:rect style="position:absolute;left:1158;top:2258;width:897;height:763" filled="true" fillcolor="#4f81bb" stroked="false">
              <v:fill type="solid"/>
            </v:rect>
            <v:line style="position:absolute" from="3622,2457" to="4294,2457" stroked="true" strokeweight=".75pt" strokecolor="#858585">
              <v:stroke dashstyle="solid"/>
            </v:line>
            <v:rect style="position:absolute;left:2725;top:2287;width:897;height:735" filled="true" fillcolor="#4f81bb" stroked="false">
              <v:fill type="solid"/>
            </v:rect>
            <v:line style="position:absolute" from="5190,2457" to="5862,2457" stroked="true" strokeweight=".75pt" strokecolor="#858585">
              <v:stroke dashstyle="solid"/>
            </v:line>
            <v:line style="position:absolute" from="5190,2175" to="5862,2175" stroked="true" strokeweight=".75pt" strokecolor="#858585">
              <v:stroke dashstyle="solid"/>
            </v:line>
            <v:line style="position:absolute" from="822,2175" to="4294,2175" stroked="true" strokeweight=".75pt" strokecolor="#858585">
              <v:stroke dashstyle="solid"/>
            </v:line>
            <v:rect style="position:absolute;left:4293;top:2034;width:897;height:988" filled="true" fillcolor="#4f81bb" stroked="false">
              <v:fill type="solid"/>
            </v:rect>
            <v:line style="position:absolute" from="6758,2457" to="7430,2457" stroked="true" strokeweight=".75pt" strokecolor="#858585">
              <v:stroke dashstyle="solid"/>
            </v:line>
            <v:line style="position:absolute" from="6758,2175" to="7430,2175" stroked="true" strokeweight=".75pt" strokecolor="#858585">
              <v:stroke dashstyle="solid"/>
            </v:line>
            <v:line style="position:absolute" from="6758,1893" to="7430,1893" stroked="true" strokeweight=".75pt" strokecolor="#858585">
              <v:stroke dashstyle="solid"/>
            </v:line>
            <v:line style="position:absolute" from="822,1893" to="5862,1893" stroked="true" strokeweight=".75pt" strokecolor="#858585">
              <v:stroke dashstyle="solid"/>
            </v:line>
            <v:line style="position:absolute" from="6758,1611" to="7430,1611" stroked="true" strokeweight=".75pt" strokecolor="#858585">
              <v:stroke dashstyle="solid"/>
            </v:line>
            <v:line style="position:absolute" from="822,1611" to="5862,1611" stroked="true" strokeweight=".75pt" strokecolor="#858585">
              <v:stroke dashstyle="solid"/>
            </v:line>
            <v:line style="position:absolute" from="6758,1332" to="8662,1332" stroked="true" strokeweight=".75pt" strokecolor="#858585">
              <v:stroke dashstyle="solid"/>
            </v:line>
            <v:line style="position:absolute" from="822,1332" to="5862,1332" stroked="true" strokeweight=".75pt" strokecolor="#858585">
              <v:stroke dashstyle="solid"/>
            </v:line>
            <v:line style="position:absolute" from="6758,1051" to="8662,1051" stroked="true" strokeweight=".75pt" strokecolor="#858585">
              <v:stroke dashstyle="solid"/>
            </v:line>
            <v:line style="position:absolute" from="822,1051" to="5862,1051" stroked="true" strokeweight=".75pt" strokecolor="#858585">
              <v:stroke dashstyle="solid"/>
            </v:line>
            <v:rect style="position:absolute;left:5861;top:993;width:897;height:2028" filled="true" fillcolor="#4f81bb" stroked="false">
              <v:fill type="solid"/>
            </v:rect>
            <v:line style="position:absolute" from="8326,2457" to="8662,2457" stroked="true" strokeweight=".75pt" strokecolor="#858585">
              <v:stroke dashstyle="solid"/>
            </v:line>
            <v:line style="position:absolute" from="8326,2175" to="8662,2175" stroked="true" strokeweight=".75pt" strokecolor="#858585">
              <v:stroke dashstyle="solid"/>
            </v:line>
            <v:line style="position:absolute" from="8326,1893" to="8662,1893" stroked="true" strokeweight=".75pt" strokecolor="#858585">
              <v:stroke dashstyle="solid"/>
            </v:line>
            <v:line style="position:absolute" from="8326,1611" to="8662,1611" stroked="true" strokeweight=".75pt" strokecolor="#858585">
              <v:stroke dashstyle="solid"/>
            </v:line>
            <v:rect style="position:absolute;left:7429;top:1444;width:897;height:1577" filled="true" fillcolor="#4f81bb" stroked="false">
              <v:fill type="solid"/>
            </v:rect>
            <v:line style="position:absolute" from="822,3021" to="822,3021" stroked="true" strokeweight=".75pt" strokecolor="#858585">
              <v:stroke dashstyle="solid"/>
            </v:line>
            <v:line style="position:absolute" from="822,3021" to="8662,3021" stroked="true" strokeweight=".75pt" strokecolor="#858585">
              <v:stroke dashstyle="solid"/>
            </v:line>
            <v:line style="position:absolute" from="822,767" to="8662,767" stroked="true" strokeweight=".75pt" strokecolor="#858585">
              <v:stroke dashstyle="solid"/>
            </v:line>
            <v:rect style="position:absolute;left:3894;top:3587;width:134;height:100" filled="true" fillcolor="#4f81bb" stroked="false">
              <v:fill type="solid"/>
            </v:rect>
            <v:rect style="position:absolute;left:7;top:7;width:8922;height:3902" filled="false" stroked="true" strokeweight=".75pt" strokecolor="#858585">
              <v:stroke dashstyle="solid"/>
            </v:rect>
            <v:shape style="position:absolute;left:3502;top:211;width:1959;height:322" type="#_x0000_t75" stroked="false">
              <v:imagedata r:id="rId113" o:title=""/>
            </v:shape>
            <v:shape style="position:absolute;left:166;top:682;width:456;height:2439" type="#_x0000_t75" stroked="false">
              <v:imagedata r:id="rId114" o:title=""/>
            </v:shape>
            <v:shape style="position:absolute;left:1362;top:3173;width:514;height:183" type="#_x0000_t75" stroked="false">
              <v:imagedata r:id="rId115" o:title=""/>
            </v:shape>
            <v:shape style="position:absolute;left:2926;top:3173;width:519;height:183" type="#_x0000_t75" stroked="false">
              <v:imagedata r:id="rId116" o:title=""/>
            </v:shape>
            <v:shape style="position:absolute;left:4496;top:3173;width:519;height:183" type="#_x0000_t75" stroked="false">
              <v:imagedata r:id="rId116" o:title=""/>
            </v:shape>
            <v:shape style="position:absolute;left:6066;top:3173;width:519;height:183" type="#_x0000_t75" stroked="false">
              <v:imagedata r:id="rId116" o:title=""/>
            </v:shape>
            <v:shape style="position:absolute;left:7630;top:3173;width:519;height:183" type="#_x0000_t75" stroked="false">
              <v:imagedata r:id="rId116" o:title=""/>
            </v:shape>
            <v:shape style="position:absolute;left:4088;top:3552;width:1071;height:183" type="#_x0000_t75" stroked="false">
              <v:imagedata r:id="rId117" o:title=""/>
            </v:shape>
            <v:shape style="position:absolute;left:4090;top:3565;width:890;height:202" type="#_x0000_t202" filled="false" stroked="false">
              <v:textbox inset="0,0,0,0">
                <w:txbxContent>
                  <w:p>
                    <w:pPr>
                      <w:spacing w:line="202" w:lineRule="exact" w:before="0"/>
                      <w:ind w:left="0" w:right="0" w:firstLine="0"/>
                      <w:jc w:val="left"/>
                      <w:rPr>
                        <w:rFonts w:ascii="Calibri"/>
                        <w:sz w:val="20"/>
                      </w:rPr>
                    </w:pPr>
                    <w:r>
                      <w:rPr>
                        <w:rFonts w:ascii="Calibri"/>
                        <w:sz w:val="20"/>
                      </w:rPr>
                      <w:t>Debt Ratio</w:t>
                    </w:r>
                  </w:p>
                </w:txbxContent>
              </v:textbox>
              <w10:wrap type="none"/>
            </v:shape>
            <v:shape style="position:absolute;left:7634;top:3181;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2018</w:t>
                    </w:r>
                  </w:p>
                </w:txbxContent>
              </v:textbox>
              <w10:wrap type="none"/>
            </v:shape>
            <v:shape style="position:absolute;left:6068;top:3181;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2017</w:t>
                    </w:r>
                  </w:p>
                </w:txbxContent>
              </v:textbox>
              <w10:wrap type="none"/>
            </v:shape>
            <v:shape style="position:absolute;left:4498;top:3181;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2016</w:t>
                    </w:r>
                  </w:p>
                </w:txbxContent>
              </v:textbox>
              <w10:wrap type="none"/>
            </v:shape>
            <v:shape style="position:absolute;left:2928;top:3181;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2015</w:t>
                    </w:r>
                  </w:p>
                </w:txbxContent>
              </v:textbox>
              <w10:wrap type="none"/>
            </v:shape>
            <v:shape style="position:absolute;left:1363;top:3181;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2014</w:t>
                    </w:r>
                  </w:p>
                </w:txbxContent>
              </v:textbox>
              <w10:wrap type="none"/>
            </v:shape>
            <v:shape style="position:absolute;left:249;top:695;width:382;height:2377" type="#_x0000_t202" filled="false" stroked="false">
              <v:textbox inset="0,0,0,0">
                <w:txbxContent>
                  <w:p>
                    <w:pPr>
                      <w:spacing w:line="205" w:lineRule="exact" w:before="0"/>
                      <w:ind w:left="0" w:right="22" w:firstLine="0"/>
                      <w:jc w:val="right"/>
                      <w:rPr>
                        <w:rFonts w:ascii="Calibri"/>
                        <w:sz w:val="20"/>
                      </w:rPr>
                    </w:pPr>
                    <w:r>
                      <w:rPr>
                        <w:rFonts w:ascii="Calibri"/>
                        <w:spacing w:val="-1"/>
                        <w:sz w:val="20"/>
                      </w:rPr>
                      <w:t>0.93</w:t>
                    </w:r>
                  </w:p>
                  <w:p>
                    <w:pPr>
                      <w:spacing w:before="58"/>
                      <w:ind w:left="0" w:right="22" w:firstLine="0"/>
                      <w:jc w:val="right"/>
                      <w:rPr>
                        <w:rFonts w:ascii="Calibri"/>
                        <w:sz w:val="20"/>
                      </w:rPr>
                    </w:pPr>
                    <w:r>
                      <w:rPr>
                        <w:rFonts w:ascii="Calibri"/>
                        <w:spacing w:val="-1"/>
                        <w:sz w:val="20"/>
                      </w:rPr>
                      <w:t>0.92</w:t>
                    </w:r>
                  </w:p>
                  <w:p>
                    <w:pPr>
                      <w:spacing w:before="68"/>
                      <w:ind w:left="0" w:right="22" w:firstLine="0"/>
                      <w:jc w:val="right"/>
                      <w:rPr>
                        <w:rFonts w:ascii="Calibri"/>
                        <w:sz w:val="20"/>
                      </w:rPr>
                    </w:pPr>
                    <w:r>
                      <w:rPr>
                        <w:rFonts w:ascii="Calibri"/>
                        <w:spacing w:val="-1"/>
                        <w:sz w:val="20"/>
                      </w:rPr>
                      <w:t>0.91</w:t>
                    </w:r>
                  </w:p>
                  <w:p>
                    <w:pPr>
                      <w:spacing w:before="68"/>
                      <w:ind w:left="0" w:right="18" w:firstLine="0"/>
                      <w:jc w:val="right"/>
                      <w:rPr>
                        <w:rFonts w:ascii="Calibri"/>
                        <w:sz w:val="20"/>
                      </w:rPr>
                    </w:pPr>
                    <w:r>
                      <w:rPr>
                        <w:rFonts w:ascii="Calibri"/>
                        <w:spacing w:val="-2"/>
                        <w:sz w:val="20"/>
                      </w:rPr>
                      <w:t>0.9</w:t>
                    </w:r>
                  </w:p>
                  <w:p>
                    <w:pPr>
                      <w:spacing w:before="68"/>
                      <w:ind w:left="0" w:right="22" w:firstLine="0"/>
                      <w:jc w:val="right"/>
                      <w:rPr>
                        <w:rFonts w:ascii="Calibri"/>
                        <w:sz w:val="20"/>
                      </w:rPr>
                    </w:pPr>
                    <w:r>
                      <w:rPr>
                        <w:rFonts w:ascii="Calibri"/>
                        <w:spacing w:val="-1"/>
                        <w:sz w:val="20"/>
                      </w:rPr>
                      <w:t>0.89</w:t>
                    </w:r>
                  </w:p>
                  <w:p>
                    <w:pPr>
                      <w:spacing w:before="67"/>
                      <w:ind w:left="0" w:right="22" w:firstLine="0"/>
                      <w:jc w:val="right"/>
                      <w:rPr>
                        <w:rFonts w:ascii="Calibri"/>
                        <w:sz w:val="20"/>
                      </w:rPr>
                    </w:pPr>
                    <w:r>
                      <w:rPr>
                        <w:rFonts w:ascii="Calibri"/>
                        <w:spacing w:val="-1"/>
                        <w:sz w:val="20"/>
                      </w:rPr>
                      <w:t>0.88</w:t>
                    </w:r>
                  </w:p>
                  <w:p>
                    <w:pPr>
                      <w:spacing w:before="69"/>
                      <w:ind w:left="0" w:right="22" w:firstLine="0"/>
                      <w:jc w:val="right"/>
                      <w:rPr>
                        <w:rFonts w:ascii="Calibri"/>
                        <w:sz w:val="20"/>
                      </w:rPr>
                    </w:pPr>
                    <w:r>
                      <w:rPr>
                        <w:rFonts w:ascii="Calibri"/>
                        <w:spacing w:val="-1"/>
                        <w:sz w:val="20"/>
                      </w:rPr>
                      <w:t>0.87</w:t>
                    </w:r>
                  </w:p>
                  <w:p>
                    <w:pPr>
                      <w:spacing w:line="241" w:lineRule="exact" w:before="68"/>
                      <w:ind w:left="0" w:right="22" w:firstLine="0"/>
                      <w:jc w:val="right"/>
                      <w:rPr>
                        <w:rFonts w:ascii="Calibri"/>
                        <w:sz w:val="20"/>
                      </w:rPr>
                    </w:pPr>
                    <w:r>
                      <w:rPr>
                        <w:rFonts w:ascii="Calibri"/>
                        <w:spacing w:val="-1"/>
                        <w:sz w:val="20"/>
                      </w:rPr>
                      <w:t>0.86</w:t>
                    </w:r>
                  </w:p>
                </w:txbxContent>
              </v:textbox>
              <w10:wrap type="none"/>
            </v:shape>
            <v:shape style="position:absolute;left:3504;top:229;width:1610;height:361" type="#_x0000_t202" filled="false" stroked="false">
              <v:textbox inset="0,0,0,0">
                <w:txbxContent>
                  <w:p>
                    <w:pPr>
                      <w:spacing w:line="360" w:lineRule="exact" w:before="0"/>
                      <w:ind w:left="0" w:right="0" w:firstLine="0"/>
                      <w:jc w:val="left"/>
                      <w:rPr>
                        <w:rFonts w:ascii="Calibri"/>
                        <w:b/>
                        <w:sz w:val="36"/>
                      </w:rPr>
                    </w:pPr>
                    <w:r>
                      <w:rPr>
                        <w:rFonts w:ascii="Calibri"/>
                        <w:b/>
                        <w:sz w:val="36"/>
                      </w:rPr>
                      <w:t>Debt Ratio</w:t>
                    </w:r>
                  </w:p>
                </w:txbxContent>
              </v:textbox>
              <w10:wrap type="none"/>
            </v:shape>
          </v:group>
        </w:pict>
      </w:r>
      <w:r>
        <w:rPr>
          <w:sz w:val="20"/>
        </w:rPr>
      </w:r>
    </w:p>
    <w:p>
      <w:pPr>
        <w:pStyle w:val="BodyText"/>
        <w:spacing w:line="252" w:lineRule="exact"/>
        <w:ind w:left="340"/>
        <w:jc w:val="both"/>
      </w:pPr>
      <w:r>
        <w:rPr/>
        <w:t>From the table and figure we see that in 2015 the CBL’s debt ratio was 0. 877.In 2016 it was</w:t>
      </w:r>
    </w:p>
    <w:p>
      <w:pPr>
        <w:pStyle w:val="BodyText"/>
        <w:spacing w:line="360" w:lineRule="auto" w:before="137"/>
        <w:ind w:left="340" w:right="141"/>
        <w:jc w:val="both"/>
      </w:pPr>
      <w:r>
        <w:rPr/>
        <w:t>slightly</w:t>
      </w:r>
      <w:r>
        <w:rPr>
          <w:spacing w:val="-15"/>
        </w:rPr>
        <w:t> </w:t>
      </w:r>
      <w:r>
        <w:rPr/>
        <w:t>decreased</w:t>
      </w:r>
      <w:r>
        <w:rPr>
          <w:spacing w:val="-6"/>
        </w:rPr>
        <w:t> </w:t>
      </w:r>
      <w:r>
        <w:rPr>
          <w:spacing w:val="-3"/>
        </w:rPr>
        <w:t>in</w:t>
      </w:r>
      <w:r>
        <w:rPr>
          <w:spacing w:val="-14"/>
        </w:rPr>
        <w:t> </w:t>
      </w:r>
      <w:r>
        <w:rPr/>
        <w:t>0.876.</w:t>
      </w:r>
      <w:r>
        <w:rPr>
          <w:spacing w:val="-9"/>
        </w:rPr>
        <w:t> </w:t>
      </w:r>
      <w:r>
        <w:rPr/>
        <w:t>In</w:t>
      </w:r>
      <w:r>
        <w:rPr>
          <w:spacing w:val="-14"/>
        </w:rPr>
        <w:t> </w:t>
      </w:r>
      <w:r>
        <w:rPr/>
        <w:t>2017</w:t>
      </w:r>
      <w:r>
        <w:rPr>
          <w:spacing w:val="-11"/>
        </w:rPr>
        <w:t> </w:t>
      </w:r>
      <w:r>
        <w:rPr/>
        <w:t>and</w:t>
      </w:r>
      <w:r>
        <w:rPr>
          <w:spacing w:val="-11"/>
        </w:rPr>
        <w:t> </w:t>
      </w:r>
      <w:r>
        <w:rPr/>
        <w:t>2018</w:t>
      </w:r>
      <w:r>
        <w:rPr>
          <w:spacing w:val="-14"/>
        </w:rPr>
        <w:t> </w:t>
      </w:r>
      <w:r>
        <w:rPr/>
        <w:t>the</w:t>
      </w:r>
      <w:r>
        <w:rPr>
          <w:spacing w:val="-12"/>
        </w:rPr>
        <w:t> </w:t>
      </w:r>
      <w:r>
        <w:rPr/>
        <w:t>ratio</w:t>
      </w:r>
      <w:r>
        <w:rPr>
          <w:spacing w:val="-5"/>
        </w:rPr>
        <w:t> </w:t>
      </w:r>
      <w:r>
        <w:rPr/>
        <w:t>was</w:t>
      </w:r>
      <w:r>
        <w:rPr>
          <w:spacing w:val="-13"/>
        </w:rPr>
        <w:t> </w:t>
      </w:r>
      <w:r>
        <w:rPr/>
        <w:t>increased</w:t>
      </w:r>
      <w:r>
        <w:rPr>
          <w:spacing w:val="-6"/>
        </w:rPr>
        <w:t> </w:t>
      </w:r>
      <w:r>
        <w:rPr/>
        <w:t>from0.885</w:t>
      </w:r>
      <w:r>
        <w:rPr>
          <w:spacing w:val="-10"/>
        </w:rPr>
        <w:t> </w:t>
      </w:r>
      <w:r>
        <w:rPr/>
        <w:t>to</w:t>
      </w:r>
      <w:r>
        <w:rPr>
          <w:spacing w:val="-10"/>
        </w:rPr>
        <w:t> </w:t>
      </w:r>
      <w:r>
        <w:rPr/>
        <w:t>0.</w:t>
      </w:r>
      <w:r>
        <w:rPr>
          <w:spacing w:val="-13"/>
        </w:rPr>
        <w:t> </w:t>
      </w:r>
      <w:r>
        <w:rPr/>
        <w:t>922.The</w:t>
      </w:r>
      <w:r>
        <w:rPr>
          <w:spacing w:val="-11"/>
        </w:rPr>
        <w:t> </w:t>
      </w:r>
      <w:r>
        <w:rPr/>
        <w:t>debt ratio of the CBL again decreased </w:t>
      </w:r>
      <w:r>
        <w:rPr>
          <w:spacing w:val="-3"/>
        </w:rPr>
        <w:t>in </w:t>
      </w:r>
      <w:r>
        <w:rPr/>
        <w:t>2019 </w:t>
      </w:r>
      <w:r>
        <w:rPr>
          <w:spacing w:val="2"/>
        </w:rPr>
        <w:t>to </w:t>
      </w:r>
      <w:r>
        <w:rPr/>
        <w:t>0.906 </w:t>
      </w:r>
      <w:r>
        <w:rPr>
          <w:spacing w:val="-5"/>
        </w:rPr>
        <w:t>it </w:t>
      </w:r>
      <w:r>
        <w:rPr>
          <w:spacing w:val="-3"/>
        </w:rPr>
        <w:t>is </w:t>
      </w:r>
      <w:r>
        <w:rPr/>
        <w:t>good for the bank and indicates that the bank </w:t>
      </w:r>
      <w:r>
        <w:rPr>
          <w:spacing w:val="-3"/>
        </w:rPr>
        <w:t>is </w:t>
      </w:r>
      <w:r>
        <w:rPr/>
        <w:t>more leverage than other</w:t>
      </w:r>
      <w:r>
        <w:rPr>
          <w:spacing w:val="17"/>
        </w:rPr>
        <w:t> </w:t>
      </w:r>
      <w:r>
        <w:rPr/>
        <w:t>banks.</w:t>
      </w:r>
    </w:p>
    <w:p>
      <w:pPr>
        <w:pStyle w:val="BodyText"/>
        <w:spacing w:before="5"/>
        <w:rPr>
          <w:sz w:val="36"/>
        </w:rPr>
      </w:pPr>
    </w:p>
    <w:p>
      <w:pPr>
        <w:pStyle w:val="Heading3"/>
        <w:numPr>
          <w:ilvl w:val="2"/>
          <w:numId w:val="15"/>
        </w:numPr>
        <w:tabs>
          <w:tab w:pos="883" w:val="left" w:leader="none"/>
        </w:tabs>
        <w:spacing w:line="240" w:lineRule="auto" w:before="0" w:after="0"/>
        <w:ind w:left="882" w:right="0" w:hanging="543"/>
        <w:jc w:val="left"/>
      </w:pPr>
      <w:r>
        <w:rPr/>
        <w:t>Equity</w:t>
      </w:r>
      <w:r>
        <w:rPr>
          <w:spacing w:val="-3"/>
        </w:rPr>
        <w:t> </w:t>
      </w:r>
      <w:r>
        <w:rPr/>
        <w:t>Ratio</w:t>
      </w:r>
    </w:p>
    <w:p>
      <w:pPr>
        <w:spacing w:before="136"/>
        <w:ind w:left="340" w:right="0" w:firstLine="0"/>
        <w:jc w:val="both"/>
        <w:rPr>
          <w:sz w:val="22"/>
        </w:rPr>
      </w:pPr>
      <w:r>
        <w:rPr>
          <w:sz w:val="22"/>
        </w:rPr>
        <w:t>Equity ratio is a solvency ratio. It can measure the amount of assets that are financed by equity of a bank.</w:t>
      </w:r>
    </w:p>
    <w:p>
      <w:pPr>
        <w:spacing w:before="131"/>
        <w:ind w:left="340" w:right="0" w:firstLine="0"/>
        <w:jc w:val="both"/>
        <w:rPr>
          <w:b/>
          <w:sz w:val="22"/>
        </w:rPr>
      </w:pPr>
      <w:r>
        <w:rPr>
          <w:b/>
          <w:sz w:val="22"/>
        </w:rPr>
        <w:t>Formula: Total Equity / Total Assets</w:t>
      </w:r>
    </w:p>
    <w:p>
      <w:pPr>
        <w:pStyle w:val="BodyText"/>
        <w:rPr>
          <w:b/>
          <w:sz w:val="20"/>
        </w:rPr>
      </w:pPr>
    </w:p>
    <w:p>
      <w:pPr>
        <w:pStyle w:val="BodyText"/>
        <w:spacing w:before="3"/>
        <w:rPr>
          <w:b/>
          <w:sz w:val="14"/>
        </w:rPr>
      </w:pPr>
    </w:p>
    <w:tbl>
      <w:tblPr>
        <w:tblW w:w="0" w:type="auto"/>
        <w:jc w:val="left"/>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0"/>
        <w:gridCol w:w="1714"/>
        <w:gridCol w:w="1166"/>
        <w:gridCol w:w="1079"/>
        <w:gridCol w:w="1262"/>
        <w:gridCol w:w="1079"/>
      </w:tblGrid>
      <w:tr>
        <w:trPr>
          <w:trHeight w:val="331" w:hRule="atLeast"/>
        </w:trPr>
        <w:tc>
          <w:tcPr>
            <w:tcW w:w="2540" w:type="dxa"/>
          </w:tcPr>
          <w:p>
            <w:pPr>
              <w:pStyle w:val="TableParagraph"/>
              <w:spacing w:line="240" w:lineRule="auto" w:before="30"/>
              <w:rPr>
                <w:b/>
                <w:sz w:val="22"/>
              </w:rPr>
            </w:pPr>
            <w:r>
              <w:rPr>
                <w:b/>
                <w:sz w:val="22"/>
              </w:rPr>
              <w:t>Year</w:t>
            </w:r>
          </w:p>
        </w:tc>
        <w:tc>
          <w:tcPr>
            <w:tcW w:w="1714" w:type="dxa"/>
          </w:tcPr>
          <w:p>
            <w:pPr>
              <w:pStyle w:val="TableParagraph"/>
              <w:spacing w:line="240" w:lineRule="auto" w:before="30"/>
              <w:rPr>
                <w:sz w:val="22"/>
              </w:rPr>
            </w:pPr>
            <w:r>
              <w:rPr>
                <w:sz w:val="22"/>
              </w:rPr>
              <w:t>2014</w:t>
            </w:r>
          </w:p>
        </w:tc>
        <w:tc>
          <w:tcPr>
            <w:tcW w:w="1166" w:type="dxa"/>
          </w:tcPr>
          <w:p>
            <w:pPr>
              <w:pStyle w:val="TableParagraph"/>
              <w:spacing w:line="240" w:lineRule="auto" w:before="30"/>
              <w:rPr>
                <w:sz w:val="22"/>
              </w:rPr>
            </w:pPr>
            <w:r>
              <w:rPr>
                <w:sz w:val="22"/>
              </w:rPr>
              <w:t>2015</w:t>
            </w:r>
          </w:p>
        </w:tc>
        <w:tc>
          <w:tcPr>
            <w:tcW w:w="1079" w:type="dxa"/>
          </w:tcPr>
          <w:p>
            <w:pPr>
              <w:pStyle w:val="TableParagraph"/>
              <w:spacing w:line="240" w:lineRule="auto" w:before="30"/>
              <w:ind w:left="111"/>
              <w:rPr>
                <w:sz w:val="22"/>
              </w:rPr>
            </w:pPr>
            <w:r>
              <w:rPr>
                <w:sz w:val="22"/>
              </w:rPr>
              <w:t>2016</w:t>
            </w:r>
          </w:p>
        </w:tc>
        <w:tc>
          <w:tcPr>
            <w:tcW w:w="1262" w:type="dxa"/>
          </w:tcPr>
          <w:p>
            <w:pPr>
              <w:pStyle w:val="TableParagraph"/>
              <w:spacing w:line="240" w:lineRule="auto" w:before="30"/>
              <w:ind w:left="112"/>
              <w:rPr>
                <w:sz w:val="22"/>
              </w:rPr>
            </w:pPr>
            <w:r>
              <w:rPr>
                <w:sz w:val="22"/>
              </w:rPr>
              <w:t>2017</w:t>
            </w:r>
          </w:p>
        </w:tc>
        <w:tc>
          <w:tcPr>
            <w:tcW w:w="1079" w:type="dxa"/>
          </w:tcPr>
          <w:p>
            <w:pPr>
              <w:pStyle w:val="TableParagraph"/>
              <w:spacing w:line="240" w:lineRule="auto" w:before="30"/>
              <w:ind w:left="113"/>
              <w:rPr>
                <w:sz w:val="22"/>
              </w:rPr>
            </w:pPr>
            <w:r>
              <w:rPr>
                <w:sz w:val="22"/>
              </w:rPr>
              <w:t>2018</w:t>
            </w:r>
          </w:p>
        </w:tc>
      </w:tr>
      <w:tr>
        <w:trPr>
          <w:trHeight w:val="301" w:hRule="atLeast"/>
        </w:trPr>
        <w:tc>
          <w:tcPr>
            <w:tcW w:w="2540" w:type="dxa"/>
          </w:tcPr>
          <w:p>
            <w:pPr>
              <w:pStyle w:val="TableParagraph"/>
              <w:spacing w:line="248" w:lineRule="exact" w:before="34"/>
              <w:rPr>
                <w:b/>
                <w:sz w:val="22"/>
              </w:rPr>
            </w:pPr>
            <w:r>
              <w:rPr>
                <w:b/>
                <w:sz w:val="22"/>
              </w:rPr>
              <w:t>Equity Ratio</w:t>
            </w:r>
          </w:p>
        </w:tc>
        <w:tc>
          <w:tcPr>
            <w:tcW w:w="1714" w:type="dxa"/>
          </w:tcPr>
          <w:p>
            <w:pPr>
              <w:pStyle w:val="TableParagraph"/>
              <w:spacing w:line="248" w:lineRule="exact" w:before="34"/>
              <w:rPr>
                <w:sz w:val="22"/>
              </w:rPr>
            </w:pPr>
            <w:r>
              <w:rPr>
                <w:sz w:val="22"/>
              </w:rPr>
              <w:t>0.123</w:t>
            </w:r>
          </w:p>
        </w:tc>
        <w:tc>
          <w:tcPr>
            <w:tcW w:w="1166" w:type="dxa"/>
          </w:tcPr>
          <w:p>
            <w:pPr>
              <w:pStyle w:val="TableParagraph"/>
              <w:spacing w:line="248" w:lineRule="exact" w:before="34"/>
              <w:rPr>
                <w:sz w:val="22"/>
              </w:rPr>
            </w:pPr>
            <w:r>
              <w:rPr>
                <w:sz w:val="22"/>
              </w:rPr>
              <w:t>0.126</w:t>
            </w:r>
          </w:p>
        </w:tc>
        <w:tc>
          <w:tcPr>
            <w:tcW w:w="1079" w:type="dxa"/>
          </w:tcPr>
          <w:p>
            <w:pPr>
              <w:pStyle w:val="TableParagraph"/>
              <w:spacing w:line="248" w:lineRule="exact" w:before="34"/>
              <w:ind w:left="111"/>
              <w:rPr>
                <w:sz w:val="22"/>
              </w:rPr>
            </w:pPr>
            <w:r>
              <w:rPr>
                <w:sz w:val="22"/>
              </w:rPr>
              <w:t>0.115</w:t>
            </w:r>
          </w:p>
        </w:tc>
        <w:tc>
          <w:tcPr>
            <w:tcW w:w="1262" w:type="dxa"/>
          </w:tcPr>
          <w:p>
            <w:pPr>
              <w:pStyle w:val="TableParagraph"/>
              <w:spacing w:line="248" w:lineRule="exact" w:before="34"/>
              <w:ind w:left="112"/>
              <w:rPr>
                <w:sz w:val="22"/>
              </w:rPr>
            </w:pPr>
            <w:r>
              <w:rPr>
                <w:sz w:val="22"/>
              </w:rPr>
              <w:t>0.078</w:t>
            </w:r>
          </w:p>
        </w:tc>
        <w:tc>
          <w:tcPr>
            <w:tcW w:w="1079" w:type="dxa"/>
          </w:tcPr>
          <w:p>
            <w:pPr>
              <w:pStyle w:val="TableParagraph"/>
              <w:spacing w:line="248" w:lineRule="exact" w:before="34"/>
              <w:ind w:left="113"/>
              <w:rPr>
                <w:sz w:val="22"/>
              </w:rPr>
            </w:pPr>
            <w:r>
              <w:rPr>
                <w:sz w:val="22"/>
              </w:rPr>
              <w:t>0.094</w:t>
            </w:r>
          </w:p>
        </w:tc>
      </w:tr>
    </w:tbl>
    <w:p>
      <w:pPr>
        <w:pStyle w:val="BodyText"/>
        <w:spacing w:before="10"/>
        <w:rPr>
          <w:b/>
          <w:sz w:val="19"/>
        </w:rPr>
      </w:pPr>
      <w:r>
        <w:rPr/>
        <w:pict>
          <v:group style="position:absolute;margin-left:72.058998pt;margin-top:13.431pt;width:455.4pt;height:216.75pt;mso-position-horizontal-relative:page;mso-position-vertical-relative:paragraph;z-index:-251483136;mso-wrap-distance-left:0;mso-wrap-distance-right:0" coordorigin="1441,269" coordsize="9108,4335">
            <v:line style="position:absolute" from="9926,3257" to="10268,3257" stroked="true" strokeweight=".75pt" strokecolor="#858585">
              <v:stroke dashstyle="solid"/>
            </v:line>
            <v:line style="position:absolute" from="8328,3257" to="9013,3257" stroked="true" strokeweight=".75pt" strokecolor="#858585">
              <v:stroke dashstyle="solid"/>
            </v:line>
            <v:line style="position:absolute" from="6731,3257" to="7415,3257" stroked="true" strokeweight=".75pt" strokecolor="#858585">
              <v:stroke dashstyle="solid"/>
            </v:line>
            <v:line style="position:absolute" from="5133,3257" to="5817,3257" stroked="true" strokeweight=".75pt" strokecolor="#858585">
              <v:stroke dashstyle="solid"/>
            </v:line>
            <v:line style="position:absolute" from="3536,3257" to="4220,3257" stroked="true" strokeweight=".75pt" strokecolor="#858585">
              <v:stroke dashstyle="solid"/>
            </v:line>
            <v:line style="position:absolute" from="2279,3257" to="2623,3257" stroked="true" strokeweight=".75pt" strokecolor="#858585">
              <v:stroke dashstyle="solid"/>
            </v:line>
            <v:line style="position:absolute" from="3536,2902" to="4220,2902" stroked="true" strokeweight=".75pt" strokecolor="#858585">
              <v:stroke dashstyle="solid"/>
            </v:line>
            <v:line style="position:absolute" from="2279,2902" to="2623,2902" stroked="true" strokeweight=".75pt" strokecolor="#858585">
              <v:stroke dashstyle="solid"/>
            </v:line>
            <v:line style="position:absolute" from="3536,2544" to="4220,2544" stroked="true" strokeweight=".75pt" strokecolor="#858585">
              <v:stroke dashstyle="solid"/>
            </v:line>
            <v:line style="position:absolute" from="2279,2544" to="2623,2544" stroked="true" strokeweight=".75pt" strokecolor="#858585">
              <v:stroke dashstyle="solid"/>
            </v:line>
            <v:line style="position:absolute" from="3536,2189" to="4220,2189" stroked="true" strokeweight=".75pt" strokecolor="#858585">
              <v:stroke dashstyle="solid"/>
            </v:line>
            <v:line style="position:absolute" from="2279,2189" to="2623,2189" stroked="true" strokeweight=".75pt" strokecolor="#858585">
              <v:stroke dashstyle="solid"/>
            </v:line>
            <v:line style="position:absolute" from="3536,1831" to="4220,1831" stroked="true" strokeweight=".75pt" strokecolor="#858585">
              <v:stroke dashstyle="solid"/>
            </v:line>
            <v:line style="position:absolute" from="2279,1831" to="2623,1831" stroked="true" strokeweight=".75pt" strokecolor="#858585">
              <v:stroke dashstyle="solid"/>
            </v:line>
            <v:line style="position:absolute" from="3536,1474" to="4220,1474" stroked="true" strokeweight=".75pt" strokecolor="#858585">
              <v:stroke dashstyle="solid"/>
            </v:line>
            <v:line style="position:absolute" from="2279,1474" to="2623,1474" stroked="true" strokeweight=".75pt" strokecolor="#858585">
              <v:stroke dashstyle="solid"/>
            </v:line>
            <v:rect style="position:absolute;left:2621;top:1420;width:914;height:2193" filled="true" fillcolor="#4f81bb" stroked="false">
              <v:fill type="solid"/>
            </v:rect>
            <v:line style="position:absolute" from="5133,2902" to="5817,2902" stroked="true" strokeweight=".75pt" strokecolor="#858585">
              <v:stroke dashstyle="solid"/>
            </v:line>
            <v:line style="position:absolute" from="5133,2544" to="5817,2544" stroked="true" strokeweight=".75pt" strokecolor="#858585">
              <v:stroke dashstyle="solid"/>
            </v:line>
            <v:line style="position:absolute" from="5133,2189" to="5817,2189" stroked="true" strokeweight=".75pt" strokecolor="#858585">
              <v:stroke dashstyle="solid"/>
            </v:line>
            <v:line style="position:absolute" from="5133,1831" to="5817,1831" stroked="true" strokeweight=".75pt" strokecolor="#858585">
              <v:stroke dashstyle="solid"/>
            </v:line>
            <v:line style="position:absolute" from="5133,1474" to="10268,1474" stroked="true" strokeweight=".75pt" strokecolor="#858585">
              <v:stroke dashstyle="solid"/>
            </v:line>
            <v:rect style="position:absolute;left:4219;top:1368;width:914;height:2246" filled="true" fillcolor="#4f81bb" stroked="false">
              <v:fill type="solid"/>
            </v:rect>
            <v:line style="position:absolute" from="6731,2902" to="7415,2902" stroked="true" strokeweight=".75pt" strokecolor="#858585">
              <v:stroke dashstyle="solid"/>
            </v:line>
            <v:line style="position:absolute" from="6731,2544" to="7415,2544" stroked="true" strokeweight=".75pt" strokecolor="#858585">
              <v:stroke dashstyle="solid"/>
            </v:line>
            <v:line style="position:absolute" from="6731,2189" to="9013,2189" stroked="true" strokeweight=".75pt" strokecolor="#858585">
              <v:stroke dashstyle="solid"/>
            </v:line>
            <v:line style="position:absolute" from="6731,1831" to="10268,1831" stroked="true" strokeweight=".75pt" strokecolor="#858585">
              <v:stroke dashstyle="solid"/>
            </v:line>
            <v:rect style="position:absolute;left:5817;top:1564;width:914;height:2049" filled="true" fillcolor="#4f81bb" stroked="false">
              <v:fill type="solid"/>
            </v:rect>
            <v:line style="position:absolute" from="8328,2902" to="9013,2902" stroked="true" strokeweight=".75pt" strokecolor="#858585">
              <v:stroke dashstyle="solid"/>
            </v:line>
            <v:line style="position:absolute" from="8328,2544" to="9013,2544" stroked="true" strokeweight=".75pt" strokecolor="#858585">
              <v:stroke dashstyle="solid"/>
            </v:line>
            <v:rect style="position:absolute;left:7414;top:2222;width:914;height:1392" filled="true" fillcolor="#4f81bb" stroked="false">
              <v:fill type="solid"/>
            </v:rect>
            <v:line style="position:absolute" from="9926,2902" to="10268,2902" stroked="true" strokeweight=".75pt" strokecolor="#858585">
              <v:stroke dashstyle="solid"/>
            </v:line>
            <v:line style="position:absolute" from="9926,2544" to="10268,2544" stroked="true" strokeweight=".75pt" strokecolor="#858585">
              <v:stroke dashstyle="solid"/>
            </v:line>
            <v:line style="position:absolute" from="9926,2189" to="10268,2189" stroked="true" strokeweight=".75pt" strokecolor="#858585">
              <v:stroke dashstyle="solid"/>
            </v:line>
            <v:rect style="position:absolute;left:9012;top:1939;width:914;height:1675" filled="true" fillcolor="#4f81bb" stroked="false">
              <v:fill type="solid"/>
            </v:rect>
            <v:line style="position:absolute" from="2279,3614" to="2279,3614" stroked="true" strokeweight=".75pt" strokecolor="#858585">
              <v:stroke dashstyle="solid"/>
            </v:line>
            <v:line style="position:absolute" from="2279,3614" to="10268,3614" stroked="true" strokeweight=".75pt" strokecolor="#858585">
              <v:stroke dashstyle="solid"/>
            </v:line>
            <v:line style="position:absolute" from="2279,1118" to="10268,1118" stroked="true" strokeweight=".75pt" strokecolor="#858585">
              <v:stroke dashstyle="solid"/>
            </v:line>
            <v:line style="position:absolute" from="5339,4295" to="5475,4295" stroked="true" strokeweight="5.5pt" strokecolor="#4f81bb">
              <v:stroke dashstyle="solid"/>
            </v:line>
            <v:rect style="position:absolute;left:1448;top:276;width:9093;height:4320" filled="false" stroked="true" strokeweight=".75pt" strokecolor="#858585">
              <v:stroke dashstyle="solid"/>
            </v:rect>
            <v:shape style="position:absolute;left:5534;top:4206;width:1239;height:197" type="#_x0000_t75" stroked="false">
              <v:imagedata r:id="rId118" o:title=""/>
            </v:shape>
            <v:shape style="position:absolute;left:9220;top:3784;width:528;height:197" type="#_x0000_t75" stroked="false">
              <v:imagedata r:id="rId119" o:title=""/>
            </v:shape>
            <v:shape style="position:absolute;left:7622;top:3784;width:528;height:197" type="#_x0000_t75" stroked="false">
              <v:imagedata r:id="rId119" o:title=""/>
            </v:shape>
            <v:shape style="position:absolute;left:6024;top:3784;width:528;height:197" type="#_x0000_t75" stroked="false">
              <v:imagedata r:id="rId119" o:title=""/>
            </v:shape>
            <v:shape style="position:absolute;left:4425;top:3784;width:528;height:197" type="#_x0000_t75" stroked="false">
              <v:imagedata r:id="rId119" o:title=""/>
            </v:shape>
            <v:shape style="position:absolute;left:2827;top:3784;width:528;height:197" type="#_x0000_t75" stroked="false">
              <v:imagedata r:id="rId119" o:title=""/>
            </v:shape>
            <v:shape style="position:absolute;left:1608;top:1024;width:471;height:2698" type="#_x0000_t75" stroked="false">
              <v:imagedata r:id="rId120" o:title=""/>
            </v:shape>
            <v:shape style="position:absolute;left:1960;top:3544;width:88;height:131" coordorigin="1961,3545" coordsize="88,131" path="m2013,3545l1997,3545,1990,3546,1979,3553,1974,3557,1967,3569,1965,3576,1961,3592,1961,3599,1961,3621,1961,3630,1964,3647,1966,3653,1973,3665,1977,3669,1988,3674,1995,3676,2011,3676,2018,3674,2024,3671,2030,3668,2034,3663,2035,3662,1999,3662,1995,3661,1992,3659,1989,3657,1986,3654,1982,3646,1980,3640,1978,3627,1978,3621,1978,3599,1978,3596,1980,3583,1981,3578,1985,3569,1988,3565,1994,3560,1999,3559,2037,3559,2035,3556,2031,3552,2020,3546,2013,3545xm2037,3559l2008,3559,2010,3559,2013,3560,2015,3561,2018,3562,2022,3566,2023,3568,2025,3571,2026,3573,2027,3577,2028,3581,2029,3585,2030,3589,2030,3599,2031,3621,2030,3625,2030,3629,2030,3630,2029,3633,2028,3641,2027,3644,2026,3647,2024,3650,2023,3653,2019,3657,2016,3659,2013,3660,2011,3661,2008,3662,2035,3662,2038,3657,2041,3652,2044,3645,2046,3637,2047,3629,2048,3621,2048,3599,2047,3590,2044,3574,2042,3567,2039,3562,2037,3559xe" filled="true" fillcolor="#000000" stroked="false">
              <v:path arrowok="t"/>
              <v:fill type="solid"/>
            </v:shape>
            <v:shape style="position:absolute;left:4876;top:501;width:2266;height:360" type="#_x0000_t75" stroked="false">
              <v:imagedata r:id="rId121" o:title=""/>
            </v:shape>
            <v:shape style="position:absolute;left:5536;top:4217;width:1005;height:203" type="#_x0000_t202" filled="false" stroked="false">
              <v:textbox inset="0,0,0,0">
                <w:txbxContent>
                  <w:p>
                    <w:pPr>
                      <w:spacing w:line="202" w:lineRule="exact" w:before="0"/>
                      <w:ind w:left="0" w:right="0" w:firstLine="0"/>
                      <w:jc w:val="left"/>
                      <w:rPr>
                        <w:rFonts w:ascii="Calibri"/>
                        <w:sz w:val="20"/>
                      </w:rPr>
                    </w:pPr>
                    <w:r>
                      <w:rPr>
                        <w:rFonts w:ascii="Calibri"/>
                        <w:sz w:val="20"/>
                      </w:rPr>
                      <w:t>Equity Ratio</w:t>
                    </w:r>
                  </w:p>
                </w:txbxContent>
              </v:textbox>
              <w10:wrap type="none"/>
            </v:shape>
            <v:shape style="position:absolute;left:9224;top:3795;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2019</w:t>
                    </w:r>
                  </w:p>
                </w:txbxContent>
              </v:textbox>
              <w10:wrap type="none"/>
            </v:shape>
            <v:shape style="position:absolute;left:7625;top:3795;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2018</w:t>
                    </w:r>
                  </w:p>
                </w:txbxContent>
              </v:textbox>
              <w10:wrap type="none"/>
            </v:shape>
            <v:shape style="position:absolute;left:6026;top:3795;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2017</w:t>
                    </w:r>
                  </w:p>
                </w:txbxContent>
              </v:textbox>
              <w10:wrap type="none"/>
            </v:shape>
            <v:shape style="position:absolute;left:4427;top:3795;width:426;height:202" type="#_x0000_t202" filled="false" stroked="false">
              <v:textbox inset="0,0,0,0">
                <w:txbxContent>
                  <w:p>
                    <w:pPr>
                      <w:spacing w:line="202" w:lineRule="exact" w:before="0"/>
                      <w:ind w:left="0" w:right="0" w:firstLine="0"/>
                      <w:jc w:val="left"/>
                      <w:rPr>
                        <w:rFonts w:ascii="Calibri"/>
                        <w:sz w:val="20"/>
                      </w:rPr>
                    </w:pPr>
                    <w:r>
                      <w:rPr>
                        <w:rFonts w:ascii="Calibri"/>
                        <w:sz w:val="20"/>
                      </w:rPr>
                      <w:t>2016</w:t>
                    </w:r>
                  </w:p>
                </w:txbxContent>
              </v:textbox>
              <w10:wrap type="none"/>
            </v:shape>
            <v:shape style="position:absolute;left:2828;top:3795;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2015</w:t>
                    </w:r>
                  </w:p>
                </w:txbxContent>
              </v:textbox>
              <w10:wrap type="none"/>
            </v:shape>
            <v:shape style="position:absolute;left:1699;top:1039;width:382;height:2329" type="#_x0000_t202" filled="false" stroked="false">
              <v:textbox inset="0,0,0,0">
                <w:txbxContent>
                  <w:p>
                    <w:pPr>
                      <w:spacing w:line="205" w:lineRule="exact" w:before="0"/>
                      <w:ind w:left="0" w:right="22" w:firstLine="0"/>
                      <w:jc w:val="right"/>
                      <w:rPr>
                        <w:rFonts w:ascii="Calibri"/>
                        <w:sz w:val="20"/>
                      </w:rPr>
                    </w:pPr>
                    <w:r>
                      <w:rPr>
                        <w:rFonts w:ascii="Calibri"/>
                        <w:spacing w:val="-1"/>
                        <w:sz w:val="20"/>
                      </w:rPr>
                      <w:t>0.14</w:t>
                    </w:r>
                  </w:p>
                  <w:p>
                    <w:pPr>
                      <w:spacing w:before="101"/>
                      <w:ind w:left="0" w:right="22" w:firstLine="0"/>
                      <w:jc w:val="right"/>
                      <w:rPr>
                        <w:rFonts w:ascii="Calibri"/>
                        <w:sz w:val="20"/>
                      </w:rPr>
                    </w:pPr>
                    <w:r>
                      <w:rPr>
                        <w:rFonts w:ascii="Calibri"/>
                        <w:spacing w:val="-1"/>
                        <w:sz w:val="20"/>
                      </w:rPr>
                      <w:t>0.12</w:t>
                    </w:r>
                  </w:p>
                  <w:p>
                    <w:pPr>
                      <w:spacing w:before="111"/>
                      <w:ind w:left="0" w:right="18" w:firstLine="0"/>
                      <w:jc w:val="right"/>
                      <w:rPr>
                        <w:rFonts w:ascii="Calibri"/>
                        <w:sz w:val="20"/>
                      </w:rPr>
                    </w:pPr>
                    <w:r>
                      <w:rPr>
                        <w:rFonts w:ascii="Calibri"/>
                        <w:spacing w:val="-1"/>
                        <w:sz w:val="20"/>
                      </w:rPr>
                      <w:t>0.1</w:t>
                    </w:r>
                  </w:p>
                  <w:p>
                    <w:pPr>
                      <w:spacing w:before="111"/>
                      <w:ind w:left="0" w:right="22" w:firstLine="0"/>
                      <w:jc w:val="right"/>
                      <w:rPr>
                        <w:rFonts w:ascii="Calibri"/>
                        <w:sz w:val="20"/>
                      </w:rPr>
                    </w:pPr>
                    <w:r>
                      <w:rPr>
                        <w:rFonts w:ascii="Calibri"/>
                        <w:spacing w:val="-1"/>
                        <w:sz w:val="20"/>
                      </w:rPr>
                      <w:t>0.08</w:t>
                    </w:r>
                  </w:p>
                  <w:p>
                    <w:pPr>
                      <w:spacing w:before="116"/>
                      <w:ind w:left="0" w:right="22" w:firstLine="0"/>
                      <w:jc w:val="right"/>
                      <w:rPr>
                        <w:rFonts w:ascii="Calibri"/>
                        <w:sz w:val="20"/>
                      </w:rPr>
                    </w:pPr>
                    <w:r>
                      <w:rPr>
                        <w:rFonts w:ascii="Calibri"/>
                        <w:spacing w:val="-1"/>
                        <w:sz w:val="20"/>
                      </w:rPr>
                      <w:t>0.06</w:t>
                    </w:r>
                  </w:p>
                  <w:p>
                    <w:pPr>
                      <w:spacing w:before="112"/>
                      <w:ind w:left="0" w:right="22" w:firstLine="0"/>
                      <w:jc w:val="right"/>
                      <w:rPr>
                        <w:rFonts w:ascii="Calibri"/>
                        <w:sz w:val="20"/>
                      </w:rPr>
                    </w:pPr>
                    <w:r>
                      <w:rPr>
                        <w:rFonts w:ascii="Calibri"/>
                        <w:spacing w:val="-1"/>
                        <w:sz w:val="20"/>
                      </w:rPr>
                      <w:t>0.04</w:t>
                    </w:r>
                  </w:p>
                  <w:p>
                    <w:pPr>
                      <w:spacing w:line="241" w:lineRule="exact" w:before="111"/>
                      <w:ind w:left="0" w:right="22" w:firstLine="0"/>
                      <w:jc w:val="right"/>
                      <w:rPr>
                        <w:rFonts w:ascii="Calibri"/>
                        <w:sz w:val="20"/>
                      </w:rPr>
                    </w:pPr>
                    <w:r>
                      <w:rPr>
                        <w:rFonts w:ascii="Calibri"/>
                        <w:spacing w:val="-1"/>
                        <w:sz w:val="20"/>
                      </w:rPr>
                      <w:t>0.02</w:t>
                    </w:r>
                  </w:p>
                </w:txbxContent>
              </v:textbox>
              <w10:wrap type="none"/>
            </v:shape>
            <v:shape style="position:absolute;left:4878;top:521;width:1832;height:361" type="#_x0000_t202" filled="false" stroked="false">
              <v:textbox inset="0,0,0,0">
                <w:txbxContent>
                  <w:p>
                    <w:pPr>
                      <w:spacing w:line="360" w:lineRule="exact" w:before="0"/>
                      <w:ind w:left="0" w:right="0" w:firstLine="0"/>
                      <w:jc w:val="left"/>
                      <w:rPr>
                        <w:rFonts w:ascii="Calibri"/>
                        <w:b/>
                        <w:sz w:val="36"/>
                      </w:rPr>
                    </w:pPr>
                    <w:r>
                      <w:rPr>
                        <w:rFonts w:ascii="Calibri"/>
                        <w:b/>
                        <w:sz w:val="36"/>
                      </w:rPr>
                      <w:t>Equity Ratio</w:t>
                    </w:r>
                  </w:p>
                </w:txbxContent>
              </v:textbox>
              <w10:wrap type="none"/>
            </v:shape>
            <w10:wrap type="topAndBottom"/>
          </v:group>
        </w:pict>
      </w:r>
    </w:p>
    <w:p>
      <w:pPr>
        <w:spacing w:after="0"/>
        <w:rPr>
          <w:sz w:val="19"/>
        </w:rPr>
        <w:sectPr>
          <w:pgSz w:w="12240" w:h="15840"/>
          <w:pgMar w:header="0" w:footer="1039" w:top="1500" w:bottom="1220" w:left="1100" w:right="1300"/>
        </w:sectPr>
      </w:pPr>
    </w:p>
    <w:p>
      <w:pPr>
        <w:pStyle w:val="BodyText"/>
        <w:spacing w:line="360" w:lineRule="auto" w:before="72"/>
        <w:ind w:left="340" w:right="130"/>
        <w:jc w:val="both"/>
      </w:pPr>
      <w:r>
        <w:rPr/>
        <w:t>In the CBL, during the period 2015 &amp; 2016 the figures are increasing from 0.123 to 0.126. After the </w:t>
      </w:r>
      <w:r>
        <w:rPr>
          <w:spacing w:val="-3"/>
        </w:rPr>
        <w:t>year </w:t>
      </w:r>
      <w:r>
        <w:rPr/>
        <w:t>2016 the equity ratio of the CBL was continuously decreasing from the years </w:t>
      </w:r>
      <w:r>
        <w:rPr>
          <w:spacing w:val="2"/>
        </w:rPr>
        <w:t>2017 </w:t>
      </w:r>
      <w:r>
        <w:rPr/>
        <w:t>to 2018. In 2017 the equity ratio was decreased by 0.115 but. In 2018 the ratio was again decreased. During</w:t>
      </w:r>
      <w:r>
        <w:rPr>
          <w:spacing w:val="-14"/>
        </w:rPr>
        <w:t> </w:t>
      </w:r>
      <w:r>
        <w:rPr/>
        <w:t>the</w:t>
      </w:r>
      <w:r>
        <w:rPr>
          <w:spacing w:val="-11"/>
        </w:rPr>
        <w:t> </w:t>
      </w:r>
      <w:r>
        <w:rPr/>
        <w:t>year</w:t>
      </w:r>
      <w:r>
        <w:rPr>
          <w:spacing w:val="-12"/>
        </w:rPr>
        <w:t> </w:t>
      </w:r>
      <w:r>
        <w:rPr/>
        <w:t>2019,</w:t>
      </w:r>
      <w:r>
        <w:rPr>
          <w:spacing w:val="-12"/>
        </w:rPr>
        <w:t> </w:t>
      </w:r>
      <w:r>
        <w:rPr/>
        <w:t>the</w:t>
      </w:r>
      <w:r>
        <w:rPr>
          <w:spacing w:val="-14"/>
        </w:rPr>
        <w:t> </w:t>
      </w:r>
      <w:r>
        <w:rPr/>
        <w:t>equity</w:t>
      </w:r>
      <w:r>
        <w:rPr>
          <w:spacing w:val="-23"/>
        </w:rPr>
        <w:t> </w:t>
      </w:r>
      <w:r>
        <w:rPr/>
        <w:t>ratio</w:t>
      </w:r>
      <w:r>
        <w:rPr>
          <w:spacing w:val="-10"/>
        </w:rPr>
        <w:t> </w:t>
      </w:r>
      <w:r>
        <w:rPr/>
        <w:t>was</w:t>
      </w:r>
      <w:r>
        <w:rPr>
          <w:spacing w:val="-11"/>
        </w:rPr>
        <w:t> </w:t>
      </w:r>
      <w:r>
        <w:rPr/>
        <w:t>increased</w:t>
      </w:r>
      <w:r>
        <w:rPr>
          <w:spacing w:val="-14"/>
        </w:rPr>
        <w:t> </w:t>
      </w:r>
      <w:r>
        <w:rPr/>
        <w:t>by</w:t>
      </w:r>
      <w:r>
        <w:rPr>
          <w:spacing w:val="-18"/>
        </w:rPr>
        <w:t> </w:t>
      </w:r>
      <w:r>
        <w:rPr/>
        <w:t>0.094.</w:t>
      </w:r>
      <w:r>
        <w:rPr>
          <w:spacing w:val="-12"/>
        </w:rPr>
        <w:t> </w:t>
      </w:r>
      <w:r>
        <w:rPr/>
        <w:t>So</w:t>
      </w:r>
      <w:r>
        <w:rPr>
          <w:spacing w:val="-9"/>
        </w:rPr>
        <w:t> </w:t>
      </w:r>
      <w:r>
        <w:rPr/>
        <w:t>comparing</w:t>
      </w:r>
      <w:r>
        <w:rPr>
          <w:spacing w:val="-14"/>
        </w:rPr>
        <w:t> </w:t>
      </w:r>
      <w:r>
        <w:rPr/>
        <w:t>with</w:t>
      </w:r>
      <w:r>
        <w:rPr>
          <w:spacing w:val="-18"/>
        </w:rPr>
        <w:t> </w:t>
      </w:r>
      <w:r>
        <w:rPr/>
        <w:t>2015-2019</w:t>
      </w:r>
      <w:r>
        <w:rPr>
          <w:spacing w:val="-10"/>
        </w:rPr>
        <w:t> </w:t>
      </w:r>
      <w:r>
        <w:rPr/>
        <w:t>fiscal year we can say that 2016 was well</w:t>
      </w:r>
      <w:r>
        <w:rPr>
          <w:spacing w:val="-8"/>
        </w:rPr>
        <w:t> </w:t>
      </w:r>
      <w:r>
        <w:rPr/>
        <w:t>position.</w:t>
      </w:r>
    </w:p>
    <w:p>
      <w:pPr>
        <w:pStyle w:val="BodyText"/>
        <w:rPr>
          <w:sz w:val="26"/>
        </w:rPr>
      </w:pPr>
    </w:p>
    <w:p>
      <w:pPr>
        <w:pStyle w:val="Heading3"/>
        <w:numPr>
          <w:ilvl w:val="2"/>
          <w:numId w:val="15"/>
        </w:numPr>
        <w:tabs>
          <w:tab w:pos="883" w:val="left" w:leader="none"/>
        </w:tabs>
        <w:spacing w:line="240" w:lineRule="auto" w:before="167" w:after="0"/>
        <w:ind w:left="882" w:right="0" w:hanging="543"/>
        <w:jc w:val="both"/>
      </w:pPr>
      <w:r>
        <w:rPr/>
        <w:t>Net </w:t>
      </w:r>
      <w:r>
        <w:rPr>
          <w:spacing w:val="-3"/>
        </w:rPr>
        <w:t>Profit</w:t>
      </w:r>
      <w:r>
        <w:rPr>
          <w:spacing w:val="7"/>
        </w:rPr>
        <w:t> </w:t>
      </w:r>
      <w:r>
        <w:rPr/>
        <w:t>Margin</w:t>
      </w:r>
    </w:p>
    <w:p>
      <w:pPr>
        <w:pStyle w:val="BodyText"/>
        <w:spacing w:line="360" w:lineRule="auto" w:before="132"/>
        <w:ind w:left="340" w:right="146"/>
        <w:jc w:val="both"/>
      </w:pPr>
      <w:r>
        <w:rPr/>
        <w:t>Net </w:t>
      </w:r>
      <w:r>
        <w:rPr>
          <w:spacing w:val="-3"/>
        </w:rPr>
        <w:t>profit </w:t>
      </w:r>
      <w:r>
        <w:rPr/>
        <w:t>margin ratio represents how much profit generates from each dollar of </w:t>
      </w:r>
      <w:r>
        <w:rPr>
          <w:spacing w:val="-3"/>
        </w:rPr>
        <w:t>sales. </w:t>
      </w:r>
      <w:r>
        <w:rPr/>
        <w:t>This ratio </w:t>
      </w:r>
      <w:r>
        <w:rPr>
          <w:spacing w:val="-3"/>
        </w:rPr>
        <w:t>is</w:t>
      </w:r>
      <w:r>
        <w:rPr>
          <w:spacing w:val="-5"/>
        </w:rPr>
        <w:t> </w:t>
      </w:r>
      <w:r>
        <w:rPr/>
        <w:t>the</w:t>
      </w:r>
      <w:r>
        <w:rPr>
          <w:spacing w:val="-7"/>
        </w:rPr>
        <w:t> </w:t>
      </w:r>
      <w:r>
        <w:rPr/>
        <w:t>true</w:t>
      </w:r>
      <w:r>
        <w:rPr>
          <w:spacing w:val="-7"/>
        </w:rPr>
        <w:t> </w:t>
      </w:r>
      <w:r>
        <w:rPr/>
        <w:t>indicator</w:t>
      </w:r>
      <w:r>
        <w:rPr>
          <w:spacing w:val="-9"/>
        </w:rPr>
        <w:t> </w:t>
      </w:r>
      <w:r>
        <w:rPr/>
        <w:t>of</w:t>
      </w:r>
      <w:r>
        <w:rPr>
          <w:spacing w:val="-9"/>
        </w:rPr>
        <w:t> </w:t>
      </w:r>
      <w:r>
        <w:rPr/>
        <w:t>a</w:t>
      </w:r>
      <w:r>
        <w:rPr>
          <w:spacing w:val="-3"/>
        </w:rPr>
        <w:t> </w:t>
      </w:r>
      <w:r>
        <w:rPr/>
        <w:t>bank’s financial</w:t>
      </w:r>
      <w:r>
        <w:rPr>
          <w:spacing w:val="-6"/>
        </w:rPr>
        <w:t> </w:t>
      </w:r>
      <w:r>
        <w:rPr/>
        <w:t>health. By</w:t>
      </w:r>
      <w:r>
        <w:rPr>
          <w:spacing w:val="-6"/>
        </w:rPr>
        <w:t> </w:t>
      </w:r>
      <w:r>
        <w:rPr/>
        <w:t>calculating</w:t>
      </w:r>
      <w:r>
        <w:rPr>
          <w:spacing w:val="-1"/>
        </w:rPr>
        <w:t> </w:t>
      </w:r>
      <w:r>
        <w:rPr/>
        <w:t>this</w:t>
      </w:r>
      <w:r>
        <w:rPr>
          <w:spacing w:val="-5"/>
        </w:rPr>
        <w:t> </w:t>
      </w:r>
      <w:r>
        <w:rPr/>
        <w:t>ratio,</w:t>
      </w:r>
      <w:r>
        <w:rPr>
          <w:spacing w:val="-4"/>
        </w:rPr>
        <w:t> </w:t>
      </w:r>
      <w:r>
        <w:rPr/>
        <w:t>one</w:t>
      </w:r>
      <w:r>
        <w:rPr>
          <w:spacing w:val="-3"/>
        </w:rPr>
        <w:t> </w:t>
      </w:r>
      <w:r>
        <w:rPr/>
        <w:t>can</w:t>
      </w:r>
      <w:r>
        <w:rPr>
          <w:spacing w:val="-6"/>
        </w:rPr>
        <w:t> </w:t>
      </w:r>
      <w:r>
        <w:rPr/>
        <w:t>understand</w:t>
      </w:r>
      <w:r>
        <w:rPr>
          <w:spacing w:val="-1"/>
        </w:rPr>
        <w:t> </w:t>
      </w:r>
      <w:r>
        <w:rPr/>
        <w:t>how efficiently a banks financially</w:t>
      </w:r>
      <w:r>
        <w:rPr>
          <w:spacing w:val="-3"/>
        </w:rPr>
        <w:t> </w:t>
      </w:r>
      <w:r>
        <w:rPr/>
        <w:t>perform.</w:t>
      </w:r>
    </w:p>
    <w:p>
      <w:pPr>
        <w:pStyle w:val="Heading3"/>
        <w:spacing w:before="6"/>
        <w:jc w:val="both"/>
      </w:pPr>
      <w:r>
        <w:rPr/>
        <w:t>Formula: Net Income after Taxes/Total Operating Revenues</w:t>
      </w:r>
    </w:p>
    <w:p>
      <w:pPr>
        <w:pStyle w:val="BodyText"/>
        <w:spacing w:before="2"/>
        <w:rPr>
          <w:b/>
          <w:sz w:val="12"/>
        </w:rPr>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624"/>
        <w:gridCol w:w="1441"/>
        <w:gridCol w:w="1081"/>
        <w:gridCol w:w="990"/>
        <w:gridCol w:w="1172"/>
      </w:tblGrid>
      <w:tr>
        <w:trPr>
          <w:trHeight w:val="892" w:hRule="atLeast"/>
        </w:trPr>
        <w:tc>
          <w:tcPr>
            <w:tcW w:w="2790" w:type="dxa"/>
          </w:tcPr>
          <w:p>
            <w:pPr>
              <w:pStyle w:val="TableParagraph"/>
              <w:spacing w:line="240" w:lineRule="auto" w:before="29"/>
              <w:rPr>
                <w:sz w:val="22"/>
              </w:rPr>
            </w:pPr>
            <w:r>
              <w:rPr>
                <w:sz w:val="22"/>
              </w:rPr>
              <w:t>Year</w:t>
            </w:r>
          </w:p>
        </w:tc>
        <w:tc>
          <w:tcPr>
            <w:tcW w:w="1624" w:type="dxa"/>
          </w:tcPr>
          <w:p>
            <w:pPr>
              <w:pStyle w:val="TableParagraph"/>
              <w:spacing w:line="240" w:lineRule="auto" w:before="29"/>
              <w:ind w:left="109"/>
              <w:rPr>
                <w:sz w:val="22"/>
              </w:rPr>
            </w:pPr>
            <w:r>
              <w:rPr>
                <w:sz w:val="22"/>
              </w:rPr>
              <w:t>2015</w:t>
            </w:r>
          </w:p>
        </w:tc>
        <w:tc>
          <w:tcPr>
            <w:tcW w:w="1441" w:type="dxa"/>
          </w:tcPr>
          <w:p>
            <w:pPr>
              <w:pStyle w:val="TableParagraph"/>
              <w:spacing w:line="240" w:lineRule="auto" w:before="29"/>
              <w:ind w:left="109"/>
              <w:rPr>
                <w:sz w:val="22"/>
              </w:rPr>
            </w:pPr>
            <w:r>
              <w:rPr>
                <w:sz w:val="22"/>
              </w:rPr>
              <w:t>2016</w:t>
            </w:r>
          </w:p>
        </w:tc>
        <w:tc>
          <w:tcPr>
            <w:tcW w:w="1081" w:type="dxa"/>
          </w:tcPr>
          <w:p>
            <w:pPr>
              <w:pStyle w:val="TableParagraph"/>
              <w:spacing w:line="240" w:lineRule="auto" w:before="29"/>
              <w:ind w:left="108"/>
              <w:rPr>
                <w:sz w:val="22"/>
              </w:rPr>
            </w:pPr>
            <w:r>
              <w:rPr>
                <w:sz w:val="22"/>
              </w:rPr>
              <w:t>2017</w:t>
            </w:r>
          </w:p>
        </w:tc>
        <w:tc>
          <w:tcPr>
            <w:tcW w:w="990" w:type="dxa"/>
          </w:tcPr>
          <w:p>
            <w:pPr>
              <w:pStyle w:val="TableParagraph"/>
              <w:spacing w:line="240" w:lineRule="auto" w:before="29"/>
              <w:ind w:left="108"/>
              <w:rPr>
                <w:sz w:val="22"/>
              </w:rPr>
            </w:pPr>
            <w:r>
              <w:rPr>
                <w:sz w:val="22"/>
              </w:rPr>
              <w:t>2018</w:t>
            </w:r>
          </w:p>
        </w:tc>
        <w:tc>
          <w:tcPr>
            <w:tcW w:w="1172" w:type="dxa"/>
          </w:tcPr>
          <w:p>
            <w:pPr>
              <w:pStyle w:val="TableParagraph"/>
              <w:spacing w:line="240" w:lineRule="auto" w:before="29"/>
              <w:ind w:left="107"/>
              <w:rPr>
                <w:sz w:val="22"/>
              </w:rPr>
            </w:pPr>
            <w:r>
              <w:rPr>
                <w:sz w:val="22"/>
              </w:rPr>
              <w:t>2019</w:t>
            </w:r>
          </w:p>
        </w:tc>
      </w:tr>
      <w:tr>
        <w:trPr>
          <w:trHeight w:val="301" w:hRule="atLeast"/>
        </w:trPr>
        <w:tc>
          <w:tcPr>
            <w:tcW w:w="2790" w:type="dxa"/>
          </w:tcPr>
          <w:p>
            <w:pPr>
              <w:pStyle w:val="TableParagraph"/>
              <w:spacing w:line="248" w:lineRule="exact" w:before="34"/>
              <w:rPr>
                <w:sz w:val="22"/>
              </w:rPr>
            </w:pPr>
            <w:r>
              <w:rPr>
                <w:sz w:val="22"/>
              </w:rPr>
              <w:t>Net Profit Margin</w:t>
            </w:r>
          </w:p>
        </w:tc>
        <w:tc>
          <w:tcPr>
            <w:tcW w:w="1624" w:type="dxa"/>
          </w:tcPr>
          <w:p>
            <w:pPr>
              <w:pStyle w:val="TableParagraph"/>
              <w:spacing w:line="248" w:lineRule="exact" w:before="34"/>
              <w:ind w:left="109"/>
              <w:rPr>
                <w:sz w:val="22"/>
              </w:rPr>
            </w:pPr>
            <w:r>
              <w:rPr>
                <w:sz w:val="22"/>
              </w:rPr>
              <w:t>0.042</w:t>
            </w:r>
          </w:p>
        </w:tc>
        <w:tc>
          <w:tcPr>
            <w:tcW w:w="1441" w:type="dxa"/>
          </w:tcPr>
          <w:p>
            <w:pPr>
              <w:pStyle w:val="TableParagraph"/>
              <w:spacing w:line="248" w:lineRule="exact" w:before="34"/>
              <w:ind w:left="109"/>
              <w:rPr>
                <w:sz w:val="22"/>
              </w:rPr>
            </w:pPr>
            <w:r>
              <w:rPr>
                <w:sz w:val="22"/>
              </w:rPr>
              <w:t>0.159</w:t>
            </w:r>
          </w:p>
        </w:tc>
        <w:tc>
          <w:tcPr>
            <w:tcW w:w="1081" w:type="dxa"/>
          </w:tcPr>
          <w:p>
            <w:pPr>
              <w:pStyle w:val="TableParagraph"/>
              <w:spacing w:line="248" w:lineRule="exact" w:before="34"/>
              <w:ind w:left="108"/>
              <w:rPr>
                <w:sz w:val="22"/>
              </w:rPr>
            </w:pPr>
            <w:r>
              <w:rPr>
                <w:sz w:val="22"/>
              </w:rPr>
              <w:t>0.275</w:t>
            </w:r>
          </w:p>
        </w:tc>
        <w:tc>
          <w:tcPr>
            <w:tcW w:w="990" w:type="dxa"/>
          </w:tcPr>
          <w:p>
            <w:pPr>
              <w:pStyle w:val="TableParagraph"/>
              <w:spacing w:line="248" w:lineRule="exact" w:before="34"/>
              <w:ind w:left="108"/>
              <w:rPr>
                <w:sz w:val="22"/>
              </w:rPr>
            </w:pPr>
            <w:r>
              <w:rPr>
                <w:sz w:val="22"/>
              </w:rPr>
              <w:t>0.273</w:t>
            </w:r>
          </w:p>
        </w:tc>
        <w:tc>
          <w:tcPr>
            <w:tcW w:w="1172" w:type="dxa"/>
          </w:tcPr>
          <w:p>
            <w:pPr>
              <w:pStyle w:val="TableParagraph"/>
              <w:spacing w:line="248" w:lineRule="exact" w:before="34"/>
              <w:ind w:left="107"/>
              <w:rPr>
                <w:sz w:val="22"/>
              </w:rPr>
            </w:pPr>
            <w:r>
              <w:rPr>
                <w:sz w:val="22"/>
              </w:rPr>
              <w:t>0.228</w:t>
            </w:r>
          </w:p>
        </w:tc>
      </w:tr>
    </w:tbl>
    <w:p>
      <w:pPr>
        <w:pStyle w:val="BodyText"/>
        <w:rPr>
          <w:b/>
          <w:sz w:val="20"/>
        </w:rPr>
      </w:pPr>
    </w:p>
    <w:p>
      <w:pPr>
        <w:pStyle w:val="BodyText"/>
        <w:rPr>
          <w:b/>
          <w:sz w:val="20"/>
        </w:rPr>
      </w:pPr>
    </w:p>
    <w:p>
      <w:pPr>
        <w:pStyle w:val="BodyText"/>
        <w:spacing w:before="3"/>
        <w:rPr>
          <w:b/>
          <w:sz w:val="10"/>
        </w:rPr>
      </w:pPr>
      <w:r>
        <w:rPr/>
        <w:pict>
          <v:group style="position:absolute;margin-left:73.474998pt;margin-top:7.876953pt;width:367.5pt;height:179.4pt;mso-position-horizontal-relative:page;mso-position-vertical-relative:paragraph;z-index:-251473920;mso-wrap-distance-left:0;mso-wrap-distance-right:0" coordorigin="1469,158" coordsize="7350,3588">
            <v:line style="position:absolute" from="8316,2581" to="8592,2581" stroked="true" strokeweight=".75pt" strokecolor="#858585">
              <v:stroke dashstyle="solid"/>
            </v:line>
            <v:line style="position:absolute" from="7027,2581" to="7579,2581" stroked="true" strokeweight=".75pt" strokecolor="#858585">
              <v:stroke dashstyle="solid"/>
            </v:line>
            <v:line style="position:absolute" from="5738,2581" to="6290,2581" stroked="true" strokeweight=".75pt" strokecolor="#858585">
              <v:stroke dashstyle="solid"/>
            </v:line>
            <v:line style="position:absolute" from="4449,2581" to="5001,2581" stroked="true" strokeweight=".75pt" strokecolor="#858585">
              <v:stroke dashstyle="solid"/>
            </v:line>
            <v:line style="position:absolute" from="2147,2581" to="3713,2581" stroked="true" strokeweight=".75pt" strokecolor="#858585">
              <v:stroke dashstyle="solid"/>
            </v:line>
            <v:rect style="position:absolute;left:2423;top:2636;width:737;height:289" filled="true" fillcolor="#4f81bb" stroked="false">
              <v:fill type="solid"/>
            </v:rect>
            <v:line style="position:absolute" from="4449,2237" to="5001,2237" stroked="true" strokeweight=".75pt" strokecolor="#858585">
              <v:stroke dashstyle="solid"/>
            </v:line>
            <v:line style="position:absolute" from="2147,2237" to="3713,2237" stroked="true" strokeweight=".75pt" strokecolor="#858585">
              <v:stroke dashstyle="solid"/>
            </v:line>
            <v:line style="position:absolute" from="4449,1893" to="5001,1893" stroked="true" strokeweight=".75pt" strokecolor="#858585">
              <v:stroke dashstyle="solid"/>
            </v:line>
            <v:line style="position:absolute" from="2147,1893" to="3713,1893" stroked="true" strokeweight=".75pt" strokecolor="#858585">
              <v:stroke dashstyle="solid"/>
            </v:line>
            <v:rect style="position:absolute;left:3712;top:1831;width:737;height:1095" filled="true" fillcolor="#4f81bb" stroked="false">
              <v:fill type="solid"/>
            </v:rect>
            <v:line style="position:absolute" from="5738,2237" to="6290,2237" stroked="true" strokeweight=".75pt" strokecolor="#858585">
              <v:stroke dashstyle="solid"/>
            </v:line>
            <v:line style="position:absolute" from="5738,1893" to="6290,1893" stroked="true" strokeweight=".75pt" strokecolor="#858585">
              <v:stroke dashstyle="solid"/>
            </v:line>
            <v:line style="position:absolute" from="5738,1549" to="6290,1549" stroked="true" strokeweight=".75pt" strokecolor="#858585">
              <v:stroke dashstyle="solid"/>
            </v:line>
            <v:line style="position:absolute" from="2147,1549" to="5001,1549" stroked="true" strokeweight=".75pt" strokecolor="#858585">
              <v:stroke dashstyle="solid"/>
            </v:line>
            <v:line style="position:absolute" from="5738,1206" to="6290,1206" stroked="true" strokeweight=".75pt" strokecolor="#858585">
              <v:stroke dashstyle="solid"/>
            </v:line>
            <v:line style="position:absolute" from="2147,1206" to="5001,1206" stroked="true" strokeweight=".75pt" strokecolor="#858585">
              <v:stroke dashstyle="solid"/>
            </v:line>
            <v:rect style="position:absolute;left:5001;top:1033;width:737;height:1893" filled="true" fillcolor="#4f81bb" stroked="false">
              <v:fill type="solid"/>
            </v:rect>
            <v:line style="position:absolute" from="7027,2237" to="7579,2237" stroked="true" strokeweight=".75pt" strokecolor="#858585">
              <v:stroke dashstyle="solid"/>
            </v:line>
            <v:line style="position:absolute" from="7027,1893" to="7579,1893" stroked="true" strokeweight=".75pt" strokecolor="#858585">
              <v:stroke dashstyle="solid"/>
            </v:line>
            <v:line style="position:absolute" from="7027,1549" to="7579,1549" stroked="true" strokeweight=".75pt" strokecolor="#858585">
              <v:stroke dashstyle="solid"/>
            </v:line>
            <v:line style="position:absolute" from="7027,1206" to="8592,1206" stroked="true" strokeweight=".75pt" strokecolor="#858585">
              <v:stroke dashstyle="solid"/>
            </v:line>
            <v:rect style="position:absolute;left:6290;top:1047;width:737;height:1879" filled="true" fillcolor="#4f81bb" stroked="false">
              <v:fill type="solid"/>
            </v:rect>
            <v:line style="position:absolute" from="8316,2237" to="8592,2237" stroked="true" strokeweight=".75pt" strokecolor="#858585">
              <v:stroke dashstyle="solid"/>
            </v:line>
            <v:line style="position:absolute" from="8316,1893" to="8592,1893" stroked="true" strokeweight=".75pt" strokecolor="#858585">
              <v:stroke dashstyle="solid"/>
            </v:line>
            <v:line style="position:absolute" from="8316,1549" to="8592,1549" stroked="true" strokeweight=".75pt" strokecolor="#858585">
              <v:stroke dashstyle="solid"/>
            </v:line>
            <v:rect style="position:absolute;left:7579;top:1356;width:737;height:1569" filled="true" fillcolor="#4f81bb" stroked="false">
              <v:fill type="solid"/>
            </v:rect>
            <v:line style="position:absolute" from="2147,2925" to="2147,2925" stroked="true" strokeweight=".75pt" strokecolor="#858585">
              <v:stroke dashstyle="solid"/>
            </v:line>
            <v:line style="position:absolute" from="2147,2925" to="8592,2925" stroked="true" strokeweight=".75pt" strokecolor="#858585">
              <v:stroke dashstyle="solid"/>
            </v:line>
            <v:line style="position:absolute" from="2147,861" to="8592,861" stroked="true" strokeweight=".75pt" strokecolor="#858585">
              <v:stroke dashstyle="solid"/>
            </v:line>
            <v:rect style="position:absolute;left:4394;top:3443;width:110;height:91" filled="true" fillcolor="#4f81bb" stroked="false">
              <v:fill type="solid"/>
            </v:rect>
            <v:rect style="position:absolute;left:1477;top:165;width:7335;height:3573" filled="false" stroked="true" strokeweight=".75pt" strokecolor="#858585">
              <v:stroke dashstyle="solid"/>
            </v:rect>
            <v:shape style="position:absolute;left:3840;top:349;width:2626;height:303" type="#_x0000_t75" stroked="false">
              <v:imagedata r:id="rId122" o:title=""/>
            </v:shape>
            <v:shape style="position:absolute;left:1608;top:786;width:375;height:2232" type="#_x0000_t75" stroked="false">
              <v:imagedata r:id="rId123" o:title=""/>
            </v:shape>
            <v:shape style="position:absolute;left:1729;top:1636;width:224;height:131" type="#_x0000_t75" stroked="false">
              <v:imagedata r:id="rId124" o:title=""/>
            </v:shape>
            <v:shape style="position:absolute;left:2587;top:3066;width:428;height:164" type="#_x0000_t75" stroked="false">
              <v:imagedata r:id="rId125" o:title=""/>
            </v:shape>
            <v:shape style="position:absolute;left:3878;top:3066;width:428;height:164" type="#_x0000_t75" stroked="false">
              <v:imagedata r:id="rId125" o:title=""/>
            </v:shape>
            <v:shape style="position:absolute;left:5169;top:3066;width:423;height:164" type="#_x0000_t75" stroked="false">
              <v:imagedata r:id="rId126" o:title=""/>
            </v:shape>
            <v:shape style="position:absolute;left:6456;top:3066;width:428;height:164" type="#_x0000_t75" stroked="false">
              <v:imagedata r:id="rId125" o:title=""/>
            </v:shape>
            <v:shape style="position:absolute;left:7747;top:3066;width:428;height:164" type="#_x0000_t75" stroked="false">
              <v:imagedata r:id="rId125" o:title=""/>
            </v:shape>
            <v:shape style="position:absolute;left:4550;top:3411;width:1440;height:168" type="#_x0000_t75" stroked="false">
              <v:imagedata r:id="rId127" o:title=""/>
            </v:shape>
            <v:shape style="position:absolute;left:7750;top:3076;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2019</w:t>
                    </w:r>
                  </w:p>
                </w:txbxContent>
              </v:textbox>
              <w10:wrap type="none"/>
            </v:shape>
            <v:shape style="position:absolute;left:6458;top:3076;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2018</w:t>
                    </w:r>
                  </w:p>
                </w:txbxContent>
              </v:textbox>
              <w10:wrap type="none"/>
            </v:shape>
            <v:shape style="position:absolute;left:4552;top:3076;width:1446;height:548" type="#_x0000_t202" filled="false" stroked="false">
              <v:textbox inset="0,0,0,0">
                <w:txbxContent>
                  <w:p>
                    <w:pPr>
                      <w:spacing w:line="205" w:lineRule="exact" w:before="0"/>
                      <w:ind w:left="619" w:right="0" w:firstLine="0"/>
                      <w:jc w:val="left"/>
                      <w:rPr>
                        <w:rFonts w:ascii="Calibri"/>
                        <w:sz w:val="20"/>
                      </w:rPr>
                    </w:pPr>
                    <w:r>
                      <w:rPr>
                        <w:rFonts w:ascii="Calibri"/>
                        <w:sz w:val="20"/>
                      </w:rPr>
                      <w:t>2017</w:t>
                    </w:r>
                  </w:p>
                  <w:p>
                    <w:pPr>
                      <w:spacing w:line="241" w:lineRule="exact" w:before="101"/>
                      <w:ind w:left="0" w:right="0" w:firstLine="0"/>
                      <w:jc w:val="left"/>
                      <w:rPr>
                        <w:rFonts w:ascii="Calibri"/>
                        <w:sz w:val="20"/>
                      </w:rPr>
                    </w:pPr>
                    <w:r>
                      <w:rPr>
                        <w:rFonts w:ascii="Calibri"/>
                        <w:sz w:val="20"/>
                      </w:rPr>
                      <w:t>Net Profit Margin</w:t>
                    </w:r>
                  </w:p>
                </w:txbxContent>
              </v:textbox>
              <w10:wrap type="none"/>
            </v:shape>
            <v:shape style="position:absolute;left:3879;top:3076;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2065</w:t>
                    </w:r>
                  </w:p>
                </w:txbxContent>
              </v:textbox>
              <w10:wrap type="none"/>
            </v:shape>
            <v:shape style="position:absolute;left:2588;top:3076;width:424;height:202" type="#_x0000_t202" filled="false" stroked="false">
              <v:textbox inset="0,0,0,0">
                <w:txbxContent>
                  <w:p>
                    <w:pPr>
                      <w:spacing w:line="202" w:lineRule="exact" w:before="0"/>
                      <w:ind w:left="0" w:right="0" w:firstLine="0"/>
                      <w:jc w:val="left"/>
                      <w:rPr>
                        <w:rFonts w:ascii="Calibri"/>
                        <w:sz w:val="20"/>
                      </w:rPr>
                    </w:pPr>
                    <w:r>
                      <w:rPr>
                        <w:rFonts w:ascii="Calibri"/>
                        <w:sz w:val="20"/>
                      </w:rPr>
                      <w:t>2015</w:t>
                    </w:r>
                  </w:p>
                </w:txbxContent>
              </v:textbox>
              <w10:wrap type="none"/>
            </v:shape>
            <v:shape style="position:absolute;left:1613;top:2034;width:377;height:1033" type="#_x0000_t202" filled="false" stroked="false">
              <v:textbox inset="0,0,0,0">
                <w:txbxContent>
                  <w:p>
                    <w:pPr>
                      <w:spacing w:line="205" w:lineRule="exact" w:before="0"/>
                      <w:ind w:left="0" w:right="0" w:firstLine="0"/>
                      <w:jc w:val="left"/>
                      <w:rPr>
                        <w:rFonts w:ascii="Calibri"/>
                        <w:sz w:val="20"/>
                      </w:rPr>
                    </w:pPr>
                    <w:r>
                      <w:rPr>
                        <w:rFonts w:ascii="Calibri"/>
                        <w:sz w:val="20"/>
                      </w:rPr>
                      <w:t>0.15</w:t>
                    </w:r>
                  </w:p>
                  <w:p>
                    <w:pPr>
                      <w:spacing w:before="173"/>
                      <w:ind w:left="100" w:right="0" w:firstLine="0"/>
                      <w:jc w:val="left"/>
                      <w:rPr>
                        <w:rFonts w:ascii="Calibri"/>
                        <w:sz w:val="20"/>
                      </w:rPr>
                    </w:pPr>
                    <w:r>
                      <w:rPr>
                        <w:rFonts w:ascii="Calibri"/>
                        <w:sz w:val="20"/>
                      </w:rPr>
                      <w:t>0.1</w:t>
                    </w:r>
                  </w:p>
                  <w:p>
                    <w:pPr>
                      <w:spacing w:line="241" w:lineRule="exact" w:before="169"/>
                      <w:ind w:left="0" w:right="0" w:firstLine="0"/>
                      <w:jc w:val="left"/>
                      <w:rPr>
                        <w:rFonts w:ascii="Calibri"/>
                        <w:sz w:val="20"/>
                      </w:rPr>
                    </w:pPr>
                    <w:r>
                      <w:rPr>
                        <w:rFonts w:ascii="Calibri"/>
                        <w:sz w:val="20"/>
                      </w:rPr>
                      <w:t>0.05</w:t>
                    </w:r>
                  </w:p>
                </w:txbxContent>
              </v:textbox>
              <w10:wrap type="none"/>
            </v:shape>
            <v:shape style="position:absolute;left:1613;top:800;width:377;height:605" type="#_x0000_t202" filled="false" stroked="false">
              <v:textbox inset="0,0,0,0">
                <w:txbxContent>
                  <w:p>
                    <w:pPr>
                      <w:spacing w:line="205" w:lineRule="exact" w:before="0"/>
                      <w:ind w:left="0" w:right="18" w:firstLine="0"/>
                      <w:jc w:val="right"/>
                      <w:rPr>
                        <w:rFonts w:ascii="Calibri"/>
                        <w:sz w:val="20"/>
                      </w:rPr>
                    </w:pPr>
                    <w:r>
                      <w:rPr>
                        <w:rFonts w:ascii="Calibri"/>
                        <w:spacing w:val="-1"/>
                        <w:sz w:val="20"/>
                      </w:rPr>
                      <w:t>0.3</w:t>
                    </w:r>
                  </w:p>
                  <w:p>
                    <w:pPr>
                      <w:spacing w:line="241" w:lineRule="exact" w:before="159"/>
                      <w:ind w:left="0" w:right="18" w:firstLine="0"/>
                      <w:jc w:val="right"/>
                      <w:rPr>
                        <w:rFonts w:ascii="Calibri"/>
                        <w:sz w:val="20"/>
                      </w:rPr>
                    </w:pPr>
                    <w:r>
                      <w:rPr>
                        <w:rFonts w:ascii="Calibri"/>
                        <w:spacing w:val="-1"/>
                        <w:sz w:val="20"/>
                      </w:rPr>
                      <w:t>0.25</w:t>
                    </w:r>
                  </w:p>
                </w:txbxContent>
              </v:textbox>
              <w10:wrap type="none"/>
            </v:shape>
            <v:shape style="position:absolute;left:3841;top:369;width:2641;height:360" type="#_x0000_t202" filled="false" stroked="false">
              <v:textbox inset="0,0,0,0">
                <w:txbxContent>
                  <w:p>
                    <w:pPr>
                      <w:spacing w:line="360" w:lineRule="exact" w:before="0"/>
                      <w:ind w:left="0" w:right="0" w:firstLine="0"/>
                      <w:jc w:val="left"/>
                      <w:rPr>
                        <w:rFonts w:ascii="Calibri"/>
                        <w:b/>
                        <w:sz w:val="36"/>
                      </w:rPr>
                    </w:pPr>
                    <w:r>
                      <w:rPr>
                        <w:rFonts w:ascii="Calibri"/>
                        <w:b/>
                        <w:sz w:val="36"/>
                      </w:rPr>
                      <w:t>Net Profit Margin</w:t>
                    </w:r>
                  </w:p>
                </w:txbxContent>
              </v:textbox>
              <w10:wrap type="none"/>
            </v:shape>
            <w10:wrap type="topAndBottom"/>
          </v:group>
        </w:pict>
      </w:r>
    </w:p>
    <w:p>
      <w:pPr>
        <w:pStyle w:val="BodyText"/>
        <w:spacing w:line="360" w:lineRule="auto" w:before="208"/>
        <w:ind w:left="340" w:right="136"/>
        <w:jc w:val="both"/>
      </w:pPr>
      <w:r>
        <w:rPr/>
        <w:t>This</w:t>
      </w:r>
      <w:r>
        <w:rPr>
          <w:spacing w:val="-7"/>
        </w:rPr>
        <w:t> </w:t>
      </w:r>
      <w:r>
        <w:rPr/>
        <w:t>ratio</w:t>
      </w:r>
      <w:r>
        <w:rPr>
          <w:spacing w:val="4"/>
        </w:rPr>
        <w:t> </w:t>
      </w:r>
      <w:r>
        <w:rPr>
          <w:spacing w:val="-5"/>
        </w:rPr>
        <w:t>is</w:t>
      </w:r>
      <w:r>
        <w:rPr>
          <w:spacing w:val="-2"/>
        </w:rPr>
        <w:t> </w:t>
      </w:r>
      <w:r>
        <w:rPr/>
        <w:t>increasing from</w:t>
      </w:r>
      <w:r>
        <w:rPr>
          <w:spacing w:val="-13"/>
        </w:rPr>
        <w:t> </w:t>
      </w:r>
      <w:r>
        <w:rPr/>
        <w:t>2015</w:t>
      </w:r>
      <w:r>
        <w:rPr>
          <w:spacing w:val="-5"/>
        </w:rPr>
        <w:t> </w:t>
      </w:r>
      <w:r>
        <w:rPr>
          <w:spacing w:val="2"/>
        </w:rPr>
        <w:t>to</w:t>
      </w:r>
      <w:r>
        <w:rPr>
          <w:spacing w:val="-5"/>
        </w:rPr>
        <w:t> </w:t>
      </w:r>
      <w:r>
        <w:rPr/>
        <w:t>2019.</w:t>
      </w:r>
      <w:r>
        <w:rPr>
          <w:spacing w:val="3"/>
        </w:rPr>
        <w:t> </w:t>
      </w:r>
      <w:r>
        <w:rPr/>
        <w:t>In</w:t>
      </w:r>
      <w:r>
        <w:rPr>
          <w:spacing w:val="-19"/>
        </w:rPr>
        <w:t> </w:t>
      </w:r>
      <w:r>
        <w:rPr/>
        <w:t>2015</w:t>
      </w:r>
      <w:r>
        <w:rPr>
          <w:spacing w:val="-4"/>
        </w:rPr>
        <w:t> </w:t>
      </w:r>
      <w:r>
        <w:rPr/>
        <w:t>the</w:t>
      </w:r>
      <w:r>
        <w:rPr>
          <w:spacing w:val="-6"/>
        </w:rPr>
        <w:t> </w:t>
      </w:r>
      <w:r>
        <w:rPr/>
        <w:t>net </w:t>
      </w:r>
      <w:r>
        <w:rPr>
          <w:spacing w:val="-3"/>
        </w:rPr>
        <w:t>profit</w:t>
      </w:r>
      <w:r>
        <w:rPr>
          <w:spacing w:val="5"/>
        </w:rPr>
        <w:t> </w:t>
      </w:r>
      <w:r>
        <w:rPr/>
        <w:t>margin</w:t>
      </w:r>
      <w:r>
        <w:rPr>
          <w:spacing w:val="-9"/>
        </w:rPr>
        <w:t> </w:t>
      </w:r>
      <w:r>
        <w:rPr>
          <w:spacing w:val="4"/>
        </w:rPr>
        <w:t>of</w:t>
      </w:r>
      <w:r>
        <w:rPr>
          <w:spacing w:val="-13"/>
        </w:rPr>
        <w:t> </w:t>
      </w:r>
      <w:r>
        <w:rPr/>
        <w:t>the</w:t>
      </w:r>
      <w:r>
        <w:rPr>
          <w:spacing w:val="-6"/>
        </w:rPr>
        <w:t> </w:t>
      </w:r>
      <w:r>
        <w:rPr/>
        <w:t>CBL</w:t>
      </w:r>
      <w:r>
        <w:rPr>
          <w:spacing w:val="-7"/>
        </w:rPr>
        <w:t> </w:t>
      </w:r>
      <w:r>
        <w:rPr/>
        <w:t>was</w:t>
      </w:r>
      <w:r>
        <w:rPr>
          <w:spacing w:val="-7"/>
        </w:rPr>
        <w:t> </w:t>
      </w:r>
      <w:r>
        <w:rPr/>
        <w:t>0.042.</w:t>
      </w:r>
      <w:r>
        <w:rPr>
          <w:spacing w:val="-3"/>
        </w:rPr>
        <w:t> </w:t>
      </w:r>
      <w:r>
        <w:rPr/>
        <w:t>In 2016 the ratio increased. In 2017 the ratio increased and became highest net profit margin According </w:t>
      </w:r>
      <w:r>
        <w:rPr>
          <w:spacing w:val="2"/>
        </w:rPr>
        <w:t>to </w:t>
      </w:r>
      <w:r>
        <w:rPr/>
        <w:t>the CBL’s net profit </w:t>
      </w:r>
      <w:r>
        <w:rPr>
          <w:spacing w:val="-3"/>
        </w:rPr>
        <w:t>margin, </w:t>
      </w:r>
      <w:r>
        <w:rPr/>
        <w:t>we can say that that bank </w:t>
      </w:r>
      <w:r>
        <w:rPr>
          <w:spacing w:val="-3"/>
        </w:rPr>
        <w:t>is </w:t>
      </w:r>
      <w:r>
        <w:rPr/>
        <w:t>performing well </w:t>
      </w:r>
      <w:r>
        <w:rPr>
          <w:spacing w:val="-3"/>
        </w:rPr>
        <w:t>in </w:t>
      </w:r>
      <w:r>
        <w:rPr/>
        <w:t>0.275. In 2018 the ratio was 0.273 and 2018 was 0.0228. In </w:t>
      </w:r>
      <w:r>
        <w:rPr>
          <w:spacing w:val="-4"/>
        </w:rPr>
        <w:t>last </w:t>
      </w:r>
      <w:r>
        <w:rPr/>
        <w:t>year, </w:t>
      </w:r>
      <w:r>
        <w:rPr>
          <w:spacing w:val="-5"/>
        </w:rPr>
        <w:t>it </w:t>
      </w:r>
      <w:r>
        <w:rPr>
          <w:spacing w:val="-3"/>
        </w:rPr>
        <w:t>is </w:t>
      </w:r>
      <w:r>
        <w:rPr/>
        <w:t>decreasing. So 2019 </w:t>
      </w:r>
      <w:r>
        <w:rPr>
          <w:spacing w:val="-5"/>
        </w:rPr>
        <w:t>is </w:t>
      </w:r>
      <w:r>
        <w:rPr/>
        <w:t>best profit margin</w:t>
      </w:r>
      <w:r>
        <w:rPr>
          <w:spacing w:val="3"/>
        </w:rPr>
        <w:t> </w:t>
      </w:r>
      <w:r>
        <w:rPr/>
        <w:t>CBL.</w:t>
      </w:r>
    </w:p>
    <w:p>
      <w:pPr>
        <w:spacing w:after="0" w:line="360" w:lineRule="auto"/>
        <w:jc w:val="both"/>
        <w:sectPr>
          <w:pgSz w:w="12240" w:h="15840"/>
          <w:pgMar w:header="0" w:footer="1039" w:top="1360" w:bottom="1220" w:left="1100" w:right="1300"/>
        </w:sectPr>
      </w:pPr>
    </w:p>
    <w:p>
      <w:pPr>
        <w:pStyle w:val="Heading1"/>
        <w:numPr>
          <w:ilvl w:val="1"/>
          <w:numId w:val="16"/>
        </w:numPr>
        <w:tabs>
          <w:tab w:pos="825" w:val="left" w:leader="none"/>
        </w:tabs>
        <w:spacing w:line="240" w:lineRule="auto" w:before="59" w:after="0"/>
        <w:ind w:left="824" w:right="0" w:hanging="485"/>
        <w:jc w:val="left"/>
      </w:pPr>
      <w:r>
        <w:rPr/>
        <w:t>Findings of the</w:t>
      </w:r>
      <w:r>
        <w:rPr>
          <w:spacing w:val="1"/>
        </w:rPr>
        <w:t> </w:t>
      </w:r>
      <w:r>
        <w:rPr>
          <w:spacing w:val="-3"/>
        </w:rPr>
        <w:t>study</w:t>
      </w:r>
    </w:p>
    <w:p>
      <w:pPr>
        <w:pStyle w:val="Heading3"/>
        <w:spacing w:before="182"/>
        <w:jc w:val="both"/>
      </w:pPr>
      <w:r>
        <w:rPr/>
        <w:t>Trust Bank Limited</w:t>
      </w:r>
    </w:p>
    <w:p>
      <w:pPr>
        <w:pStyle w:val="BodyText"/>
        <w:spacing w:line="360" w:lineRule="auto" w:before="132"/>
        <w:ind w:left="340" w:right="131"/>
        <w:jc w:val="both"/>
      </w:pPr>
      <w:r>
        <w:rPr/>
        <w:t>Liquidity position of TBL is up to standard. Working capital of Trust Bank is not good because it’s remain same. The Leverage ratio show the high hazard related with the organizations for the most part use proportions, measures the level of assets given by the loan bosses. The extent of an association's aggregate resources is being financed with a high level of obtained reserves. Profitability ratio are not good of Trust bank. Because it's decrease in 2019. In 2018 profitability ratio are quite good.</w:t>
      </w:r>
    </w:p>
    <w:p>
      <w:pPr>
        <w:pStyle w:val="BodyText"/>
        <w:spacing w:before="6"/>
      </w:pPr>
    </w:p>
    <w:p>
      <w:pPr>
        <w:pStyle w:val="Heading3"/>
      </w:pPr>
      <w:r>
        <w:rPr/>
        <w:t>Jamuna Bank Limited</w:t>
      </w:r>
    </w:p>
    <w:p>
      <w:pPr>
        <w:pStyle w:val="ListParagraph"/>
        <w:numPr>
          <w:ilvl w:val="2"/>
          <w:numId w:val="16"/>
        </w:numPr>
        <w:tabs>
          <w:tab w:pos="1061" w:val="left" w:leader="none"/>
        </w:tabs>
        <w:spacing w:line="240" w:lineRule="auto" w:before="132" w:after="0"/>
        <w:ind w:left="1061" w:right="0" w:hanging="361"/>
        <w:jc w:val="left"/>
        <w:rPr>
          <w:sz w:val="24"/>
        </w:rPr>
      </w:pPr>
      <w:r>
        <w:rPr>
          <w:sz w:val="24"/>
        </w:rPr>
        <w:t>Liquidity situation of Jamuna Bank Restricted </w:t>
      </w:r>
      <w:r>
        <w:rPr>
          <w:spacing w:val="-5"/>
          <w:sz w:val="24"/>
        </w:rPr>
        <w:t>is</w:t>
      </w:r>
      <w:r>
        <w:rPr>
          <w:spacing w:val="-3"/>
          <w:sz w:val="24"/>
        </w:rPr>
        <w:t> </w:t>
      </w:r>
      <w:r>
        <w:rPr>
          <w:sz w:val="24"/>
        </w:rPr>
        <w:t>poor.</w:t>
      </w:r>
    </w:p>
    <w:p>
      <w:pPr>
        <w:pStyle w:val="ListParagraph"/>
        <w:numPr>
          <w:ilvl w:val="2"/>
          <w:numId w:val="16"/>
        </w:numPr>
        <w:tabs>
          <w:tab w:pos="1061" w:val="left" w:leader="none"/>
        </w:tabs>
        <w:spacing w:line="360" w:lineRule="auto" w:before="142" w:after="0"/>
        <w:ind w:left="1061" w:right="144" w:hanging="361"/>
        <w:jc w:val="left"/>
        <w:rPr>
          <w:sz w:val="24"/>
        </w:rPr>
      </w:pPr>
      <w:r>
        <w:rPr>
          <w:sz w:val="24"/>
        </w:rPr>
        <w:t>Current and Basic analysis proportion </w:t>
      </w:r>
      <w:r>
        <w:rPr>
          <w:spacing w:val="-3"/>
          <w:sz w:val="24"/>
        </w:rPr>
        <w:t>is </w:t>
      </w:r>
      <w:r>
        <w:rPr>
          <w:sz w:val="24"/>
        </w:rPr>
        <w:t>well beneath the standard, which implies the advantages of Jamuna Bank Constrained </w:t>
      </w:r>
      <w:r>
        <w:rPr>
          <w:spacing w:val="-3"/>
          <w:sz w:val="24"/>
        </w:rPr>
        <w:t>isn't</w:t>
      </w:r>
      <w:r>
        <w:rPr>
          <w:spacing w:val="9"/>
          <w:sz w:val="24"/>
        </w:rPr>
        <w:t> </w:t>
      </w:r>
      <w:r>
        <w:rPr>
          <w:sz w:val="24"/>
        </w:rPr>
        <w:t>sufficient.</w:t>
      </w:r>
    </w:p>
    <w:p>
      <w:pPr>
        <w:pStyle w:val="ListParagraph"/>
        <w:numPr>
          <w:ilvl w:val="2"/>
          <w:numId w:val="16"/>
        </w:numPr>
        <w:tabs>
          <w:tab w:pos="1061" w:val="left" w:leader="none"/>
        </w:tabs>
        <w:spacing w:line="360" w:lineRule="auto" w:before="0" w:after="0"/>
        <w:ind w:left="1061" w:right="149" w:hanging="361"/>
        <w:jc w:val="left"/>
        <w:rPr>
          <w:sz w:val="24"/>
        </w:rPr>
      </w:pPr>
      <w:r>
        <w:rPr>
          <w:sz w:val="24"/>
        </w:rPr>
        <w:t>Loan store proportion </w:t>
      </w:r>
      <w:r>
        <w:rPr>
          <w:spacing w:val="-3"/>
          <w:sz w:val="24"/>
        </w:rPr>
        <w:t>is </w:t>
      </w:r>
      <w:r>
        <w:rPr>
          <w:sz w:val="24"/>
        </w:rPr>
        <w:t>underneath the standard, which shows that Jamuna Bank Constrained </w:t>
      </w:r>
      <w:r>
        <w:rPr>
          <w:spacing w:val="-3"/>
          <w:sz w:val="24"/>
        </w:rPr>
        <w:t>isn't in </w:t>
      </w:r>
      <w:r>
        <w:rPr>
          <w:sz w:val="24"/>
        </w:rPr>
        <w:t>dynamic mode yet</w:t>
      </w:r>
      <w:r>
        <w:rPr>
          <w:spacing w:val="40"/>
          <w:sz w:val="24"/>
        </w:rPr>
        <w:t> </w:t>
      </w:r>
      <w:r>
        <w:rPr>
          <w:sz w:val="24"/>
        </w:rPr>
        <w:t>palatable.</w:t>
      </w:r>
    </w:p>
    <w:p>
      <w:pPr>
        <w:pStyle w:val="BodyText"/>
        <w:spacing w:before="3"/>
      </w:pPr>
    </w:p>
    <w:p>
      <w:pPr>
        <w:pStyle w:val="Heading3"/>
        <w:jc w:val="both"/>
      </w:pPr>
      <w:r>
        <w:rPr/>
        <w:t>Bangladesh Commerce Bank Limited</w:t>
      </w:r>
    </w:p>
    <w:p>
      <w:pPr>
        <w:pStyle w:val="ListParagraph"/>
        <w:numPr>
          <w:ilvl w:val="0"/>
          <w:numId w:val="17"/>
        </w:numPr>
        <w:tabs>
          <w:tab w:pos="1061" w:val="left" w:leader="none"/>
        </w:tabs>
        <w:spacing w:line="362" w:lineRule="auto" w:before="132" w:after="0"/>
        <w:ind w:left="1061" w:right="140" w:hanging="361"/>
        <w:jc w:val="both"/>
        <w:rPr>
          <w:sz w:val="24"/>
        </w:rPr>
      </w:pPr>
      <w:r>
        <w:rPr>
          <w:b/>
          <w:sz w:val="24"/>
        </w:rPr>
        <w:t>Decreased Cash ratio: </w:t>
      </w:r>
      <w:r>
        <w:rPr>
          <w:sz w:val="24"/>
        </w:rPr>
        <w:t>BCBL’s cash ratio has been decreasing since 2015. Considering liquidity </w:t>
      </w:r>
      <w:r>
        <w:rPr>
          <w:spacing w:val="4"/>
          <w:sz w:val="24"/>
        </w:rPr>
        <w:t>of </w:t>
      </w:r>
      <w:r>
        <w:rPr>
          <w:sz w:val="24"/>
        </w:rPr>
        <w:t>the bank, </w:t>
      </w:r>
      <w:r>
        <w:rPr>
          <w:spacing w:val="-3"/>
          <w:sz w:val="24"/>
        </w:rPr>
        <w:t>it’s </w:t>
      </w:r>
      <w:r>
        <w:rPr>
          <w:sz w:val="24"/>
        </w:rPr>
        <w:t>critical and needs to </w:t>
      </w:r>
      <w:r>
        <w:rPr>
          <w:spacing w:val="-3"/>
          <w:sz w:val="24"/>
        </w:rPr>
        <w:t>be</w:t>
      </w:r>
      <w:r>
        <w:rPr>
          <w:spacing w:val="-11"/>
          <w:sz w:val="24"/>
        </w:rPr>
        <w:t> </w:t>
      </w:r>
      <w:r>
        <w:rPr>
          <w:sz w:val="24"/>
        </w:rPr>
        <w:t>addressed.</w:t>
      </w:r>
    </w:p>
    <w:p>
      <w:pPr>
        <w:pStyle w:val="ListParagraph"/>
        <w:numPr>
          <w:ilvl w:val="0"/>
          <w:numId w:val="17"/>
        </w:numPr>
        <w:tabs>
          <w:tab w:pos="1061" w:val="left" w:leader="none"/>
        </w:tabs>
        <w:spacing w:line="360" w:lineRule="auto" w:before="0" w:after="0"/>
        <w:ind w:left="1061" w:right="144" w:hanging="361"/>
        <w:jc w:val="both"/>
        <w:rPr>
          <w:sz w:val="24"/>
        </w:rPr>
      </w:pPr>
      <w:r>
        <w:rPr>
          <w:b/>
          <w:sz w:val="24"/>
        </w:rPr>
        <w:t>Total</w:t>
      </w:r>
      <w:r>
        <w:rPr>
          <w:b/>
          <w:spacing w:val="-10"/>
          <w:sz w:val="24"/>
        </w:rPr>
        <w:t> </w:t>
      </w:r>
      <w:r>
        <w:rPr>
          <w:b/>
          <w:sz w:val="24"/>
        </w:rPr>
        <w:t>Assets</w:t>
      </w:r>
      <w:r>
        <w:rPr>
          <w:b/>
          <w:spacing w:val="-8"/>
          <w:sz w:val="24"/>
        </w:rPr>
        <w:t> </w:t>
      </w:r>
      <w:r>
        <w:rPr>
          <w:b/>
          <w:sz w:val="24"/>
        </w:rPr>
        <w:t>Turnover:</w:t>
      </w:r>
      <w:r>
        <w:rPr>
          <w:b/>
          <w:spacing w:val="-2"/>
          <w:sz w:val="24"/>
        </w:rPr>
        <w:t> </w:t>
      </w:r>
      <w:r>
        <w:rPr>
          <w:sz w:val="24"/>
        </w:rPr>
        <w:t>The</w:t>
      </w:r>
      <w:r>
        <w:rPr>
          <w:spacing w:val="-6"/>
          <w:sz w:val="24"/>
        </w:rPr>
        <w:t> </w:t>
      </w:r>
      <w:r>
        <w:rPr>
          <w:sz w:val="24"/>
        </w:rPr>
        <w:t>Banks</w:t>
      </w:r>
      <w:r>
        <w:rPr>
          <w:spacing w:val="-8"/>
          <w:sz w:val="24"/>
        </w:rPr>
        <w:t> </w:t>
      </w:r>
      <w:r>
        <w:rPr>
          <w:sz w:val="24"/>
        </w:rPr>
        <w:t>total</w:t>
      </w:r>
      <w:r>
        <w:rPr>
          <w:spacing w:val="-14"/>
          <w:sz w:val="24"/>
        </w:rPr>
        <w:t> </w:t>
      </w:r>
      <w:r>
        <w:rPr>
          <w:sz w:val="24"/>
        </w:rPr>
        <w:t>assets</w:t>
      </w:r>
      <w:r>
        <w:rPr>
          <w:spacing w:val="-13"/>
          <w:sz w:val="24"/>
        </w:rPr>
        <w:t> </w:t>
      </w:r>
      <w:r>
        <w:rPr>
          <w:sz w:val="24"/>
        </w:rPr>
        <w:t>turnover </w:t>
      </w:r>
      <w:r>
        <w:rPr>
          <w:spacing w:val="-5"/>
          <w:sz w:val="24"/>
        </w:rPr>
        <w:t>is</w:t>
      </w:r>
      <w:r>
        <w:rPr>
          <w:spacing w:val="-8"/>
          <w:sz w:val="24"/>
        </w:rPr>
        <w:t> </w:t>
      </w:r>
      <w:r>
        <w:rPr>
          <w:sz w:val="24"/>
        </w:rPr>
        <w:t>decreasing</w:t>
      </w:r>
      <w:r>
        <w:rPr>
          <w:spacing w:val="-1"/>
          <w:sz w:val="24"/>
        </w:rPr>
        <w:t> </w:t>
      </w:r>
      <w:r>
        <w:rPr>
          <w:spacing w:val="-3"/>
          <w:sz w:val="24"/>
        </w:rPr>
        <w:t>in</w:t>
      </w:r>
      <w:r>
        <w:rPr>
          <w:spacing w:val="-10"/>
          <w:sz w:val="24"/>
        </w:rPr>
        <w:t> </w:t>
      </w:r>
      <w:r>
        <w:rPr>
          <w:sz w:val="24"/>
        </w:rPr>
        <w:t>every</w:t>
      </w:r>
      <w:r>
        <w:rPr>
          <w:spacing w:val="-11"/>
          <w:sz w:val="24"/>
        </w:rPr>
        <w:t> </w:t>
      </w:r>
      <w:r>
        <w:rPr>
          <w:sz w:val="24"/>
        </w:rPr>
        <w:t>year.</w:t>
      </w:r>
      <w:r>
        <w:rPr>
          <w:spacing w:val="-4"/>
          <w:sz w:val="24"/>
        </w:rPr>
        <w:t> </w:t>
      </w:r>
      <w:r>
        <w:rPr>
          <w:sz w:val="24"/>
        </w:rPr>
        <w:t>Since Asset Turnover ratio </w:t>
      </w:r>
      <w:r>
        <w:rPr>
          <w:spacing w:val="-5"/>
          <w:sz w:val="24"/>
        </w:rPr>
        <w:t>is </w:t>
      </w:r>
      <w:r>
        <w:rPr>
          <w:sz w:val="24"/>
        </w:rPr>
        <w:t>often used as an indicator of the efficiency, the bank should take care of</w:t>
      </w:r>
      <w:r>
        <w:rPr>
          <w:spacing w:val="-1"/>
          <w:sz w:val="24"/>
        </w:rPr>
        <w:t> </w:t>
      </w:r>
      <w:r>
        <w:rPr>
          <w:sz w:val="24"/>
        </w:rPr>
        <w:t>it.</w:t>
      </w:r>
    </w:p>
    <w:p>
      <w:pPr>
        <w:pStyle w:val="ListParagraph"/>
        <w:numPr>
          <w:ilvl w:val="0"/>
          <w:numId w:val="17"/>
        </w:numPr>
        <w:tabs>
          <w:tab w:pos="1061" w:val="left" w:leader="none"/>
        </w:tabs>
        <w:spacing w:line="360" w:lineRule="auto" w:before="0" w:after="0"/>
        <w:ind w:left="1061" w:right="142" w:hanging="361"/>
        <w:jc w:val="both"/>
        <w:rPr>
          <w:sz w:val="24"/>
        </w:rPr>
      </w:pPr>
      <w:r>
        <w:rPr>
          <w:b/>
          <w:sz w:val="24"/>
        </w:rPr>
        <w:t>Return on Assets: </w:t>
      </w:r>
      <w:r>
        <w:rPr>
          <w:sz w:val="24"/>
        </w:rPr>
        <w:t>Return on assets (ROA) </w:t>
      </w:r>
      <w:r>
        <w:rPr>
          <w:spacing w:val="-3"/>
          <w:sz w:val="24"/>
        </w:rPr>
        <w:t>is </w:t>
      </w:r>
      <w:r>
        <w:rPr>
          <w:sz w:val="24"/>
        </w:rPr>
        <w:t>a financial ratio that shows the percentage of profit a company earns </w:t>
      </w:r>
      <w:r>
        <w:rPr>
          <w:spacing w:val="-3"/>
          <w:sz w:val="24"/>
        </w:rPr>
        <w:t>in </w:t>
      </w:r>
      <w:r>
        <w:rPr>
          <w:sz w:val="24"/>
        </w:rPr>
        <w:t>relation </w:t>
      </w:r>
      <w:r>
        <w:rPr>
          <w:spacing w:val="2"/>
          <w:sz w:val="24"/>
        </w:rPr>
        <w:t>to </w:t>
      </w:r>
      <w:r>
        <w:rPr>
          <w:sz w:val="24"/>
        </w:rPr>
        <w:t>its overall resources. The banks return on assets </w:t>
      </w:r>
      <w:r>
        <w:rPr>
          <w:spacing w:val="-3"/>
          <w:sz w:val="24"/>
        </w:rPr>
        <w:t>is </w:t>
      </w:r>
      <w:r>
        <w:rPr>
          <w:sz w:val="24"/>
        </w:rPr>
        <w:t>decreasing </w:t>
      </w:r>
      <w:r>
        <w:rPr>
          <w:spacing w:val="-3"/>
          <w:sz w:val="24"/>
        </w:rPr>
        <w:t>in </w:t>
      </w:r>
      <w:r>
        <w:rPr>
          <w:sz w:val="24"/>
        </w:rPr>
        <w:t>every year from 2015 to</w:t>
      </w:r>
      <w:r>
        <w:rPr>
          <w:spacing w:val="-1"/>
          <w:sz w:val="24"/>
        </w:rPr>
        <w:t> </w:t>
      </w:r>
      <w:r>
        <w:rPr>
          <w:sz w:val="24"/>
        </w:rPr>
        <w:t>2019.</w:t>
      </w:r>
    </w:p>
    <w:p>
      <w:pPr>
        <w:pStyle w:val="BodyText"/>
        <w:spacing w:before="4"/>
        <w:rPr>
          <w:sz w:val="36"/>
        </w:rPr>
      </w:pPr>
    </w:p>
    <w:p>
      <w:pPr>
        <w:pStyle w:val="Heading3"/>
      </w:pPr>
      <w:r>
        <w:rPr/>
        <w:t>Premier Bank Limited</w:t>
      </w:r>
    </w:p>
    <w:p>
      <w:pPr>
        <w:pStyle w:val="ListParagraph"/>
        <w:numPr>
          <w:ilvl w:val="0"/>
          <w:numId w:val="18"/>
        </w:numPr>
        <w:tabs>
          <w:tab w:pos="1061" w:val="left" w:leader="none"/>
        </w:tabs>
        <w:spacing w:line="240" w:lineRule="auto" w:before="133" w:after="0"/>
        <w:ind w:left="1061" w:right="0" w:hanging="361"/>
        <w:jc w:val="left"/>
        <w:rPr>
          <w:sz w:val="24"/>
        </w:rPr>
      </w:pPr>
      <w:r>
        <w:rPr>
          <w:sz w:val="24"/>
        </w:rPr>
        <w:t>The</w:t>
      </w:r>
      <w:r>
        <w:rPr>
          <w:spacing w:val="4"/>
          <w:sz w:val="24"/>
        </w:rPr>
        <w:t> </w:t>
      </w:r>
      <w:r>
        <w:rPr>
          <w:sz w:val="24"/>
        </w:rPr>
        <w:t>bank’s</w:t>
      </w:r>
      <w:r>
        <w:rPr>
          <w:spacing w:val="3"/>
          <w:sz w:val="24"/>
        </w:rPr>
        <w:t> </w:t>
      </w:r>
      <w:r>
        <w:rPr>
          <w:sz w:val="24"/>
        </w:rPr>
        <w:t>Current</w:t>
      </w:r>
      <w:r>
        <w:rPr>
          <w:spacing w:val="12"/>
          <w:sz w:val="24"/>
        </w:rPr>
        <w:t> </w:t>
      </w:r>
      <w:r>
        <w:rPr>
          <w:spacing w:val="-3"/>
          <w:sz w:val="24"/>
        </w:rPr>
        <w:t>Ratio</w:t>
      </w:r>
      <w:r>
        <w:rPr>
          <w:spacing w:val="10"/>
          <w:sz w:val="24"/>
        </w:rPr>
        <w:t> </w:t>
      </w:r>
      <w:r>
        <w:rPr>
          <w:spacing w:val="-3"/>
          <w:sz w:val="24"/>
        </w:rPr>
        <w:t>is</w:t>
      </w:r>
      <w:r>
        <w:rPr>
          <w:spacing w:val="4"/>
          <w:sz w:val="24"/>
        </w:rPr>
        <w:t> </w:t>
      </w:r>
      <w:r>
        <w:rPr>
          <w:sz w:val="24"/>
        </w:rPr>
        <w:t>below</w:t>
      </w:r>
      <w:r>
        <w:rPr>
          <w:spacing w:val="5"/>
          <w:sz w:val="24"/>
        </w:rPr>
        <w:t> </w:t>
      </w:r>
      <w:r>
        <w:rPr>
          <w:sz w:val="24"/>
        </w:rPr>
        <w:t>2</w:t>
      </w:r>
      <w:r>
        <w:rPr>
          <w:spacing w:val="5"/>
          <w:sz w:val="24"/>
        </w:rPr>
        <w:t> </w:t>
      </w:r>
      <w:r>
        <w:rPr>
          <w:sz w:val="24"/>
        </w:rPr>
        <w:t>which</w:t>
      </w:r>
      <w:r>
        <w:rPr>
          <w:spacing w:val="7"/>
          <w:sz w:val="24"/>
        </w:rPr>
        <w:t> </w:t>
      </w:r>
      <w:r>
        <w:rPr>
          <w:spacing w:val="-5"/>
          <w:sz w:val="24"/>
        </w:rPr>
        <w:t>is</w:t>
      </w:r>
      <w:r>
        <w:rPr>
          <w:spacing w:val="7"/>
          <w:sz w:val="24"/>
        </w:rPr>
        <w:t> </w:t>
      </w:r>
      <w:r>
        <w:rPr>
          <w:sz w:val="24"/>
        </w:rPr>
        <w:t>not</w:t>
      </w:r>
      <w:r>
        <w:rPr>
          <w:spacing w:val="2"/>
          <w:sz w:val="24"/>
        </w:rPr>
        <w:t> </w:t>
      </w:r>
      <w:r>
        <w:rPr>
          <w:sz w:val="24"/>
        </w:rPr>
        <w:t>good.</w:t>
      </w:r>
      <w:r>
        <w:rPr>
          <w:spacing w:val="8"/>
          <w:sz w:val="24"/>
        </w:rPr>
        <w:t> </w:t>
      </w:r>
      <w:r>
        <w:rPr>
          <w:sz w:val="24"/>
        </w:rPr>
        <w:t>The</w:t>
      </w:r>
      <w:r>
        <w:rPr>
          <w:spacing w:val="9"/>
          <w:sz w:val="24"/>
        </w:rPr>
        <w:t> </w:t>
      </w:r>
      <w:r>
        <w:rPr>
          <w:sz w:val="24"/>
        </w:rPr>
        <w:t>current</w:t>
      </w:r>
      <w:r>
        <w:rPr>
          <w:spacing w:val="7"/>
          <w:sz w:val="24"/>
        </w:rPr>
        <w:t> </w:t>
      </w:r>
      <w:r>
        <w:rPr>
          <w:sz w:val="24"/>
        </w:rPr>
        <w:t>ratio</w:t>
      </w:r>
      <w:r>
        <w:rPr>
          <w:spacing w:val="10"/>
          <w:sz w:val="24"/>
        </w:rPr>
        <w:t> </w:t>
      </w:r>
      <w:r>
        <w:rPr>
          <w:spacing w:val="-3"/>
          <w:sz w:val="24"/>
        </w:rPr>
        <w:t>in</w:t>
      </w:r>
      <w:r>
        <w:rPr>
          <w:spacing w:val="1"/>
          <w:sz w:val="24"/>
        </w:rPr>
        <w:t> </w:t>
      </w:r>
      <w:r>
        <w:rPr>
          <w:sz w:val="24"/>
        </w:rPr>
        <w:t>2015</w:t>
      </w:r>
      <w:r>
        <w:rPr>
          <w:spacing w:val="5"/>
          <w:sz w:val="24"/>
        </w:rPr>
        <w:t> </w:t>
      </w:r>
      <w:r>
        <w:rPr>
          <w:sz w:val="24"/>
        </w:rPr>
        <w:t>was</w:t>
      </w:r>
    </w:p>
    <w:p>
      <w:pPr>
        <w:pStyle w:val="BodyText"/>
        <w:spacing w:before="137"/>
        <w:ind w:left="1181"/>
      </w:pPr>
      <w:r>
        <w:rPr/>
        <w:t>1.32 d in 2019 it was 1.066.</w:t>
      </w:r>
    </w:p>
    <w:p>
      <w:pPr>
        <w:pStyle w:val="ListParagraph"/>
        <w:numPr>
          <w:ilvl w:val="0"/>
          <w:numId w:val="18"/>
        </w:numPr>
        <w:tabs>
          <w:tab w:pos="1061" w:val="left" w:leader="none"/>
        </w:tabs>
        <w:spacing w:line="362" w:lineRule="auto" w:before="136" w:after="0"/>
        <w:ind w:left="1061" w:right="655" w:hanging="361"/>
        <w:jc w:val="left"/>
        <w:rPr>
          <w:sz w:val="24"/>
        </w:rPr>
      </w:pPr>
      <w:r>
        <w:rPr>
          <w:sz w:val="24"/>
        </w:rPr>
        <w:t>The bank’s Quick Ratio </w:t>
      </w:r>
      <w:r>
        <w:rPr>
          <w:spacing w:val="-3"/>
          <w:sz w:val="24"/>
        </w:rPr>
        <w:t>is </w:t>
      </w:r>
      <w:r>
        <w:rPr>
          <w:sz w:val="24"/>
        </w:rPr>
        <w:t>below 1. The </w:t>
      </w:r>
      <w:r>
        <w:rPr>
          <w:spacing w:val="-3"/>
          <w:sz w:val="24"/>
        </w:rPr>
        <w:t>quick </w:t>
      </w:r>
      <w:r>
        <w:rPr>
          <w:sz w:val="24"/>
        </w:rPr>
        <w:t>ratio </w:t>
      </w:r>
      <w:r>
        <w:rPr>
          <w:spacing w:val="-3"/>
          <w:sz w:val="24"/>
        </w:rPr>
        <w:t>in </w:t>
      </w:r>
      <w:r>
        <w:rPr>
          <w:sz w:val="24"/>
        </w:rPr>
        <w:t>2015 was 0.311 and </w:t>
      </w:r>
      <w:r>
        <w:rPr>
          <w:spacing w:val="-3"/>
          <w:sz w:val="24"/>
        </w:rPr>
        <w:t>in </w:t>
      </w:r>
      <w:r>
        <w:rPr>
          <w:sz w:val="24"/>
        </w:rPr>
        <w:t>2019 </w:t>
      </w:r>
      <w:r>
        <w:rPr>
          <w:spacing w:val="-5"/>
          <w:sz w:val="24"/>
        </w:rPr>
        <w:t>it </w:t>
      </w:r>
      <w:r>
        <w:rPr>
          <w:sz w:val="24"/>
        </w:rPr>
        <w:t>was 0.212 which </w:t>
      </w:r>
      <w:r>
        <w:rPr>
          <w:spacing w:val="-3"/>
          <w:sz w:val="24"/>
        </w:rPr>
        <w:t>is </w:t>
      </w:r>
      <w:r>
        <w:rPr>
          <w:sz w:val="24"/>
        </w:rPr>
        <w:t>not</w:t>
      </w:r>
      <w:r>
        <w:rPr>
          <w:spacing w:val="15"/>
          <w:sz w:val="24"/>
        </w:rPr>
        <w:t> </w:t>
      </w:r>
      <w:r>
        <w:rPr>
          <w:sz w:val="24"/>
        </w:rPr>
        <w:t>good.</w:t>
      </w:r>
    </w:p>
    <w:p>
      <w:pPr>
        <w:spacing w:after="0" w:line="362" w:lineRule="auto"/>
        <w:jc w:val="left"/>
        <w:rPr>
          <w:sz w:val="24"/>
        </w:rPr>
        <w:sectPr>
          <w:pgSz w:w="12240" w:h="15840"/>
          <w:pgMar w:header="0" w:footer="1039" w:top="1380" w:bottom="1220" w:left="1100" w:right="1300"/>
        </w:sectPr>
      </w:pPr>
    </w:p>
    <w:p>
      <w:pPr>
        <w:pStyle w:val="ListParagraph"/>
        <w:numPr>
          <w:ilvl w:val="0"/>
          <w:numId w:val="18"/>
        </w:numPr>
        <w:tabs>
          <w:tab w:pos="1061" w:val="left" w:leader="none"/>
        </w:tabs>
        <w:spacing w:line="360" w:lineRule="auto" w:before="72" w:after="0"/>
        <w:ind w:left="1061" w:right="1193" w:hanging="361"/>
        <w:jc w:val="left"/>
        <w:rPr>
          <w:sz w:val="24"/>
        </w:rPr>
      </w:pPr>
      <w:r>
        <w:rPr>
          <w:sz w:val="24"/>
        </w:rPr>
        <w:t>PBL’s Cash Ratio has been decreasing since 2015. Considering liquidity </w:t>
      </w:r>
      <w:r>
        <w:rPr>
          <w:spacing w:val="4"/>
          <w:sz w:val="24"/>
        </w:rPr>
        <w:t>of</w:t>
      </w:r>
      <w:r>
        <w:rPr>
          <w:spacing w:val="-33"/>
          <w:sz w:val="24"/>
        </w:rPr>
        <w:t> </w:t>
      </w:r>
      <w:r>
        <w:rPr>
          <w:sz w:val="24"/>
        </w:rPr>
        <w:t>the bank, </w:t>
      </w:r>
      <w:r>
        <w:rPr>
          <w:spacing w:val="-3"/>
          <w:sz w:val="24"/>
        </w:rPr>
        <w:t>it’s </w:t>
      </w:r>
      <w:r>
        <w:rPr>
          <w:sz w:val="24"/>
        </w:rPr>
        <w:t>critical and need to </w:t>
      </w:r>
      <w:r>
        <w:rPr>
          <w:spacing w:val="-3"/>
          <w:sz w:val="24"/>
        </w:rPr>
        <w:t>be</w:t>
      </w:r>
      <w:r>
        <w:rPr>
          <w:spacing w:val="21"/>
          <w:sz w:val="24"/>
        </w:rPr>
        <w:t> </w:t>
      </w:r>
      <w:r>
        <w:rPr>
          <w:sz w:val="24"/>
        </w:rPr>
        <w:t>addressed.</w:t>
      </w:r>
    </w:p>
    <w:p>
      <w:pPr>
        <w:pStyle w:val="BodyText"/>
        <w:spacing w:before="5"/>
      </w:pPr>
    </w:p>
    <w:p>
      <w:pPr>
        <w:pStyle w:val="Heading3"/>
        <w:spacing w:before="1"/>
        <w:jc w:val="both"/>
      </w:pPr>
      <w:r>
        <w:rPr/>
        <w:t>City Bank Limited</w:t>
      </w:r>
    </w:p>
    <w:p>
      <w:pPr>
        <w:pStyle w:val="ListParagraph"/>
        <w:numPr>
          <w:ilvl w:val="0"/>
          <w:numId w:val="19"/>
        </w:numPr>
        <w:tabs>
          <w:tab w:pos="1061" w:val="left" w:leader="none"/>
        </w:tabs>
        <w:spacing w:line="360" w:lineRule="auto" w:before="132" w:after="0"/>
        <w:ind w:left="1061" w:right="130" w:hanging="361"/>
        <w:jc w:val="both"/>
        <w:rPr>
          <w:sz w:val="24"/>
        </w:rPr>
      </w:pPr>
      <w:r>
        <w:rPr>
          <w:sz w:val="24"/>
        </w:rPr>
        <w:t>Return on asset (ROA) shows the effectiveness of the management of the financial institution.</w:t>
      </w:r>
      <w:r>
        <w:rPr>
          <w:spacing w:val="-5"/>
          <w:sz w:val="24"/>
        </w:rPr>
        <w:t> </w:t>
      </w:r>
      <w:r>
        <w:rPr>
          <w:sz w:val="24"/>
        </w:rPr>
        <w:t>CBL</w:t>
      </w:r>
      <w:r>
        <w:rPr>
          <w:spacing w:val="-10"/>
          <w:sz w:val="24"/>
        </w:rPr>
        <w:t> </w:t>
      </w:r>
      <w:r>
        <w:rPr>
          <w:sz w:val="24"/>
        </w:rPr>
        <w:t>ROA</w:t>
      </w:r>
      <w:r>
        <w:rPr>
          <w:spacing w:val="-12"/>
          <w:sz w:val="24"/>
        </w:rPr>
        <w:t> </w:t>
      </w:r>
      <w:r>
        <w:rPr>
          <w:sz w:val="24"/>
        </w:rPr>
        <w:t>upward.</w:t>
      </w:r>
      <w:r>
        <w:rPr>
          <w:spacing w:val="-5"/>
          <w:sz w:val="24"/>
        </w:rPr>
        <w:t> </w:t>
      </w:r>
      <w:r>
        <w:rPr>
          <w:spacing w:val="-3"/>
          <w:sz w:val="24"/>
        </w:rPr>
        <w:t>This</w:t>
      </w:r>
      <w:r>
        <w:rPr>
          <w:spacing w:val="-8"/>
          <w:sz w:val="24"/>
        </w:rPr>
        <w:t> </w:t>
      </w:r>
      <w:r>
        <w:rPr>
          <w:sz w:val="24"/>
        </w:rPr>
        <w:t>refers</w:t>
      </w:r>
      <w:r>
        <w:rPr>
          <w:spacing w:val="-9"/>
          <w:sz w:val="24"/>
        </w:rPr>
        <w:t> </w:t>
      </w:r>
      <w:r>
        <w:rPr>
          <w:sz w:val="24"/>
        </w:rPr>
        <w:t>that</w:t>
      </w:r>
      <w:r>
        <w:rPr>
          <w:spacing w:val="-5"/>
          <w:sz w:val="24"/>
        </w:rPr>
        <w:t> </w:t>
      </w:r>
      <w:r>
        <w:rPr>
          <w:sz w:val="24"/>
        </w:rPr>
        <w:t>CBL</w:t>
      </w:r>
      <w:r>
        <w:rPr>
          <w:spacing w:val="-10"/>
          <w:sz w:val="24"/>
        </w:rPr>
        <w:t> </w:t>
      </w:r>
      <w:r>
        <w:rPr>
          <w:sz w:val="24"/>
        </w:rPr>
        <w:t>has</w:t>
      </w:r>
      <w:r>
        <w:rPr>
          <w:spacing w:val="-4"/>
          <w:sz w:val="24"/>
        </w:rPr>
        <w:t> </w:t>
      </w:r>
      <w:r>
        <w:rPr>
          <w:sz w:val="24"/>
        </w:rPr>
        <w:t>increased</w:t>
      </w:r>
      <w:r>
        <w:rPr>
          <w:spacing w:val="-2"/>
          <w:sz w:val="24"/>
        </w:rPr>
        <w:t> </w:t>
      </w:r>
      <w:r>
        <w:rPr>
          <w:sz w:val="24"/>
        </w:rPr>
        <w:t>its</w:t>
      </w:r>
      <w:r>
        <w:rPr>
          <w:spacing w:val="-8"/>
          <w:sz w:val="24"/>
        </w:rPr>
        <w:t> </w:t>
      </w:r>
      <w:r>
        <w:rPr>
          <w:sz w:val="24"/>
        </w:rPr>
        <w:t>efficiency</w:t>
      </w:r>
      <w:r>
        <w:rPr>
          <w:spacing w:val="-12"/>
          <w:sz w:val="24"/>
        </w:rPr>
        <w:t> </w:t>
      </w:r>
      <w:r>
        <w:rPr>
          <w:spacing w:val="2"/>
          <w:sz w:val="24"/>
        </w:rPr>
        <w:t>from</w:t>
      </w:r>
      <w:r>
        <w:rPr>
          <w:spacing w:val="-15"/>
          <w:sz w:val="24"/>
        </w:rPr>
        <w:t> </w:t>
      </w:r>
      <w:r>
        <w:rPr>
          <w:sz w:val="24"/>
        </w:rPr>
        <w:t>2015 to</w:t>
      </w:r>
      <w:r>
        <w:rPr>
          <w:spacing w:val="2"/>
          <w:sz w:val="24"/>
        </w:rPr>
        <w:t> </w:t>
      </w:r>
      <w:r>
        <w:rPr>
          <w:sz w:val="24"/>
        </w:rPr>
        <w:t>2019.</w:t>
      </w:r>
    </w:p>
    <w:p>
      <w:pPr>
        <w:pStyle w:val="ListParagraph"/>
        <w:numPr>
          <w:ilvl w:val="0"/>
          <w:numId w:val="19"/>
        </w:numPr>
        <w:tabs>
          <w:tab w:pos="1061" w:val="left" w:leader="none"/>
        </w:tabs>
        <w:spacing w:line="360" w:lineRule="auto" w:before="1" w:after="0"/>
        <w:ind w:left="1061" w:right="152" w:hanging="361"/>
        <w:jc w:val="both"/>
        <w:rPr>
          <w:sz w:val="24"/>
        </w:rPr>
      </w:pPr>
      <w:r>
        <w:rPr>
          <w:sz w:val="24"/>
        </w:rPr>
        <w:t>A raising ROE suggests that a company </w:t>
      </w:r>
      <w:r>
        <w:rPr>
          <w:spacing w:val="-3"/>
          <w:sz w:val="24"/>
        </w:rPr>
        <w:t>is </w:t>
      </w:r>
      <w:r>
        <w:rPr>
          <w:sz w:val="24"/>
        </w:rPr>
        <w:t>increasing its ability </w:t>
      </w:r>
      <w:r>
        <w:rPr>
          <w:spacing w:val="2"/>
          <w:sz w:val="24"/>
        </w:rPr>
        <w:t>to </w:t>
      </w:r>
      <w:r>
        <w:rPr>
          <w:sz w:val="24"/>
        </w:rPr>
        <w:t>generate </w:t>
      </w:r>
      <w:r>
        <w:rPr>
          <w:spacing w:val="-4"/>
          <w:sz w:val="24"/>
        </w:rPr>
        <w:t>profit </w:t>
      </w:r>
      <w:r>
        <w:rPr>
          <w:sz w:val="24"/>
        </w:rPr>
        <w:t>without as much capital, ROE of the bank </w:t>
      </w:r>
      <w:r>
        <w:rPr>
          <w:spacing w:val="-3"/>
          <w:sz w:val="24"/>
        </w:rPr>
        <w:t>in </w:t>
      </w:r>
      <w:r>
        <w:rPr>
          <w:sz w:val="24"/>
        </w:rPr>
        <w:t>the year 2015 </w:t>
      </w:r>
      <w:r>
        <w:rPr>
          <w:spacing w:val="-5"/>
          <w:sz w:val="24"/>
        </w:rPr>
        <w:t>is </w:t>
      </w:r>
      <w:r>
        <w:rPr>
          <w:sz w:val="24"/>
        </w:rPr>
        <w:t>least compared of others years. That indicates sudden unstable position of the</w:t>
      </w:r>
      <w:r>
        <w:rPr>
          <w:spacing w:val="-6"/>
          <w:sz w:val="24"/>
        </w:rPr>
        <w:t> </w:t>
      </w:r>
      <w:r>
        <w:rPr>
          <w:spacing w:val="-3"/>
          <w:sz w:val="24"/>
        </w:rPr>
        <w:t>bank.</w:t>
      </w:r>
    </w:p>
    <w:p>
      <w:pPr>
        <w:pStyle w:val="ListParagraph"/>
        <w:numPr>
          <w:ilvl w:val="0"/>
          <w:numId w:val="19"/>
        </w:numPr>
        <w:tabs>
          <w:tab w:pos="1061" w:val="left" w:leader="none"/>
        </w:tabs>
        <w:spacing w:line="360" w:lineRule="auto" w:before="2" w:after="0"/>
        <w:ind w:left="1061" w:right="145" w:hanging="361"/>
        <w:jc w:val="both"/>
        <w:rPr>
          <w:sz w:val="24"/>
        </w:rPr>
      </w:pPr>
      <w:r>
        <w:rPr>
          <w:sz w:val="24"/>
        </w:rPr>
        <w:t>Debt ratio </w:t>
      </w:r>
      <w:r>
        <w:rPr>
          <w:spacing w:val="-5"/>
          <w:sz w:val="24"/>
        </w:rPr>
        <w:t>is </w:t>
      </w:r>
      <w:r>
        <w:rPr>
          <w:sz w:val="24"/>
        </w:rPr>
        <w:t>measures a financial leverage and lower ratio </w:t>
      </w:r>
      <w:r>
        <w:rPr>
          <w:spacing w:val="-5"/>
          <w:sz w:val="24"/>
        </w:rPr>
        <w:t>is </w:t>
      </w:r>
      <w:r>
        <w:rPr>
          <w:sz w:val="24"/>
        </w:rPr>
        <w:t>more favorable. In year</w:t>
      </w:r>
      <w:r>
        <w:rPr>
          <w:spacing w:val="-29"/>
          <w:sz w:val="24"/>
        </w:rPr>
        <w:t> </w:t>
      </w:r>
      <w:r>
        <w:rPr>
          <w:sz w:val="24"/>
        </w:rPr>
        <w:t>2016 CBL</w:t>
      </w:r>
      <w:r>
        <w:rPr>
          <w:spacing w:val="-8"/>
          <w:sz w:val="24"/>
        </w:rPr>
        <w:t> </w:t>
      </w:r>
      <w:r>
        <w:rPr>
          <w:sz w:val="24"/>
        </w:rPr>
        <w:t>was</w:t>
      </w:r>
      <w:r>
        <w:rPr>
          <w:spacing w:val="-6"/>
          <w:sz w:val="24"/>
        </w:rPr>
        <w:t> </w:t>
      </w:r>
      <w:r>
        <w:rPr>
          <w:sz w:val="24"/>
        </w:rPr>
        <w:t>usually</w:t>
      </w:r>
      <w:r>
        <w:rPr>
          <w:spacing w:val="-4"/>
          <w:sz w:val="24"/>
        </w:rPr>
        <w:t> </w:t>
      </w:r>
      <w:r>
        <w:rPr>
          <w:sz w:val="24"/>
        </w:rPr>
        <w:t>implies</w:t>
      </w:r>
      <w:r>
        <w:rPr>
          <w:spacing w:val="-6"/>
          <w:sz w:val="24"/>
        </w:rPr>
        <w:t> </w:t>
      </w:r>
      <w:r>
        <w:rPr>
          <w:sz w:val="24"/>
        </w:rPr>
        <w:t>a more</w:t>
      </w:r>
      <w:r>
        <w:rPr>
          <w:spacing w:val="-5"/>
          <w:sz w:val="24"/>
        </w:rPr>
        <w:t> </w:t>
      </w:r>
      <w:r>
        <w:rPr>
          <w:sz w:val="24"/>
        </w:rPr>
        <w:t>stable business</w:t>
      </w:r>
      <w:r>
        <w:rPr>
          <w:spacing w:val="-6"/>
          <w:sz w:val="24"/>
        </w:rPr>
        <w:t> </w:t>
      </w:r>
      <w:r>
        <w:rPr>
          <w:spacing w:val="2"/>
          <w:sz w:val="24"/>
        </w:rPr>
        <w:t>with</w:t>
      </w:r>
      <w:r>
        <w:rPr>
          <w:spacing w:val="-9"/>
          <w:sz w:val="24"/>
        </w:rPr>
        <w:t> </w:t>
      </w:r>
      <w:r>
        <w:rPr>
          <w:sz w:val="24"/>
        </w:rPr>
        <w:t>the</w:t>
      </w:r>
      <w:r>
        <w:rPr>
          <w:spacing w:val="-5"/>
          <w:sz w:val="24"/>
        </w:rPr>
        <w:t> </w:t>
      </w:r>
      <w:r>
        <w:rPr>
          <w:sz w:val="24"/>
        </w:rPr>
        <w:t>potential</w:t>
      </w:r>
      <w:r>
        <w:rPr>
          <w:spacing w:val="-8"/>
          <w:sz w:val="24"/>
        </w:rPr>
        <w:t> </w:t>
      </w:r>
      <w:r>
        <w:rPr>
          <w:sz w:val="24"/>
        </w:rPr>
        <w:t>of</w:t>
      </w:r>
      <w:r>
        <w:rPr>
          <w:spacing w:val="-7"/>
          <w:sz w:val="24"/>
        </w:rPr>
        <w:t> </w:t>
      </w:r>
      <w:r>
        <w:rPr>
          <w:sz w:val="24"/>
        </w:rPr>
        <w:t>long</w:t>
      </w:r>
      <w:r>
        <w:rPr>
          <w:spacing w:val="-4"/>
          <w:sz w:val="24"/>
        </w:rPr>
        <w:t> </w:t>
      </w:r>
      <w:r>
        <w:rPr>
          <w:sz w:val="24"/>
        </w:rPr>
        <w:t>early</w:t>
      </w:r>
      <w:r>
        <w:rPr>
          <w:spacing w:val="-8"/>
          <w:sz w:val="24"/>
        </w:rPr>
        <w:t> </w:t>
      </w:r>
      <w:r>
        <w:rPr>
          <w:sz w:val="24"/>
        </w:rPr>
        <w:t>than</w:t>
      </w:r>
      <w:r>
        <w:rPr>
          <w:spacing w:val="-9"/>
          <w:sz w:val="24"/>
        </w:rPr>
        <w:t> </w:t>
      </w:r>
      <w:r>
        <w:rPr>
          <w:sz w:val="24"/>
        </w:rPr>
        <w:t>other years.</w:t>
      </w:r>
    </w:p>
    <w:p>
      <w:pPr>
        <w:pStyle w:val="BodyText"/>
        <w:spacing w:before="6"/>
      </w:pPr>
    </w:p>
    <w:p>
      <w:pPr>
        <w:pStyle w:val="Heading1"/>
        <w:numPr>
          <w:ilvl w:val="1"/>
          <w:numId w:val="16"/>
        </w:numPr>
        <w:tabs>
          <w:tab w:pos="825" w:val="left" w:leader="none"/>
        </w:tabs>
        <w:spacing w:line="240" w:lineRule="auto" w:before="0" w:after="0"/>
        <w:ind w:left="824" w:right="0" w:hanging="485"/>
        <w:jc w:val="left"/>
      </w:pPr>
      <w:r>
        <w:rPr/>
        <w:t>Recommendations</w:t>
      </w:r>
    </w:p>
    <w:p>
      <w:pPr>
        <w:pStyle w:val="Heading3"/>
        <w:jc w:val="both"/>
      </w:pPr>
      <w:r>
        <w:rPr/>
        <w:t>Trust Bank Limited</w:t>
      </w:r>
    </w:p>
    <w:p>
      <w:pPr>
        <w:pStyle w:val="ListParagraph"/>
        <w:numPr>
          <w:ilvl w:val="2"/>
          <w:numId w:val="16"/>
        </w:numPr>
        <w:tabs>
          <w:tab w:pos="1061" w:val="left" w:leader="none"/>
        </w:tabs>
        <w:spacing w:line="360" w:lineRule="auto" w:before="132" w:after="0"/>
        <w:ind w:left="1061" w:right="131" w:hanging="361"/>
        <w:jc w:val="both"/>
        <w:rPr>
          <w:sz w:val="24"/>
        </w:rPr>
      </w:pPr>
      <w:r>
        <w:rPr>
          <w:sz w:val="24"/>
        </w:rPr>
        <w:t>Before giving long-term loan a bank ought to take into account that whether or not a </w:t>
      </w:r>
      <w:r>
        <w:rPr>
          <w:spacing w:val="-3"/>
          <w:sz w:val="24"/>
        </w:rPr>
        <w:t>bank </w:t>
      </w:r>
      <w:r>
        <w:rPr>
          <w:sz w:val="24"/>
        </w:rPr>
        <w:t>has </w:t>
      </w:r>
      <w:r>
        <w:rPr>
          <w:spacing w:val="-3"/>
          <w:sz w:val="24"/>
        </w:rPr>
        <w:t>long </w:t>
      </w:r>
      <w:r>
        <w:rPr>
          <w:sz w:val="24"/>
        </w:rPr>
        <w:t>term deposit or not. Otherwise the bank can sure as be shooting face the liquidity drawback.</w:t>
      </w:r>
    </w:p>
    <w:p>
      <w:pPr>
        <w:pStyle w:val="ListParagraph"/>
        <w:numPr>
          <w:ilvl w:val="2"/>
          <w:numId w:val="16"/>
        </w:numPr>
        <w:tabs>
          <w:tab w:pos="1061" w:val="left" w:leader="none"/>
        </w:tabs>
        <w:spacing w:line="360" w:lineRule="auto" w:before="2" w:after="0"/>
        <w:ind w:left="1061" w:right="152" w:hanging="361"/>
        <w:jc w:val="both"/>
        <w:rPr>
          <w:sz w:val="24"/>
        </w:rPr>
      </w:pPr>
      <w:r>
        <w:rPr>
          <w:sz w:val="24"/>
        </w:rPr>
        <w:t>Current ratio </w:t>
      </w:r>
      <w:r>
        <w:rPr>
          <w:spacing w:val="-3"/>
          <w:sz w:val="24"/>
        </w:rPr>
        <w:t>is </w:t>
      </w:r>
      <w:r>
        <w:rPr>
          <w:sz w:val="24"/>
        </w:rPr>
        <w:t>increasing therefore, TBL ought to keep its increasing the rate of current asset the </w:t>
      </w:r>
      <w:r>
        <w:rPr>
          <w:spacing w:val="-3"/>
          <w:sz w:val="24"/>
        </w:rPr>
        <w:t>hold </w:t>
      </w:r>
      <w:r>
        <w:rPr>
          <w:sz w:val="24"/>
        </w:rPr>
        <w:t>the rise rate of current</w:t>
      </w:r>
      <w:r>
        <w:rPr>
          <w:spacing w:val="15"/>
          <w:sz w:val="24"/>
        </w:rPr>
        <w:t> </w:t>
      </w:r>
      <w:r>
        <w:rPr>
          <w:sz w:val="24"/>
        </w:rPr>
        <w:t>ratio.</w:t>
      </w:r>
    </w:p>
    <w:p>
      <w:pPr>
        <w:pStyle w:val="ListParagraph"/>
        <w:numPr>
          <w:ilvl w:val="2"/>
          <w:numId w:val="16"/>
        </w:numPr>
        <w:tabs>
          <w:tab w:pos="1061" w:val="left" w:leader="none"/>
        </w:tabs>
        <w:spacing w:line="360" w:lineRule="auto" w:before="0" w:after="0"/>
        <w:ind w:left="1061" w:right="145" w:hanging="361"/>
        <w:jc w:val="both"/>
        <w:rPr>
          <w:sz w:val="24"/>
        </w:rPr>
      </w:pPr>
      <w:r>
        <w:rPr>
          <w:sz w:val="24"/>
        </w:rPr>
        <w:t>Networking edge proportion </w:t>
      </w:r>
      <w:r>
        <w:rPr>
          <w:spacing w:val="-3"/>
          <w:sz w:val="24"/>
        </w:rPr>
        <w:t>is </w:t>
      </w:r>
      <w:r>
        <w:rPr>
          <w:sz w:val="24"/>
        </w:rPr>
        <w:t>additionally diminishing. So </w:t>
      </w:r>
      <w:r>
        <w:rPr>
          <w:spacing w:val="-5"/>
          <w:sz w:val="24"/>
        </w:rPr>
        <w:t>it </w:t>
      </w:r>
      <w:r>
        <w:rPr>
          <w:sz w:val="24"/>
        </w:rPr>
        <w:t>ought to </w:t>
      </w:r>
      <w:r>
        <w:rPr>
          <w:spacing w:val="-3"/>
          <w:sz w:val="24"/>
        </w:rPr>
        <w:t>be </w:t>
      </w:r>
      <w:r>
        <w:rPr>
          <w:sz w:val="24"/>
        </w:rPr>
        <w:t>expanded by lessening the working cost, improving the working pay and aggregate</w:t>
      </w:r>
      <w:r>
        <w:rPr>
          <w:spacing w:val="1"/>
          <w:sz w:val="24"/>
        </w:rPr>
        <w:t> </w:t>
      </w:r>
      <w:r>
        <w:rPr>
          <w:sz w:val="24"/>
        </w:rPr>
        <w:t>resources.</w:t>
      </w:r>
    </w:p>
    <w:p>
      <w:pPr>
        <w:pStyle w:val="ListParagraph"/>
        <w:numPr>
          <w:ilvl w:val="2"/>
          <w:numId w:val="16"/>
        </w:numPr>
        <w:tabs>
          <w:tab w:pos="1061" w:val="left" w:leader="none"/>
        </w:tabs>
        <w:spacing w:line="360" w:lineRule="auto" w:before="0" w:after="0"/>
        <w:ind w:left="1061" w:right="133" w:hanging="361"/>
        <w:jc w:val="both"/>
        <w:rPr>
          <w:sz w:val="24"/>
        </w:rPr>
      </w:pPr>
      <w:r>
        <w:rPr>
          <w:sz w:val="24"/>
        </w:rPr>
        <w:t>A bank should build the non-subsidized pay with the end goal to expand the working </w:t>
      </w:r>
      <w:r>
        <w:rPr>
          <w:spacing w:val="2"/>
          <w:sz w:val="24"/>
        </w:rPr>
        <w:t>pay </w:t>
      </w:r>
      <w:r>
        <w:rPr>
          <w:sz w:val="24"/>
        </w:rPr>
        <w:t>proportion.</w:t>
      </w:r>
    </w:p>
    <w:p>
      <w:pPr>
        <w:pStyle w:val="BodyText"/>
        <w:spacing w:before="2"/>
        <w:rPr>
          <w:sz w:val="36"/>
        </w:rPr>
      </w:pPr>
    </w:p>
    <w:p>
      <w:pPr>
        <w:pStyle w:val="Heading3"/>
      </w:pPr>
      <w:r>
        <w:rPr/>
        <w:t>Jamuna Bank Limited</w:t>
      </w:r>
    </w:p>
    <w:p>
      <w:pPr>
        <w:pStyle w:val="ListParagraph"/>
        <w:numPr>
          <w:ilvl w:val="0"/>
          <w:numId w:val="20"/>
        </w:numPr>
        <w:tabs>
          <w:tab w:pos="1061" w:val="left" w:leader="none"/>
        </w:tabs>
        <w:spacing w:line="362" w:lineRule="auto" w:before="132" w:after="0"/>
        <w:ind w:left="1061" w:right="146" w:hanging="361"/>
        <w:jc w:val="left"/>
        <w:rPr>
          <w:sz w:val="24"/>
        </w:rPr>
      </w:pPr>
      <w:r>
        <w:rPr>
          <w:sz w:val="24"/>
        </w:rPr>
        <w:t>The</w:t>
      </w:r>
      <w:r>
        <w:rPr>
          <w:spacing w:val="-6"/>
          <w:sz w:val="24"/>
        </w:rPr>
        <w:t> </w:t>
      </w:r>
      <w:r>
        <w:rPr>
          <w:sz w:val="24"/>
        </w:rPr>
        <w:t>loan</w:t>
      </w:r>
      <w:r>
        <w:rPr>
          <w:spacing w:val="-10"/>
          <w:sz w:val="24"/>
        </w:rPr>
        <w:t> </w:t>
      </w:r>
      <w:r>
        <w:rPr>
          <w:spacing w:val="-3"/>
          <w:sz w:val="24"/>
        </w:rPr>
        <w:t>fee</w:t>
      </w:r>
      <w:r>
        <w:rPr>
          <w:spacing w:val="-10"/>
          <w:sz w:val="24"/>
        </w:rPr>
        <w:t> </w:t>
      </w:r>
      <w:r>
        <w:rPr>
          <w:sz w:val="24"/>
        </w:rPr>
        <w:t>and</w:t>
      </w:r>
      <w:r>
        <w:rPr>
          <w:spacing w:val="-10"/>
          <w:sz w:val="24"/>
        </w:rPr>
        <w:t> </w:t>
      </w:r>
      <w:r>
        <w:rPr>
          <w:sz w:val="24"/>
        </w:rPr>
        <w:t>different</w:t>
      </w:r>
      <w:r>
        <w:rPr>
          <w:spacing w:val="-5"/>
          <w:sz w:val="24"/>
        </w:rPr>
        <w:t> </w:t>
      </w:r>
      <w:r>
        <w:rPr>
          <w:sz w:val="24"/>
        </w:rPr>
        <w:t>charges</w:t>
      </w:r>
      <w:r>
        <w:rPr>
          <w:spacing w:val="-6"/>
          <w:sz w:val="24"/>
        </w:rPr>
        <w:t> </w:t>
      </w:r>
      <w:r>
        <w:rPr>
          <w:spacing w:val="-3"/>
          <w:sz w:val="24"/>
        </w:rPr>
        <w:t>might</w:t>
      </w:r>
      <w:r>
        <w:rPr>
          <w:spacing w:val="-5"/>
          <w:sz w:val="24"/>
        </w:rPr>
        <w:t> </w:t>
      </w:r>
      <w:r>
        <w:rPr>
          <w:spacing w:val="-3"/>
          <w:sz w:val="24"/>
        </w:rPr>
        <w:t>be</w:t>
      </w:r>
      <w:r>
        <w:rPr>
          <w:spacing w:val="-10"/>
          <w:sz w:val="24"/>
        </w:rPr>
        <w:t> </w:t>
      </w:r>
      <w:r>
        <w:rPr>
          <w:sz w:val="24"/>
        </w:rPr>
        <w:t>aggressive</w:t>
      </w:r>
      <w:r>
        <w:rPr>
          <w:spacing w:val="-6"/>
          <w:sz w:val="24"/>
        </w:rPr>
        <w:t> </w:t>
      </w:r>
      <w:r>
        <w:rPr>
          <w:spacing w:val="-3"/>
          <w:sz w:val="24"/>
        </w:rPr>
        <w:t>in</w:t>
      </w:r>
      <w:r>
        <w:rPr>
          <w:spacing w:val="-14"/>
          <w:sz w:val="24"/>
        </w:rPr>
        <w:t> </w:t>
      </w:r>
      <w:r>
        <w:rPr>
          <w:sz w:val="24"/>
        </w:rPr>
        <w:t>requests</w:t>
      </w:r>
      <w:r>
        <w:rPr>
          <w:spacing w:val="-11"/>
          <w:sz w:val="24"/>
        </w:rPr>
        <w:t> </w:t>
      </w:r>
      <w:r>
        <w:rPr>
          <w:sz w:val="24"/>
        </w:rPr>
        <w:t>to</w:t>
      </w:r>
      <w:r>
        <w:rPr>
          <w:spacing w:val="-5"/>
          <w:sz w:val="24"/>
        </w:rPr>
        <w:t> </w:t>
      </w:r>
      <w:r>
        <w:rPr>
          <w:sz w:val="24"/>
        </w:rPr>
        <w:t>contend</w:t>
      </w:r>
      <w:r>
        <w:rPr>
          <w:spacing w:val="-9"/>
          <w:sz w:val="24"/>
        </w:rPr>
        <w:t> </w:t>
      </w:r>
      <w:r>
        <w:rPr>
          <w:sz w:val="24"/>
        </w:rPr>
        <w:t>with</w:t>
      </w:r>
      <w:r>
        <w:rPr>
          <w:spacing w:val="-14"/>
          <w:sz w:val="24"/>
        </w:rPr>
        <w:t> </w:t>
      </w:r>
      <w:r>
        <w:rPr>
          <w:sz w:val="24"/>
        </w:rPr>
        <w:t>rivalries and draw </w:t>
      </w:r>
      <w:r>
        <w:rPr>
          <w:spacing w:val="-3"/>
          <w:sz w:val="24"/>
        </w:rPr>
        <w:t>in </w:t>
      </w:r>
      <w:r>
        <w:rPr>
          <w:sz w:val="24"/>
        </w:rPr>
        <w:t>clients </w:t>
      </w:r>
      <w:r>
        <w:rPr>
          <w:spacing w:val="-3"/>
          <w:sz w:val="24"/>
        </w:rPr>
        <w:t>just </w:t>
      </w:r>
      <w:r>
        <w:rPr>
          <w:sz w:val="24"/>
        </w:rPr>
        <w:t>as keeps the old</w:t>
      </w:r>
      <w:r>
        <w:rPr>
          <w:spacing w:val="18"/>
          <w:sz w:val="24"/>
        </w:rPr>
        <w:t> </w:t>
      </w:r>
      <w:r>
        <w:rPr>
          <w:sz w:val="24"/>
        </w:rPr>
        <w:t>ones.</w:t>
      </w:r>
    </w:p>
    <w:p>
      <w:pPr>
        <w:pStyle w:val="ListParagraph"/>
        <w:numPr>
          <w:ilvl w:val="0"/>
          <w:numId w:val="20"/>
        </w:numPr>
        <w:tabs>
          <w:tab w:pos="1061" w:val="left" w:leader="none"/>
        </w:tabs>
        <w:spacing w:line="360" w:lineRule="auto" w:before="0" w:after="0"/>
        <w:ind w:left="1061" w:right="139" w:hanging="361"/>
        <w:jc w:val="left"/>
        <w:rPr>
          <w:sz w:val="24"/>
        </w:rPr>
      </w:pPr>
      <w:r>
        <w:rPr>
          <w:sz w:val="24"/>
        </w:rPr>
        <w:t>When an individual turn into a specialist </w:t>
      </w:r>
      <w:r>
        <w:rPr>
          <w:spacing w:val="-3"/>
          <w:sz w:val="24"/>
        </w:rPr>
        <w:t>in </w:t>
      </w:r>
      <w:r>
        <w:rPr>
          <w:sz w:val="24"/>
        </w:rPr>
        <w:t>every office he/she ought not </w:t>
      </w:r>
      <w:r>
        <w:rPr>
          <w:spacing w:val="-3"/>
          <w:sz w:val="24"/>
        </w:rPr>
        <w:t>be </w:t>
      </w:r>
      <w:r>
        <w:rPr>
          <w:sz w:val="24"/>
        </w:rPr>
        <w:t>change to another office as institutionalization </w:t>
      </w:r>
      <w:r>
        <w:rPr>
          <w:spacing w:val="-5"/>
          <w:sz w:val="24"/>
        </w:rPr>
        <w:t>is </w:t>
      </w:r>
      <w:r>
        <w:rPr>
          <w:sz w:val="24"/>
        </w:rPr>
        <w:t>critical </w:t>
      </w:r>
      <w:r>
        <w:rPr>
          <w:spacing w:val="2"/>
          <w:sz w:val="24"/>
        </w:rPr>
        <w:t>to </w:t>
      </w:r>
      <w:r>
        <w:rPr>
          <w:spacing w:val="-3"/>
          <w:sz w:val="24"/>
        </w:rPr>
        <w:t>build </w:t>
      </w:r>
      <w:r>
        <w:rPr>
          <w:sz w:val="24"/>
        </w:rPr>
        <w:t>laborers</w:t>
      </w:r>
      <w:r>
        <w:rPr>
          <w:spacing w:val="5"/>
          <w:sz w:val="24"/>
        </w:rPr>
        <w:t> </w:t>
      </w:r>
      <w:r>
        <w:rPr>
          <w:sz w:val="24"/>
        </w:rPr>
        <w:t>effectiveness.</w:t>
      </w:r>
    </w:p>
    <w:p>
      <w:pPr>
        <w:pStyle w:val="ListParagraph"/>
        <w:numPr>
          <w:ilvl w:val="0"/>
          <w:numId w:val="20"/>
        </w:numPr>
        <w:tabs>
          <w:tab w:pos="1061" w:val="left" w:leader="none"/>
        </w:tabs>
        <w:spacing w:line="274" w:lineRule="exact" w:before="0" w:after="0"/>
        <w:ind w:left="1061" w:right="0" w:hanging="361"/>
        <w:jc w:val="left"/>
        <w:rPr>
          <w:sz w:val="24"/>
        </w:rPr>
      </w:pPr>
      <w:r>
        <w:rPr>
          <w:sz w:val="24"/>
        </w:rPr>
        <w:t>Guest plan ought to </w:t>
      </w:r>
      <w:r>
        <w:rPr>
          <w:spacing w:val="-3"/>
          <w:sz w:val="24"/>
        </w:rPr>
        <w:t>be</w:t>
      </w:r>
      <w:r>
        <w:rPr>
          <w:spacing w:val="7"/>
          <w:sz w:val="24"/>
        </w:rPr>
        <w:t> </w:t>
      </w:r>
      <w:r>
        <w:rPr>
          <w:sz w:val="24"/>
        </w:rPr>
        <w:t>satisfactory.</w:t>
      </w:r>
    </w:p>
    <w:p>
      <w:pPr>
        <w:spacing w:after="0" w:line="274" w:lineRule="exact"/>
        <w:jc w:val="left"/>
        <w:rPr>
          <w:sz w:val="24"/>
        </w:rPr>
        <w:sectPr>
          <w:pgSz w:w="12240" w:h="15840"/>
          <w:pgMar w:header="0" w:footer="1039" w:top="1360" w:bottom="1220" w:left="1100" w:right="1300"/>
        </w:sectPr>
      </w:pPr>
    </w:p>
    <w:p>
      <w:pPr>
        <w:pStyle w:val="Heading3"/>
        <w:spacing w:before="77"/>
      </w:pPr>
      <w:r>
        <w:rPr/>
        <w:t>Bangladesh Commerce Bank Limited</w:t>
      </w:r>
    </w:p>
    <w:p>
      <w:pPr>
        <w:pStyle w:val="ListParagraph"/>
        <w:numPr>
          <w:ilvl w:val="0"/>
          <w:numId w:val="21"/>
        </w:numPr>
        <w:tabs>
          <w:tab w:pos="1061" w:val="left" w:leader="none"/>
        </w:tabs>
        <w:spacing w:line="360" w:lineRule="auto" w:before="132" w:after="0"/>
        <w:ind w:left="1061" w:right="136" w:hanging="361"/>
        <w:jc w:val="left"/>
        <w:rPr>
          <w:sz w:val="24"/>
        </w:rPr>
      </w:pPr>
      <w:r>
        <w:rPr>
          <w:sz w:val="24"/>
        </w:rPr>
        <w:t>The bank should focus on cash ratio and should figure out the way to increase it. If the bank </w:t>
      </w:r>
      <w:r>
        <w:rPr>
          <w:spacing w:val="-3"/>
          <w:sz w:val="24"/>
        </w:rPr>
        <w:t>falls in </w:t>
      </w:r>
      <w:r>
        <w:rPr>
          <w:sz w:val="24"/>
        </w:rPr>
        <w:t>a liquidity crisis, </w:t>
      </w:r>
      <w:r>
        <w:rPr>
          <w:spacing w:val="-5"/>
          <w:sz w:val="24"/>
        </w:rPr>
        <w:t>it </w:t>
      </w:r>
      <w:r>
        <w:rPr>
          <w:sz w:val="24"/>
        </w:rPr>
        <w:t>will not </w:t>
      </w:r>
      <w:r>
        <w:rPr>
          <w:spacing w:val="-3"/>
          <w:sz w:val="24"/>
        </w:rPr>
        <w:t>be </w:t>
      </w:r>
      <w:r>
        <w:rPr>
          <w:sz w:val="24"/>
        </w:rPr>
        <w:t>able to reply current</w:t>
      </w:r>
      <w:r>
        <w:rPr>
          <w:spacing w:val="28"/>
          <w:sz w:val="24"/>
        </w:rPr>
        <w:t> </w:t>
      </w:r>
      <w:r>
        <w:rPr>
          <w:sz w:val="24"/>
        </w:rPr>
        <w:t>obligations.</w:t>
      </w:r>
    </w:p>
    <w:p>
      <w:pPr>
        <w:pStyle w:val="ListParagraph"/>
        <w:numPr>
          <w:ilvl w:val="0"/>
          <w:numId w:val="21"/>
        </w:numPr>
        <w:tabs>
          <w:tab w:pos="1061" w:val="left" w:leader="none"/>
        </w:tabs>
        <w:spacing w:line="360" w:lineRule="auto" w:before="3" w:after="0"/>
        <w:ind w:left="1061" w:right="149" w:hanging="361"/>
        <w:jc w:val="left"/>
        <w:rPr>
          <w:sz w:val="24"/>
        </w:rPr>
      </w:pPr>
      <w:r>
        <w:rPr>
          <w:sz w:val="24"/>
        </w:rPr>
        <w:t>The BCBL total asset turnover </w:t>
      </w:r>
      <w:r>
        <w:rPr>
          <w:spacing w:val="-5"/>
          <w:sz w:val="24"/>
        </w:rPr>
        <w:t>is </w:t>
      </w:r>
      <w:r>
        <w:rPr>
          <w:sz w:val="24"/>
        </w:rPr>
        <w:t>decreasing </w:t>
      </w:r>
      <w:r>
        <w:rPr>
          <w:spacing w:val="-3"/>
          <w:sz w:val="24"/>
        </w:rPr>
        <w:t>in </w:t>
      </w:r>
      <w:r>
        <w:rPr>
          <w:sz w:val="24"/>
        </w:rPr>
        <w:t>every </w:t>
      </w:r>
      <w:r>
        <w:rPr>
          <w:spacing w:val="-3"/>
          <w:sz w:val="24"/>
        </w:rPr>
        <w:t>year. </w:t>
      </w:r>
      <w:r>
        <w:rPr>
          <w:sz w:val="24"/>
        </w:rPr>
        <w:t>The bank should focus on the utilization of its assets </w:t>
      </w:r>
      <w:r>
        <w:rPr>
          <w:spacing w:val="-3"/>
          <w:sz w:val="24"/>
        </w:rPr>
        <w:t>in </w:t>
      </w:r>
      <w:r>
        <w:rPr>
          <w:sz w:val="24"/>
        </w:rPr>
        <w:t>the coming years so that </w:t>
      </w:r>
      <w:r>
        <w:rPr>
          <w:spacing w:val="2"/>
          <w:sz w:val="24"/>
        </w:rPr>
        <w:t>total </w:t>
      </w:r>
      <w:r>
        <w:rPr>
          <w:sz w:val="24"/>
        </w:rPr>
        <w:t>asset turnover will </w:t>
      </w:r>
      <w:r>
        <w:rPr>
          <w:spacing w:val="-3"/>
          <w:sz w:val="24"/>
        </w:rPr>
        <w:t>be</w:t>
      </w:r>
      <w:r>
        <w:rPr>
          <w:spacing w:val="-19"/>
          <w:sz w:val="24"/>
        </w:rPr>
        <w:t> </w:t>
      </w:r>
      <w:r>
        <w:rPr>
          <w:sz w:val="24"/>
        </w:rPr>
        <w:t>increased.</w:t>
      </w:r>
    </w:p>
    <w:p>
      <w:pPr>
        <w:pStyle w:val="ListParagraph"/>
        <w:numPr>
          <w:ilvl w:val="0"/>
          <w:numId w:val="21"/>
        </w:numPr>
        <w:tabs>
          <w:tab w:pos="1061" w:val="left" w:leader="none"/>
        </w:tabs>
        <w:spacing w:line="360" w:lineRule="auto" w:before="0" w:after="0"/>
        <w:ind w:left="1061" w:right="148" w:hanging="361"/>
        <w:jc w:val="left"/>
        <w:rPr>
          <w:sz w:val="24"/>
        </w:rPr>
      </w:pPr>
      <w:r>
        <w:rPr>
          <w:sz w:val="24"/>
        </w:rPr>
        <w:t>Return</w:t>
      </w:r>
      <w:r>
        <w:rPr>
          <w:spacing w:val="-15"/>
          <w:sz w:val="24"/>
        </w:rPr>
        <w:t> </w:t>
      </w:r>
      <w:r>
        <w:rPr>
          <w:sz w:val="24"/>
        </w:rPr>
        <w:t>on</w:t>
      </w:r>
      <w:r>
        <w:rPr>
          <w:spacing w:val="-10"/>
          <w:sz w:val="24"/>
        </w:rPr>
        <w:t> </w:t>
      </w:r>
      <w:r>
        <w:rPr>
          <w:sz w:val="24"/>
        </w:rPr>
        <w:t>asset</w:t>
      </w:r>
      <w:r>
        <w:rPr>
          <w:spacing w:val="-1"/>
          <w:sz w:val="24"/>
        </w:rPr>
        <w:t> </w:t>
      </w:r>
      <w:r>
        <w:rPr>
          <w:spacing w:val="-3"/>
          <w:sz w:val="24"/>
        </w:rPr>
        <w:t>is</w:t>
      </w:r>
      <w:r>
        <w:rPr>
          <w:spacing w:val="-8"/>
          <w:sz w:val="24"/>
        </w:rPr>
        <w:t> </w:t>
      </w:r>
      <w:r>
        <w:rPr>
          <w:sz w:val="24"/>
        </w:rPr>
        <w:t>the</w:t>
      </w:r>
      <w:r>
        <w:rPr>
          <w:spacing w:val="-7"/>
          <w:sz w:val="24"/>
        </w:rPr>
        <w:t> </w:t>
      </w:r>
      <w:r>
        <w:rPr>
          <w:sz w:val="24"/>
        </w:rPr>
        <w:t>indicator</w:t>
      </w:r>
      <w:r>
        <w:rPr>
          <w:spacing w:val="-8"/>
          <w:sz w:val="24"/>
        </w:rPr>
        <w:t> </w:t>
      </w:r>
      <w:r>
        <w:rPr>
          <w:sz w:val="24"/>
        </w:rPr>
        <w:t>of</w:t>
      </w:r>
      <w:r>
        <w:rPr>
          <w:spacing w:val="-13"/>
          <w:sz w:val="24"/>
        </w:rPr>
        <w:t> </w:t>
      </w:r>
      <w:r>
        <w:rPr>
          <w:sz w:val="24"/>
        </w:rPr>
        <w:t>how</w:t>
      </w:r>
      <w:r>
        <w:rPr>
          <w:spacing w:val="-11"/>
          <w:sz w:val="24"/>
        </w:rPr>
        <w:t> </w:t>
      </w:r>
      <w:r>
        <w:rPr>
          <w:sz w:val="24"/>
        </w:rPr>
        <w:t>the</w:t>
      </w:r>
      <w:r>
        <w:rPr>
          <w:spacing w:val="-7"/>
          <w:sz w:val="24"/>
        </w:rPr>
        <w:t> </w:t>
      </w:r>
      <w:r>
        <w:rPr>
          <w:sz w:val="24"/>
        </w:rPr>
        <w:t>bank</w:t>
      </w:r>
      <w:r>
        <w:rPr>
          <w:spacing w:val="-5"/>
          <w:sz w:val="24"/>
        </w:rPr>
        <w:t> </w:t>
      </w:r>
      <w:r>
        <w:rPr>
          <w:sz w:val="24"/>
        </w:rPr>
        <w:t>uses</w:t>
      </w:r>
      <w:r>
        <w:rPr>
          <w:spacing w:val="-3"/>
          <w:sz w:val="24"/>
        </w:rPr>
        <w:t> </w:t>
      </w:r>
      <w:r>
        <w:rPr>
          <w:sz w:val="24"/>
        </w:rPr>
        <w:t>its</w:t>
      </w:r>
      <w:r>
        <w:rPr>
          <w:spacing w:val="-8"/>
          <w:sz w:val="24"/>
        </w:rPr>
        <w:t> </w:t>
      </w:r>
      <w:r>
        <w:rPr>
          <w:sz w:val="24"/>
        </w:rPr>
        <w:t>asset</w:t>
      </w:r>
      <w:r>
        <w:rPr>
          <w:spacing w:val="-6"/>
          <w:sz w:val="24"/>
        </w:rPr>
        <w:t> </w:t>
      </w:r>
      <w:r>
        <w:rPr>
          <w:sz w:val="24"/>
        </w:rPr>
        <w:t>to</w:t>
      </w:r>
      <w:r>
        <w:rPr>
          <w:spacing w:val="-4"/>
          <w:sz w:val="24"/>
        </w:rPr>
        <w:t> </w:t>
      </w:r>
      <w:r>
        <w:rPr>
          <w:sz w:val="24"/>
        </w:rPr>
        <w:t>generate</w:t>
      </w:r>
      <w:r>
        <w:rPr>
          <w:spacing w:val="-7"/>
          <w:sz w:val="24"/>
        </w:rPr>
        <w:t> </w:t>
      </w:r>
      <w:r>
        <w:rPr>
          <w:sz w:val="24"/>
        </w:rPr>
        <w:t>returns.</w:t>
      </w:r>
      <w:r>
        <w:rPr>
          <w:spacing w:val="-4"/>
          <w:sz w:val="24"/>
        </w:rPr>
        <w:t> </w:t>
      </w:r>
      <w:r>
        <w:rPr>
          <w:sz w:val="24"/>
        </w:rPr>
        <w:t>The</w:t>
      </w:r>
      <w:r>
        <w:rPr>
          <w:spacing w:val="-6"/>
          <w:sz w:val="24"/>
        </w:rPr>
        <w:t> </w:t>
      </w:r>
      <w:r>
        <w:rPr>
          <w:sz w:val="24"/>
        </w:rPr>
        <w:t>bank needs to pay attention </w:t>
      </w:r>
      <w:r>
        <w:rPr>
          <w:spacing w:val="2"/>
          <w:sz w:val="24"/>
        </w:rPr>
        <w:t>to </w:t>
      </w:r>
      <w:r>
        <w:rPr>
          <w:sz w:val="24"/>
        </w:rPr>
        <w:t>increase</w:t>
      </w:r>
      <w:r>
        <w:rPr>
          <w:spacing w:val="-5"/>
          <w:sz w:val="24"/>
        </w:rPr>
        <w:t> </w:t>
      </w:r>
      <w:r>
        <w:rPr>
          <w:sz w:val="24"/>
        </w:rPr>
        <w:t>ROA.</w:t>
      </w:r>
    </w:p>
    <w:p>
      <w:pPr>
        <w:pStyle w:val="BodyText"/>
        <w:spacing w:before="3"/>
      </w:pPr>
    </w:p>
    <w:p>
      <w:pPr>
        <w:pStyle w:val="Heading3"/>
      </w:pPr>
      <w:r>
        <w:rPr/>
        <w:t>Premier Bank Limited</w:t>
      </w:r>
    </w:p>
    <w:p>
      <w:pPr>
        <w:pStyle w:val="ListParagraph"/>
        <w:numPr>
          <w:ilvl w:val="0"/>
          <w:numId w:val="22"/>
        </w:numPr>
        <w:tabs>
          <w:tab w:pos="1061" w:val="left" w:leader="none"/>
        </w:tabs>
        <w:spacing w:line="362" w:lineRule="auto" w:before="132" w:after="0"/>
        <w:ind w:left="1061" w:right="133" w:hanging="361"/>
        <w:jc w:val="left"/>
        <w:rPr>
          <w:sz w:val="24"/>
        </w:rPr>
      </w:pPr>
      <w:r>
        <w:rPr>
          <w:sz w:val="24"/>
        </w:rPr>
        <w:t>The bank should maintain their current ratio because the current ratio </w:t>
      </w:r>
      <w:r>
        <w:rPr>
          <w:spacing w:val="-3"/>
          <w:sz w:val="24"/>
        </w:rPr>
        <w:t>is </w:t>
      </w:r>
      <w:r>
        <w:rPr>
          <w:sz w:val="24"/>
        </w:rPr>
        <w:t>below 2 </w:t>
      </w:r>
      <w:r>
        <w:rPr>
          <w:spacing w:val="-3"/>
          <w:sz w:val="24"/>
        </w:rPr>
        <w:t>in </w:t>
      </w:r>
      <w:r>
        <w:rPr>
          <w:sz w:val="24"/>
        </w:rPr>
        <w:t>every year. So the bank should increase their currents</w:t>
      </w:r>
      <w:r>
        <w:rPr>
          <w:spacing w:val="11"/>
          <w:sz w:val="24"/>
        </w:rPr>
        <w:t> </w:t>
      </w:r>
      <w:r>
        <w:rPr>
          <w:sz w:val="24"/>
        </w:rPr>
        <w:t>assets.</w:t>
      </w:r>
    </w:p>
    <w:p>
      <w:pPr>
        <w:pStyle w:val="ListParagraph"/>
        <w:numPr>
          <w:ilvl w:val="0"/>
          <w:numId w:val="22"/>
        </w:numPr>
        <w:tabs>
          <w:tab w:pos="1061" w:val="left" w:leader="none"/>
        </w:tabs>
        <w:spacing w:line="360" w:lineRule="auto" w:before="0" w:after="0"/>
        <w:ind w:left="1061" w:right="149" w:hanging="361"/>
        <w:jc w:val="left"/>
        <w:rPr>
          <w:sz w:val="24"/>
        </w:rPr>
      </w:pPr>
      <w:r>
        <w:rPr>
          <w:sz w:val="24"/>
        </w:rPr>
        <w:t>The</w:t>
      </w:r>
      <w:r>
        <w:rPr>
          <w:spacing w:val="-9"/>
          <w:sz w:val="24"/>
        </w:rPr>
        <w:t> </w:t>
      </w:r>
      <w:r>
        <w:rPr>
          <w:sz w:val="24"/>
        </w:rPr>
        <w:t>bank</w:t>
      </w:r>
      <w:r>
        <w:rPr>
          <w:spacing w:val="-7"/>
          <w:sz w:val="24"/>
        </w:rPr>
        <w:t> </w:t>
      </w:r>
      <w:r>
        <w:rPr>
          <w:sz w:val="24"/>
        </w:rPr>
        <w:t>quick</w:t>
      </w:r>
      <w:r>
        <w:rPr>
          <w:spacing w:val="-7"/>
          <w:sz w:val="24"/>
        </w:rPr>
        <w:t> </w:t>
      </w:r>
      <w:r>
        <w:rPr>
          <w:sz w:val="24"/>
        </w:rPr>
        <w:t>ratio</w:t>
      </w:r>
      <w:r>
        <w:rPr>
          <w:spacing w:val="-2"/>
          <w:sz w:val="24"/>
        </w:rPr>
        <w:t> </w:t>
      </w:r>
      <w:r>
        <w:rPr>
          <w:spacing w:val="-3"/>
          <w:sz w:val="24"/>
        </w:rPr>
        <w:t>is</w:t>
      </w:r>
      <w:r>
        <w:rPr>
          <w:spacing w:val="-9"/>
          <w:sz w:val="24"/>
        </w:rPr>
        <w:t> </w:t>
      </w:r>
      <w:r>
        <w:rPr>
          <w:sz w:val="24"/>
        </w:rPr>
        <w:t>below</w:t>
      </w:r>
      <w:r>
        <w:rPr>
          <w:spacing w:val="-7"/>
          <w:sz w:val="24"/>
        </w:rPr>
        <w:t> </w:t>
      </w:r>
      <w:r>
        <w:rPr>
          <w:sz w:val="24"/>
        </w:rPr>
        <w:t>1</w:t>
      </w:r>
      <w:r>
        <w:rPr>
          <w:spacing w:val="-7"/>
          <w:sz w:val="24"/>
        </w:rPr>
        <w:t> </w:t>
      </w:r>
      <w:r>
        <w:rPr>
          <w:sz w:val="24"/>
        </w:rPr>
        <w:t>which</w:t>
      </w:r>
      <w:r>
        <w:rPr>
          <w:spacing w:val="-7"/>
          <w:sz w:val="24"/>
        </w:rPr>
        <w:t> </w:t>
      </w:r>
      <w:r>
        <w:rPr>
          <w:sz w:val="24"/>
        </w:rPr>
        <w:t>means</w:t>
      </w:r>
      <w:r>
        <w:rPr>
          <w:spacing w:val="-9"/>
          <w:sz w:val="24"/>
        </w:rPr>
        <w:t> </w:t>
      </w:r>
      <w:r>
        <w:rPr>
          <w:sz w:val="24"/>
        </w:rPr>
        <w:t>this</w:t>
      </w:r>
      <w:r>
        <w:rPr>
          <w:spacing w:val="-9"/>
          <w:sz w:val="24"/>
        </w:rPr>
        <w:t> </w:t>
      </w:r>
      <w:r>
        <w:rPr>
          <w:sz w:val="24"/>
        </w:rPr>
        <w:t>bank</w:t>
      </w:r>
      <w:r>
        <w:rPr>
          <w:spacing w:val="-7"/>
          <w:sz w:val="24"/>
        </w:rPr>
        <w:t> </w:t>
      </w:r>
      <w:r>
        <w:rPr>
          <w:sz w:val="24"/>
        </w:rPr>
        <w:t>does</w:t>
      </w:r>
      <w:r>
        <w:rPr>
          <w:spacing w:val="-9"/>
          <w:sz w:val="24"/>
        </w:rPr>
        <w:t> </w:t>
      </w:r>
      <w:r>
        <w:rPr>
          <w:sz w:val="24"/>
        </w:rPr>
        <w:t>not</w:t>
      </w:r>
      <w:r>
        <w:rPr>
          <w:spacing w:val="-6"/>
          <w:sz w:val="24"/>
        </w:rPr>
        <w:t> </w:t>
      </w:r>
      <w:r>
        <w:rPr>
          <w:sz w:val="24"/>
        </w:rPr>
        <w:t>have</w:t>
      </w:r>
      <w:r>
        <w:rPr>
          <w:spacing w:val="-8"/>
          <w:sz w:val="24"/>
        </w:rPr>
        <w:t> </w:t>
      </w:r>
      <w:r>
        <w:rPr>
          <w:sz w:val="24"/>
        </w:rPr>
        <w:t>enough</w:t>
      </w:r>
      <w:r>
        <w:rPr>
          <w:spacing w:val="-12"/>
          <w:sz w:val="24"/>
        </w:rPr>
        <w:t> </w:t>
      </w:r>
      <w:r>
        <w:rPr>
          <w:sz w:val="24"/>
        </w:rPr>
        <w:t>cash</w:t>
      </w:r>
      <w:r>
        <w:rPr>
          <w:spacing w:val="-12"/>
          <w:sz w:val="24"/>
        </w:rPr>
        <w:t> </w:t>
      </w:r>
      <w:r>
        <w:rPr>
          <w:sz w:val="24"/>
        </w:rPr>
        <w:t>reserve. So this bank should increase the cash</w:t>
      </w:r>
      <w:r>
        <w:rPr>
          <w:spacing w:val="1"/>
          <w:sz w:val="24"/>
        </w:rPr>
        <w:t> </w:t>
      </w:r>
      <w:r>
        <w:rPr>
          <w:sz w:val="24"/>
        </w:rPr>
        <w:t>reserve.</w:t>
      </w:r>
    </w:p>
    <w:p>
      <w:pPr>
        <w:pStyle w:val="ListParagraph"/>
        <w:numPr>
          <w:ilvl w:val="0"/>
          <w:numId w:val="22"/>
        </w:numPr>
        <w:tabs>
          <w:tab w:pos="1061" w:val="left" w:leader="none"/>
        </w:tabs>
        <w:spacing w:line="362" w:lineRule="auto" w:before="0" w:after="0"/>
        <w:ind w:left="1061" w:right="137" w:hanging="361"/>
        <w:jc w:val="left"/>
        <w:rPr>
          <w:sz w:val="24"/>
        </w:rPr>
      </w:pPr>
      <w:r>
        <w:rPr>
          <w:sz w:val="24"/>
        </w:rPr>
        <w:t>The</w:t>
      </w:r>
      <w:r>
        <w:rPr>
          <w:spacing w:val="-23"/>
          <w:sz w:val="24"/>
        </w:rPr>
        <w:t> </w:t>
      </w:r>
      <w:r>
        <w:rPr>
          <w:sz w:val="24"/>
        </w:rPr>
        <w:t>bank</w:t>
      </w:r>
      <w:r>
        <w:rPr>
          <w:spacing w:val="-16"/>
          <w:sz w:val="24"/>
        </w:rPr>
        <w:t> </w:t>
      </w:r>
      <w:r>
        <w:rPr>
          <w:sz w:val="24"/>
        </w:rPr>
        <w:t>should</w:t>
      </w:r>
      <w:r>
        <w:rPr>
          <w:spacing w:val="-12"/>
          <w:sz w:val="24"/>
        </w:rPr>
        <w:t> </w:t>
      </w:r>
      <w:r>
        <w:rPr>
          <w:sz w:val="24"/>
        </w:rPr>
        <w:t>focus</w:t>
      </w:r>
      <w:r>
        <w:rPr>
          <w:spacing w:val="-23"/>
          <w:sz w:val="24"/>
        </w:rPr>
        <w:t> </w:t>
      </w:r>
      <w:r>
        <w:rPr>
          <w:sz w:val="24"/>
        </w:rPr>
        <w:t>on</w:t>
      </w:r>
      <w:r>
        <w:rPr>
          <w:spacing w:val="-21"/>
          <w:sz w:val="24"/>
        </w:rPr>
        <w:t> </w:t>
      </w:r>
      <w:r>
        <w:rPr>
          <w:sz w:val="24"/>
        </w:rPr>
        <w:t>cash</w:t>
      </w:r>
      <w:r>
        <w:rPr>
          <w:spacing w:val="-21"/>
          <w:sz w:val="24"/>
        </w:rPr>
        <w:t> </w:t>
      </w:r>
      <w:r>
        <w:rPr>
          <w:sz w:val="24"/>
        </w:rPr>
        <w:t>ratio</w:t>
      </w:r>
      <w:r>
        <w:rPr>
          <w:spacing w:val="-17"/>
          <w:sz w:val="24"/>
        </w:rPr>
        <w:t> </w:t>
      </w:r>
      <w:r>
        <w:rPr>
          <w:sz w:val="24"/>
        </w:rPr>
        <w:t>and</w:t>
      </w:r>
      <w:r>
        <w:rPr>
          <w:spacing w:val="-16"/>
          <w:sz w:val="24"/>
        </w:rPr>
        <w:t> </w:t>
      </w:r>
      <w:r>
        <w:rPr>
          <w:sz w:val="24"/>
        </w:rPr>
        <w:t>should</w:t>
      </w:r>
      <w:r>
        <w:rPr>
          <w:spacing w:val="-13"/>
          <w:sz w:val="24"/>
        </w:rPr>
        <w:t> </w:t>
      </w:r>
      <w:r>
        <w:rPr>
          <w:sz w:val="24"/>
        </w:rPr>
        <w:t>figure</w:t>
      </w:r>
      <w:r>
        <w:rPr>
          <w:spacing w:val="-21"/>
          <w:sz w:val="24"/>
        </w:rPr>
        <w:t> </w:t>
      </w:r>
      <w:r>
        <w:rPr>
          <w:sz w:val="24"/>
        </w:rPr>
        <w:t>out</w:t>
      </w:r>
      <w:r>
        <w:rPr>
          <w:spacing w:val="-21"/>
          <w:sz w:val="24"/>
        </w:rPr>
        <w:t> </w:t>
      </w:r>
      <w:r>
        <w:rPr>
          <w:sz w:val="24"/>
        </w:rPr>
        <w:t>the</w:t>
      </w:r>
      <w:r>
        <w:rPr>
          <w:spacing w:val="-22"/>
          <w:sz w:val="24"/>
        </w:rPr>
        <w:t> </w:t>
      </w:r>
      <w:r>
        <w:rPr>
          <w:spacing w:val="6"/>
          <w:sz w:val="24"/>
        </w:rPr>
        <w:t>wayto</w:t>
      </w:r>
      <w:r>
        <w:rPr>
          <w:spacing w:val="-16"/>
          <w:sz w:val="24"/>
        </w:rPr>
        <w:t> </w:t>
      </w:r>
      <w:r>
        <w:rPr>
          <w:sz w:val="24"/>
        </w:rPr>
        <w:t>increase</w:t>
      </w:r>
      <w:r>
        <w:rPr>
          <w:spacing w:val="-13"/>
          <w:sz w:val="24"/>
        </w:rPr>
        <w:t> </w:t>
      </w:r>
      <w:r>
        <w:rPr>
          <w:sz w:val="24"/>
        </w:rPr>
        <w:t>it.</w:t>
      </w:r>
      <w:r>
        <w:rPr>
          <w:spacing w:val="-19"/>
          <w:sz w:val="24"/>
        </w:rPr>
        <w:t> </w:t>
      </w:r>
      <w:r>
        <w:rPr>
          <w:sz w:val="24"/>
        </w:rPr>
        <w:t>If</w:t>
      </w:r>
      <w:r>
        <w:rPr>
          <w:spacing w:val="-28"/>
          <w:sz w:val="24"/>
        </w:rPr>
        <w:t> </w:t>
      </w:r>
      <w:r>
        <w:rPr>
          <w:sz w:val="24"/>
        </w:rPr>
        <w:t>bank</w:t>
      </w:r>
      <w:r>
        <w:rPr>
          <w:spacing w:val="-8"/>
          <w:sz w:val="24"/>
        </w:rPr>
        <w:t> </w:t>
      </w:r>
      <w:r>
        <w:rPr>
          <w:sz w:val="24"/>
        </w:rPr>
        <w:t>falls </w:t>
      </w:r>
      <w:r>
        <w:rPr>
          <w:spacing w:val="-3"/>
          <w:sz w:val="24"/>
        </w:rPr>
        <w:t>in </w:t>
      </w:r>
      <w:r>
        <w:rPr>
          <w:sz w:val="24"/>
        </w:rPr>
        <w:t>a liquidity crisis, </w:t>
      </w:r>
      <w:r>
        <w:rPr>
          <w:spacing w:val="-5"/>
          <w:sz w:val="24"/>
        </w:rPr>
        <w:t>it </w:t>
      </w:r>
      <w:r>
        <w:rPr>
          <w:sz w:val="24"/>
        </w:rPr>
        <w:t>will not </w:t>
      </w:r>
      <w:r>
        <w:rPr>
          <w:spacing w:val="-3"/>
          <w:sz w:val="24"/>
        </w:rPr>
        <w:t>be </w:t>
      </w:r>
      <w:r>
        <w:rPr>
          <w:sz w:val="24"/>
        </w:rPr>
        <w:t>able </w:t>
      </w:r>
      <w:r>
        <w:rPr>
          <w:spacing w:val="2"/>
          <w:sz w:val="24"/>
        </w:rPr>
        <w:t>to </w:t>
      </w:r>
      <w:r>
        <w:rPr>
          <w:sz w:val="24"/>
        </w:rPr>
        <w:t>repay current</w:t>
      </w:r>
      <w:r>
        <w:rPr>
          <w:spacing w:val="13"/>
          <w:sz w:val="24"/>
        </w:rPr>
        <w:t> </w:t>
      </w:r>
      <w:r>
        <w:rPr>
          <w:sz w:val="24"/>
        </w:rPr>
        <w:t>obligations.</w:t>
      </w:r>
    </w:p>
    <w:p>
      <w:pPr>
        <w:pStyle w:val="BodyText"/>
        <w:spacing w:before="7"/>
        <w:rPr>
          <w:sz w:val="35"/>
        </w:rPr>
      </w:pPr>
    </w:p>
    <w:p>
      <w:pPr>
        <w:pStyle w:val="Heading3"/>
        <w:spacing w:before="1"/>
        <w:jc w:val="both"/>
      </w:pPr>
      <w:r>
        <w:rPr/>
        <w:t>City Bank Limited</w:t>
      </w:r>
    </w:p>
    <w:p>
      <w:pPr>
        <w:pStyle w:val="ListParagraph"/>
        <w:numPr>
          <w:ilvl w:val="0"/>
          <w:numId w:val="23"/>
        </w:numPr>
        <w:tabs>
          <w:tab w:pos="1061" w:val="left" w:leader="none"/>
        </w:tabs>
        <w:spacing w:line="362" w:lineRule="auto" w:before="132" w:after="0"/>
        <w:ind w:left="1061" w:right="134" w:hanging="361"/>
        <w:jc w:val="both"/>
        <w:rPr>
          <w:sz w:val="24"/>
        </w:rPr>
      </w:pPr>
      <w:r>
        <w:rPr>
          <w:sz w:val="24"/>
        </w:rPr>
        <w:t>The</w:t>
      </w:r>
      <w:r>
        <w:rPr>
          <w:spacing w:val="-14"/>
          <w:sz w:val="24"/>
        </w:rPr>
        <w:t> </w:t>
      </w:r>
      <w:r>
        <w:rPr>
          <w:sz w:val="24"/>
        </w:rPr>
        <w:t>CBL</w:t>
      </w:r>
      <w:r>
        <w:rPr>
          <w:spacing w:val="-14"/>
          <w:sz w:val="24"/>
        </w:rPr>
        <w:t> </w:t>
      </w:r>
      <w:r>
        <w:rPr>
          <w:sz w:val="24"/>
        </w:rPr>
        <w:t>needs</w:t>
      </w:r>
      <w:r>
        <w:rPr>
          <w:spacing w:val="-14"/>
          <w:sz w:val="24"/>
        </w:rPr>
        <w:t> </w:t>
      </w:r>
      <w:r>
        <w:rPr>
          <w:sz w:val="24"/>
        </w:rPr>
        <w:t>to</w:t>
      </w:r>
      <w:r>
        <w:rPr>
          <w:spacing w:val="-12"/>
          <w:sz w:val="24"/>
        </w:rPr>
        <w:t> </w:t>
      </w:r>
      <w:r>
        <w:rPr>
          <w:sz w:val="24"/>
        </w:rPr>
        <w:t>improve</w:t>
      </w:r>
      <w:r>
        <w:rPr>
          <w:spacing w:val="-13"/>
          <w:sz w:val="24"/>
        </w:rPr>
        <w:t> </w:t>
      </w:r>
      <w:r>
        <w:rPr>
          <w:sz w:val="24"/>
        </w:rPr>
        <w:t>ROA,</w:t>
      </w:r>
      <w:r>
        <w:rPr>
          <w:spacing w:val="-11"/>
          <w:sz w:val="24"/>
        </w:rPr>
        <w:t> </w:t>
      </w:r>
      <w:r>
        <w:rPr>
          <w:sz w:val="24"/>
        </w:rPr>
        <w:t>ROE,</w:t>
      </w:r>
      <w:r>
        <w:rPr>
          <w:spacing w:val="-14"/>
          <w:sz w:val="24"/>
        </w:rPr>
        <w:t> </w:t>
      </w:r>
      <w:r>
        <w:rPr>
          <w:sz w:val="24"/>
        </w:rPr>
        <w:t>asset</w:t>
      </w:r>
      <w:r>
        <w:rPr>
          <w:spacing w:val="-12"/>
          <w:sz w:val="24"/>
        </w:rPr>
        <w:t> </w:t>
      </w:r>
      <w:r>
        <w:rPr>
          <w:sz w:val="24"/>
        </w:rPr>
        <w:t>utilization</w:t>
      </w:r>
      <w:r>
        <w:rPr>
          <w:spacing w:val="-16"/>
          <w:sz w:val="24"/>
        </w:rPr>
        <w:t> </w:t>
      </w:r>
      <w:r>
        <w:rPr>
          <w:sz w:val="24"/>
        </w:rPr>
        <w:t>and</w:t>
      </w:r>
      <w:r>
        <w:rPr>
          <w:spacing w:val="-12"/>
          <w:sz w:val="24"/>
        </w:rPr>
        <w:t> </w:t>
      </w:r>
      <w:r>
        <w:rPr>
          <w:sz w:val="24"/>
        </w:rPr>
        <w:t>also</w:t>
      </w:r>
      <w:r>
        <w:rPr>
          <w:spacing w:val="-8"/>
          <w:sz w:val="24"/>
        </w:rPr>
        <w:t> </w:t>
      </w:r>
      <w:r>
        <w:rPr>
          <w:spacing w:val="-4"/>
          <w:sz w:val="24"/>
        </w:rPr>
        <w:t>some</w:t>
      </w:r>
      <w:r>
        <w:rPr>
          <w:spacing w:val="-13"/>
          <w:sz w:val="24"/>
        </w:rPr>
        <w:t> </w:t>
      </w:r>
      <w:r>
        <w:rPr>
          <w:sz w:val="24"/>
        </w:rPr>
        <w:t>other</w:t>
      </w:r>
      <w:r>
        <w:rPr>
          <w:spacing w:val="-11"/>
          <w:sz w:val="24"/>
        </w:rPr>
        <w:t> </w:t>
      </w:r>
      <w:r>
        <w:rPr>
          <w:sz w:val="24"/>
        </w:rPr>
        <w:t>ratios.</w:t>
      </w:r>
      <w:r>
        <w:rPr>
          <w:spacing w:val="-3"/>
          <w:sz w:val="24"/>
        </w:rPr>
        <w:t> </w:t>
      </w:r>
      <w:r>
        <w:rPr>
          <w:sz w:val="24"/>
        </w:rPr>
        <w:t>In</w:t>
      </w:r>
      <w:r>
        <w:rPr>
          <w:spacing w:val="-25"/>
          <w:sz w:val="24"/>
        </w:rPr>
        <w:t> </w:t>
      </w:r>
      <w:r>
        <w:rPr>
          <w:sz w:val="24"/>
        </w:rPr>
        <w:t>2019 the </w:t>
      </w:r>
      <w:r>
        <w:rPr>
          <w:spacing w:val="-3"/>
          <w:sz w:val="24"/>
        </w:rPr>
        <w:t>bank </w:t>
      </w:r>
      <w:r>
        <w:rPr>
          <w:sz w:val="24"/>
        </w:rPr>
        <w:t>cannot properly operate its operations. The </w:t>
      </w:r>
      <w:r>
        <w:rPr>
          <w:spacing w:val="-3"/>
          <w:sz w:val="24"/>
        </w:rPr>
        <w:t>bank </w:t>
      </w:r>
      <w:r>
        <w:rPr>
          <w:sz w:val="24"/>
        </w:rPr>
        <w:t>cannot properly utilize its assets and its shareholder’s equity </w:t>
      </w:r>
      <w:r>
        <w:rPr>
          <w:spacing w:val="2"/>
          <w:sz w:val="24"/>
        </w:rPr>
        <w:t>to </w:t>
      </w:r>
      <w:r>
        <w:rPr>
          <w:spacing w:val="-3"/>
          <w:sz w:val="24"/>
        </w:rPr>
        <w:t>make </w:t>
      </w:r>
      <w:r>
        <w:rPr>
          <w:sz w:val="24"/>
        </w:rPr>
        <w:t>profit. That’s why net </w:t>
      </w:r>
      <w:r>
        <w:rPr>
          <w:spacing w:val="-3"/>
          <w:sz w:val="24"/>
        </w:rPr>
        <w:t>profit </w:t>
      </w:r>
      <w:r>
        <w:rPr>
          <w:sz w:val="24"/>
        </w:rPr>
        <w:t>decreased </w:t>
      </w:r>
      <w:r>
        <w:rPr>
          <w:spacing w:val="-3"/>
          <w:sz w:val="24"/>
        </w:rPr>
        <w:t>in</w:t>
      </w:r>
      <w:r>
        <w:rPr>
          <w:spacing w:val="8"/>
          <w:sz w:val="24"/>
        </w:rPr>
        <w:t> </w:t>
      </w:r>
      <w:r>
        <w:rPr>
          <w:sz w:val="24"/>
        </w:rPr>
        <w:t>2019.</w:t>
      </w:r>
    </w:p>
    <w:p>
      <w:pPr>
        <w:pStyle w:val="ListParagraph"/>
        <w:numPr>
          <w:ilvl w:val="0"/>
          <w:numId w:val="23"/>
        </w:numPr>
        <w:tabs>
          <w:tab w:pos="1061" w:val="left" w:leader="none"/>
        </w:tabs>
        <w:spacing w:line="360" w:lineRule="auto" w:before="0" w:after="0"/>
        <w:ind w:left="1061" w:right="145" w:hanging="361"/>
        <w:jc w:val="both"/>
        <w:rPr>
          <w:sz w:val="24"/>
        </w:rPr>
      </w:pPr>
      <w:r>
        <w:rPr>
          <w:sz w:val="24"/>
        </w:rPr>
        <w:t>Debt to equity ratio </w:t>
      </w:r>
      <w:r>
        <w:rPr>
          <w:spacing w:val="-5"/>
          <w:sz w:val="24"/>
        </w:rPr>
        <w:t>is </w:t>
      </w:r>
      <w:r>
        <w:rPr>
          <w:sz w:val="24"/>
        </w:rPr>
        <w:t>also increasing so CBL should keep stable and maintain them properly meet up the debt </w:t>
      </w:r>
      <w:r>
        <w:rPr>
          <w:spacing w:val="-3"/>
          <w:sz w:val="24"/>
        </w:rPr>
        <w:t>in</w:t>
      </w:r>
      <w:r>
        <w:rPr>
          <w:spacing w:val="8"/>
          <w:sz w:val="24"/>
        </w:rPr>
        <w:t> </w:t>
      </w:r>
      <w:r>
        <w:rPr>
          <w:sz w:val="24"/>
        </w:rPr>
        <w:t>time.</w:t>
      </w:r>
    </w:p>
    <w:p>
      <w:pPr>
        <w:pStyle w:val="ListParagraph"/>
        <w:numPr>
          <w:ilvl w:val="0"/>
          <w:numId w:val="23"/>
        </w:numPr>
        <w:tabs>
          <w:tab w:pos="1061" w:val="left" w:leader="none"/>
        </w:tabs>
        <w:spacing w:line="360" w:lineRule="auto" w:before="0" w:after="0"/>
        <w:ind w:left="1061" w:right="146" w:hanging="361"/>
        <w:jc w:val="both"/>
        <w:rPr>
          <w:sz w:val="24"/>
        </w:rPr>
      </w:pPr>
      <w:r>
        <w:rPr>
          <w:sz w:val="24"/>
        </w:rPr>
        <w:t>Return on equity of CBL showed a fall </w:t>
      </w:r>
      <w:r>
        <w:rPr>
          <w:spacing w:val="-3"/>
          <w:sz w:val="24"/>
        </w:rPr>
        <w:t>in </w:t>
      </w:r>
      <w:r>
        <w:rPr>
          <w:sz w:val="24"/>
        </w:rPr>
        <w:t>2017, So CBL showed try to not repeat that mistakes made </w:t>
      </w:r>
      <w:r>
        <w:rPr>
          <w:spacing w:val="-3"/>
          <w:sz w:val="24"/>
        </w:rPr>
        <w:t>in </w:t>
      </w:r>
      <w:r>
        <w:rPr>
          <w:sz w:val="24"/>
        </w:rPr>
        <w:t>that</w:t>
      </w:r>
      <w:r>
        <w:rPr>
          <w:spacing w:val="18"/>
          <w:sz w:val="24"/>
        </w:rPr>
        <w:t> </w:t>
      </w:r>
      <w:r>
        <w:rPr>
          <w:spacing w:val="-3"/>
          <w:sz w:val="24"/>
        </w:rPr>
        <w:t>years.</w:t>
      </w:r>
    </w:p>
    <w:p>
      <w:pPr>
        <w:spacing w:after="0" w:line="360" w:lineRule="auto"/>
        <w:jc w:val="both"/>
        <w:rPr>
          <w:sz w:val="24"/>
        </w:rPr>
        <w:sectPr>
          <w:pgSz w:w="12240" w:h="15840"/>
          <w:pgMar w:header="0" w:footer="1039" w:top="1360" w:bottom="1220" w:left="1100" w:right="1300"/>
        </w:sectPr>
      </w:pPr>
    </w:p>
    <w:p>
      <w:pPr>
        <w:pStyle w:val="Heading1"/>
        <w:numPr>
          <w:ilvl w:val="1"/>
          <w:numId w:val="16"/>
        </w:numPr>
        <w:tabs>
          <w:tab w:pos="825" w:val="left" w:leader="none"/>
        </w:tabs>
        <w:spacing w:line="365" w:lineRule="exact" w:before="59" w:after="0"/>
        <w:ind w:left="824" w:right="0" w:hanging="485"/>
        <w:jc w:val="left"/>
      </w:pPr>
      <w:r>
        <w:rPr/>
        <w:t>Conclusion</w:t>
      </w:r>
    </w:p>
    <w:p>
      <w:pPr>
        <w:pStyle w:val="BodyText"/>
        <w:spacing w:line="360" w:lineRule="auto"/>
        <w:ind w:left="340" w:right="130"/>
        <w:jc w:val="both"/>
      </w:pPr>
      <w:r>
        <w:rPr/>
        <w:t>Despite attempting to </w:t>
      </w:r>
      <w:r>
        <w:rPr>
          <w:spacing w:val="-3"/>
        </w:rPr>
        <w:t>do </w:t>
      </w:r>
      <w:r>
        <w:rPr/>
        <w:t>well </w:t>
      </w:r>
      <w:r>
        <w:rPr>
          <w:spacing w:val="-3"/>
        </w:rPr>
        <w:t>in </w:t>
      </w:r>
      <w:r>
        <w:rPr/>
        <w:t>a few angles Trust Bank Constrained confronted </w:t>
      </w:r>
      <w:r>
        <w:rPr>
          <w:spacing w:val="-4"/>
        </w:rPr>
        <w:t>some </w:t>
      </w:r>
      <w:r>
        <w:rPr/>
        <w:t>monetary issues</w:t>
      </w:r>
      <w:r>
        <w:rPr>
          <w:spacing w:val="-15"/>
        </w:rPr>
        <w:t> </w:t>
      </w:r>
      <w:r>
        <w:rPr/>
        <w:t>from</w:t>
      </w:r>
      <w:r>
        <w:rPr>
          <w:spacing w:val="-27"/>
        </w:rPr>
        <w:t> </w:t>
      </w:r>
      <w:r>
        <w:rPr/>
        <w:t>time</w:t>
      </w:r>
      <w:r>
        <w:rPr>
          <w:spacing w:val="-19"/>
        </w:rPr>
        <w:t> </w:t>
      </w:r>
      <w:r>
        <w:rPr>
          <w:spacing w:val="2"/>
        </w:rPr>
        <w:t>to</w:t>
      </w:r>
      <w:r>
        <w:rPr>
          <w:spacing w:val="-23"/>
        </w:rPr>
        <w:t> </w:t>
      </w:r>
      <w:r>
        <w:rPr/>
        <w:t>time.</w:t>
      </w:r>
      <w:r>
        <w:rPr>
          <w:spacing w:val="-11"/>
        </w:rPr>
        <w:t> </w:t>
      </w:r>
      <w:r>
        <w:rPr/>
        <w:t>A</w:t>
      </w:r>
      <w:r>
        <w:rPr>
          <w:spacing w:val="-24"/>
        </w:rPr>
        <w:t> </w:t>
      </w:r>
      <w:r>
        <w:rPr/>
        <w:t>portion</w:t>
      </w:r>
      <w:r>
        <w:rPr>
          <w:spacing w:val="-22"/>
        </w:rPr>
        <w:t> </w:t>
      </w:r>
      <w:r>
        <w:rPr>
          <w:spacing w:val="4"/>
        </w:rPr>
        <w:t>of</w:t>
      </w:r>
      <w:r>
        <w:rPr>
          <w:spacing w:val="-20"/>
        </w:rPr>
        <w:t> </w:t>
      </w:r>
      <w:r>
        <w:rPr/>
        <w:t>the</w:t>
      </w:r>
      <w:r>
        <w:rPr>
          <w:spacing w:val="-14"/>
        </w:rPr>
        <w:t> </w:t>
      </w:r>
      <w:r>
        <w:rPr>
          <w:spacing w:val="-2"/>
        </w:rPr>
        <w:t>issues</w:t>
      </w:r>
      <w:r>
        <w:rPr>
          <w:spacing w:val="-20"/>
        </w:rPr>
        <w:t> </w:t>
      </w:r>
      <w:r>
        <w:rPr/>
        <w:t>were-over</w:t>
      </w:r>
      <w:r>
        <w:rPr>
          <w:spacing w:val="-21"/>
        </w:rPr>
        <w:t> </w:t>
      </w:r>
      <w:r>
        <w:rPr/>
        <w:t>the</w:t>
      </w:r>
      <w:r>
        <w:rPr>
          <w:spacing w:val="-19"/>
        </w:rPr>
        <w:t> </w:t>
      </w:r>
      <w:r>
        <w:rPr/>
        <w:t>top</w:t>
      </w:r>
      <w:r>
        <w:rPr>
          <w:spacing w:val="-18"/>
        </w:rPr>
        <w:t> </w:t>
      </w:r>
      <w:r>
        <w:rPr/>
        <w:t>awful</w:t>
      </w:r>
      <w:r>
        <w:rPr>
          <w:spacing w:val="-22"/>
        </w:rPr>
        <w:t> </w:t>
      </w:r>
      <w:r>
        <w:rPr/>
        <w:t>advances,</w:t>
      </w:r>
      <w:r>
        <w:rPr>
          <w:spacing w:val="-2"/>
        </w:rPr>
        <w:t> </w:t>
      </w:r>
      <w:r>
        <w:rPr>
          <w:spacing w:val="-3"/>
        </w:rPr>
        <w:t>lack</w:t>
      </w:r>
      <w:r>
        <w:rPr>
          <w:spacing w:val="-9"/>
        </w:rPr>
        <w:t> </w:t>
      </w:r>
      <w:r>
        <w:rPr>
          <w:spacing w:val="4"/>
        </w:rPr>
        <w:t>of</w:t>
      </w:r>
      <w:r>
        <w:rPr>
          <w:spacing w:val="-17"/>
        </w:rPr>
        <w:t> </w:t>
      </w:r>
      <w:r>
        <w:rPr/>
        <w:t>advances and advances, shortage of money </w:t>
      </w:r>
      <w:r>
        <w:rPr>
          <w:spacing w:val="-3"/>
        </w:rPr>
        <w:t>in </w:t>
      </w:r>
      <w:r>
        <w:rPr/>
        <w:t>hands because of </w:t>
      </w:r>
      <w:r>
        <w:rPr>
          <w:spacing w:val="-3"/>
        </w:rPr>
        <w:t>vault </w:t>
      </w:r>
      <w:r>
        <w:rPr>
          <w:spacing w:val="-4"/>
        </w:rPr>
        <w:t>limit </w:t>
      </w:r>
      <w:r>
        <w:rPr/>
        <w:t>and so forth. These </w:t>
      </w:r>
      <w:r>
        <w:rPr>
          <w:spacing w:val="-2"/>
        </w:rPr>
        <w:t>issues </w:t>
      </w:r>
      <w:r>
        <w:rPr/>
        <w:t>stir time to time due to financial </w:t>
      </w:r>
      <w:r>
        <w:rPr>
          <w:spacing w:val="-3"/>
        </w:rPr>
        <w:t>lull, </w:t>
      </w:r>
      <w:r>
        <w:rPr/>
        <w:t>loan cost variance, developing capital market, expansion </w:t>
      </w:r>
      <w:r>
        <w:rPr>
          <w:spacing w:val="-3"/>
        </w:rPr>
        <w:t>in </w:t>
      </w:r>
      <w:r>
        <w:rPr/>
        <w:t>the cash advertise, etc. Battling with every one of these </w:t>
      </w:r>
      <w:r>
        <w:rPr>
          <w:spacing w:val="-2"/>
        </w:rPr>
        <w:t>issues </w:t>
      </w:r>
      <w:r>
        <w:rPr/>
        <w:t>and contending with different banks each minute the bank </w:t>
      </w:r>
      <w:r>
        <w:rPr>
          <w:spacing w:val="-3"/>
        </w:rPr>
        <w:t>is </w:t>
      </w:r>
      <w:r>
        <w:rPr/>
        <w:t>attempting </w:t>
      </w:r>
      <w:r>
        <w:rPr>
          <w:spacing w:val="2"/>
        </w:rPr>
        <w:t>to </w:t>
      </w:r>
      <w:r>
        <w:rPr>
          <w:spacing w:val="-3"/>
        </w:rPr>
        <w:t>improve </w:t>
      </w:r>
      <w:r>
        <w:rPr/>
        <w:t>the situation </w:t>
      </w:r>
      <w:r>
        <w:rPr>
          <w:spacing w:val="2"/>
        </w:rPr>
        <w:t>to </w:t>
      </w:r>
      <w:r>
        <w:rPr/>
        <w:t>best. In the event that this thing proceeds</w:t>
      </w:r>
      <w:r>
        <w:rPr>
          <w:spacing w:val="-12"/>
        </w:rPr>
        <w:t> </w:t>
      </w:r>
      <w:r>
        <w:rPr/>
        <w:t>with</w:t>
      </w:r>
      <w:r>
        <w:rPr>
          <w:spacing w:val="-8"/>
        </w:rPr>
        <w:t> </w:t>
      </w:r>
      <w:r>
        <w:rPr/>
        <w:t>we</w:t>
      </w:r>
      <w:r>
        <w:rPr>
          <w:spacing w:val="-10"/>
        </w:rPr>
        <w:t> </w:t>
      </w:r>
      <w:r>
        <w:rPr/>
        <w:t>trust</w:t>
      </w:r>
      <w:r>
        <w:rPr>
          <w:spacing w:val="-7"/>
        </w:rPr>
        <w:t> </w:t>
      </w:r>
      <w:r>
        <w:rPr/>
        <w:t>that</w:t>
      </w:r>
      <w:r>
        <w:rPr>
          <w:spacing w:val="-8"/>
        </w:rPr>
        <w:t> </w:t>
      </w:r>
      <w:r>
        <w:rPr/>
        <w:t>Trust</w:t>
      </w:r>
      <w:r>
        <w:rPr>
          <w:spacing w:val="-2"/>
        </w:rPr>
        <w:t> </w:t>
      </w:r>
      <w:r>
        <w:rPr/>
        <w:t>Bank</w:t>
      </w:r>
      <w:r>
        <w:rPr>
          <w:spacing w:val="-4"/>
        </w:rPr>
        <w:t> </w:t>
      </w:r>
      <w:r>
        <w:rPr/>
        <w:t>Restricted</w:t>
      </w:r>
      <w:r>
        <w:rPr>
          <w:spacing w:val="-4"/>
        </w:rPr>
        <w:t> </w:t>
      </w:r>
      <w:r>
        <w:rPr/>
        <w:t>will</w:t>
      </w:r>
      <w:r>
        <w:rPr>
          <w:spacing w:val="-12"/>
        </w:rPr>
        <w:t> </w:t>
      </w:r>
      <w:r>
        <w:rPr/>
        <w:t>grow</w:t>
      </w:r>
      <w:r>
        <w:rPr>
          <w:spacing w:val="-8"/>
        </w:rPr>
        <w:t> </w:t>
      </w:r>
      <w:r>
        <w:rPr/>
        <w:t>considerably</w:t>
      </w:r>
      <w:r>
        <w:rPr>
          <w:spacing w:val="-7"/>
        </w:rPr>
        <w:t> </w:t>
      </w:r>
      <w:r>
        <w:rPr/>
        <w:t>more later</w:t>
      </w:r>
      <w:r>
        <w:rPr>
          <w:spacing w:val="-3"/>
        </w:rPr>
        <w:t> </w:t>
      </w:r>
      <w:r>
        <w:rPr/>
        <w:t>on.</w:t>
      </w:r>
    </w:p>
    <w:p>
      <w:pPr>
        <w:pStyle w:val="BodyText"/>
        <w:spacing w:line="360" w:lineRule="auto"/>
        <w:ind w:left="340" w:right="142"/>
        <w:jc w:val="both"/>
      </w:pPr>
      <w:r>
        <w:rPr/>
        <w:t>So </w:t>
      </w:r>
      <w:r>
        <w:rPr>
          <w:spacing w:val="-3"/>
        </w:rPr>
        <w:t>in </w:t>
      </w:r>
      <w:r>
        <w:rPr/>
        <w:t>end </w:t>
      </w:r>
      <w:r>
        <w:rPr>
          <w:spacing w:val="-5"/>
        </w:rPr>
        <w:t>it </w:t>
      </w:r>
      <w:r>
        <w:rPr/>
        <w:t>very well may </w:t>
      </w:r>
      <w:r>
        <w:rPr>
          <w:spacing w:val="-3"/>
        </w:rPr>
        <w:t>be </w:t>
      </w:r>
      <w:r>
        <w:rPr/>
        <w:t>said that each association has its positive just as negatives and if there should </w:t>
      </w:r>
      <w:r>
        <w:rPr>
          <w:spacing w:val="-3"/>
        </w:rPr>
        <w:t>be </w:t>
      </w:r>
      <w:r>
        <w:rPr/>
        <w:t>an occurrence of Jamuna Bank Restricted presence of the later one </w:t>
      </w:r>
      <w:r>
        <w:rPr>
          <w:spacing w:val="-3"/>
        </w:rPr>
        <w:t>is </w:t>
      </w:r>
      <w:r>
        <w:rPr/>
        <w:t>not exactly the prior one and as the administration </w:t>
      </w:r>
      <w:r>
        <w:rPr>
          <w:spacing w:val="-5"/>
        </w:rPr>
        <w:t>is </w:t>
      </w:r>
      <w:r>
        <w:rPr/>
        <w:t>resolved to arrive at the </w:t>
      </w:r>
      <w:r>
        <w:rPr>
          <w:spacing w:val="-3"/>
        </w:rPr>
        <w:t>pick </w:t>
      </w:r>
      <w:r>
        <w:rPr/>
        <w:t>of achievement </w:t>
      </w:r>
      <w:r>
        <w:rPr>
          <w:spacing w:val="-5"/>
        </w:rPr>
        <w:t>it </w:t>
      </w:r>
      <w:r>
        <w:rPr/>
        <w:t>appears that </w:t>
      </w:r>
      <w:r>
        <w:rPr>
          <w:spacing w:val="-3"/>
        </w:rPr>
        <w:t>in </w:t>
      </w:r>
      <w:r>
        <w:rPr/>
        <w:t>not so distant future the negatives will </w:t>
      </w:r>
      <w:r>
        <w:rPr>
          <w:spacing w:val="-3"/>
        </w:rPr>
        <w:t>be </w:t>
      </w:r>
      <w:r>
        <w:rPr/>
        <w:t>wiped</w:t>
      </w:r>
      <w:r>
        <w:rPr>
          <w:spacing w:val="19"/>
        </w:rPr>
        <w:t> </w:t>
      </w:r>
      <w:r>
        <w:rPr/>
        <w:t>out.</w:t>
      </w:r>
    </w:p>
    <w:p>
      <w:pPr>
        <w:pStyle w:val="BodyText"/>
        <w:spacing w:line="360" w:lineRule="auto"/>
        <w:ind w:left="340" w:right="137"/>
        <w:jc w:val="both"/>
      </w:pPr>
      <w:r>
        <w:rPr/>
        <w:t>Due</w:t>
      </w:r>
      <w:r>
        <w:rPr>
          <w:spacing w:val="-18"/>
        </w:rPr>
        <w:t> </w:t>
      </w:r>
      <w:r>
        <w:rPr/>
        <w:t>to</w:t>
      </w:r>
      <w:r>
        <w:rPr>
          <w:spacing w:val="-15"/>
        </w:rPr>
        <w:t> </w:t>
      </w:r>
      <w:r>
        <w:rPr>
          <w:spacing w:val="-3"/>
        </w:rPr>
        <w:t>some</w:t>
      </w:r>
      <w:r>
        <w:rPr>
          <w:spacing w:val="-17"/>
        </w:rPr>
        <w:t> </w:t>
      </w:r>
      <w:r>
        <w:rPr/>
        <w:t>unavoidable</w:t>
      </w:r>
      <w:r>
        <w:rPr>
          <w:spacing w:val="-16"/>
        </w:rPr>
        <w:t> </w:t>
      </w:r>
      <w:r>
        <w:rPr/>
        <w:t>situation,</w:t>
      </w:r>
      <w:r>
        <w:rPr>
          <w:spacing w:val="-10"/>
        </w:rPr>
        <w:t> </w:t>
      </w:r>
      <w:r>
        <w:rPr/>
        <w:t>2019</w:t>
      </w:r>
      <w:r>
        <w:rPr>
          <w:spacing w:val="-15"/>
        </w:rPr>
        <w:t> </w:t>
      </w:r>
      <w:r>
        <w:rPr/>
        <w:t>was</w:t>
      </w:r>
      <w:r>
        <w:rPr>
          <w:spacing w:val="-19"/>
        </w:rPr>
        <w:t> </w:t>
      </w:r>
      <w:r>
        <w:rPr/>
        <w:t>not</w:t>
      </w:r>
      <w:r>
        <w:rPr>
          <w:spacing w:val="-11"/>
        </w:rPr>
        <w:t> </w:t>
      </w:r>
      <w:r>
        <w:rPr/>
        <w:t>a</w:t>
      </w:r>
      <w:r>
        <w:rPr>
          <w:spacing w:val="-25"/>
        </w:rPr>
        <w:t> </w:t>
      </w:r>
      <w:r>
        <w:rPr/>
        <w:t>good</w:t>
      </w:r>
      <w:r>
        <w:rPr>
          <w:spacing w:val="-16"/>
        </w:rPr>
        <w:t> </w:t>
      </w:r>
      <w:r>
        <w:rPr/>
        <w:t>business</w:t>
      </w:r>
      <w:r>
        <w:rPr>
          <w:spacing w:val="-13"/>
        </w:rPr>
        <w:t> </w:t>
      </w:r>
      <w:r>
        <w:rPr/>
        <w:t>year</w:t>
      </w:r>
      <w:r>
        <w:rPr>
          <w:spacing w:val="-10"/>
        </w:rPr>
        <w:t> </w:t>
      </w:r>
      <w:r>
        <w:rPr/>
        <w:t>for</w:t>
      </w:r>
      <w:r>
        <w:rPr>
          <w:spacing w:val="-19"/>
        </w:rPr>
        <w:t> </w:t>
      </w:r>
      <w:r>
        <w:rPr/>
        <w:t>the</w:t>
      </w:r>
      <w:r>
        <w:rPr>
          <w:spacing w:val="-13"/>
        </w:rPr>
        <w:t> </w:t>
      </w:r>
      <w:r>
        <w:rPr/>
        <w:t>financial</w:t>
      </w:r>
      <w:r>
        <w:rPr>
          <w:spacing w:val="-16"/>
        </w:rPr>
        <w:t> </w:t>
      </w:r>
      <w:r>
        <w:rPr/>
        <w:t>institutions. In spite of that, BCBL has achieved its business target </w:t>
      </w:r>
      <w:r>
        <w:rPr>
          <w:spacing w:val="-3"/>
        </w:rPr>
        <w:t>in </w:t>
      </w:r>
      <w:r>
        <w:rPr/>
        <w:t>2019. The management of the bank </w:t>
      </w:r>
      <w:r>
        <w:rPr>
          <w:spacing w:val="-3"/>
        </w:rPr>
        <w:t>is </w:t>
      </w:r>
      <w:r>
        <w:rPr/>
        <w:t>always</w:t>
      </w:r>
      <w:r>
        <w:rPr>
          <w:spacing w:val="-8"/>
        </w:rPr>
        <w:t> </w:t>
      </w:r>
      <w:r>
        <w:rPr/>
        <w:t>keen</w:t>
      </w:r>
      <w:r>
        <w:rPr>
          <w:spacing w:val="-10"/>
        </w:rPr>
        <w:t> </w:t>
      </w:r>
      <w:r>
        <w:rPr/>
        <w:t>and</w:t>
      </w:r>
      <w:r>
        <w:rPr>
          <w:spacing w:val="-5"/>
        </w:rPr>
        <w:t> </w:t>
      </w:r>
      <w:r>
        <w:rPr/>
        <w:t>active</w:t>
      </w:r>
      <w:r>
        <w:rPr>
          <w:spacing w:val="-6"/>
        </w:rPr>
        <w:t> </w:t>
      </w:r>
      <w:r>
        <w:rPr/>
        <w:t>to</w:t>
      </w:r>
      <w:r>
        <w:rPr>
          <w:spacing w:val="-5"/>
        </w:rPr>
        <w:t> </w:t>
      </w:r>
      <w:r>
        <w:rPr/>
        <w:t>take</w:t>
      </w:r>
      <w:r>
        <w:rPr>
          <w:spacing w:val="-7"/>
        </w:rPr>
        <w:t> </w:t>
      </w:r>
      <w:r>
        <w:rPr/>
        <w:t>any</w:t>
      </w:r>
      <w:r>
        <w:rPr>
          <w:spacing w:val="-10"/>
        </w:rPr>
        <w:t> </w:t>
      </w:r>
      <w:r>
        <w:rPr/>
        <w:t>initiative</w:t>
      </w:r>
      <w:r>
        <w:rPr>
          <w:spacing w:val="-6"/>
        </w:rPr>
        <w:t> </w:t>
      </w:r>
      <w:r>
        <w:rPr/>
        <w:t>and</w:t>
      </w:r>
      <w:r>
        <w:rPr>
          <w:spacing w:val="-5"/>
        </w:rPr>
        <w:t> </w:t>
      </w:r>
      <w:r>
        <w:rPr/>
        <w:t>action</w:t>
      </w:r>
      <w:r>
        <w:rPr>
          <w:spacing w:val="-5"/>
        </w:rPr>
        <w:t> </w:t>
      </w:r>
      <w:r>
        <w:rPr>
          <w:spacing w:val="-3"/>
        </w:rPr>
        <w:t>in</w:t>
      </w:r>
      <w:r>
        <w:rPr>
          <w:spacing w:val="-6"/>
        </w:rPr>
        <w:t> </w:t>
      </w:r>
      <w:r>
        <w:rPr/>
        <w:t>favor</w:t>
      </w:r>
      <w:r>
        <w:rPr>
          <w:spacing w:val="-3"/>
        </w:rPr>
        <w:t> </w:t>
      </w:r>
      <w:r>
        <w:rPr/>
        <w:t>of</w:t>
      </w:r>
      <w:r>
        <w:rPr>
          <w:spacing w:val="-13"/>
        </w:rPr>
        <w:t> </w:t>
      </w:r>
      <w:r>
        <w:rPr/>
        <w:t>the</w:t>
      </w:r>
      <w:r>
        <w:rPr>
          <w:spacing w:val="-6"/>
        </w:rPr>
        <w:t> </w:t>
      </w:r>
      <w:r>
        <w:rPr/>
        <w:t>betterment</w:t>
      </w:r>
      <w:r>
        <w:rPr>
          <w:spacing w:val="-5"/>
        </w:rPr>
        <w:t> </w:t>
      </w:r>
      <w:r>
        <w:rPr/>
        <w:t>of</w:t>
      </w:r>
      <w:r>
        <w:rPr>
          <w:spacing w:val="-13"/>
        </w:rPr>
        <w:t> </w:t>
      </w:r>
      <w:r>
        <w:rPr/>
        <w:t>the</w:t>
      </w:r>
      <w:r>
        <w:rPr>
          <w:spacing w:val="-10"/>
        </w:rPr>
        <w:t> </w:t>
      </w:r>
      <w:r>
        <w:rPr/>
        <w:t>customers and</w:t>
      </w:r>
      <w:r>
        <w:rPr>
          <w:spacing w:val="-21"/>
        </w:rPr>
        <w:t> </w:t>
      </w:r>
      <w:r>
        <w:rPr/>
        <w:t>shareholders.</w:t>
      </w:r>
      <w:r>
        <w:rPr>
          <w:spacing w:val="-13"/>
        </w:rPr>
        <w:t> </w:t>
      </w:r>
      <w:r>
        <w:rPr/>
        <w:t>In</w:t>
      </w:r>
      <w:r>
        <w:rPr>
          <w:spacing w:val="-26"/>
        </w:rPr>
        <w:t> </w:t>
      </w:r>
      <w:r>
        <w:rPr/>
        <w:t>recent</w:t>
      </w:r>
      <w:r>
        <w:rPr>
          <w:spacing w:val="-12"/>
        </w:rPr>
        <w:t> </w:t>
      </w:r>
      <w:r>
        <w:rPr>
          <w:spacing w:val="-3"/>
        </w:rPr>
        <w:t>years,</w:t>
      </w:r>
      <w:r>
        <w:rPr>
          <w:spacing w:val="-18"/>
        </w:rPr>
        <w:t> </w:t>
      </w:r>
      <w:r>
        <w:rPr/>
        <w:t>the</w:t>
      </w:r>
      <w:r>
        <w:rPr>
          <w:spacing w:val="-22"/>
        </w:rPr>
        <w:t> </w:t>
      </w:r>
      <w:r>
        <w:rPr/>
        <w:t>bank</w:t>
      </w:r>
      <w:r>
        <w:rPr>
          <w:spacing w:val="-21"/>
        </w:rPr>
        <w:t> </w:t>
      </w:r>
      <w:r>
        <w:rPr/>
        <w:t>has</w:t>
      </w:r>
      <w:r>
        <w:rPr>
          <w:spacing w:val="-18"/>
        </w:rPr>
        <w:t> </w:t>
      </w:r>
      <w:r>
        <w:rPr/>
        <w:t>a</w:t>
      </w:r>
      <w:r>
        <w:rPr>
          <w:spacing w:val="-22"/>
        </w:rPr>
        <w:t> </w:t>
      </w:r>
      <w:r>
        <w:rPr/>
        <w:t>specific</w:t>
      </w:r>
      <w:r>
        <w:rPr>
          <w:spacing w:val="-17"/>
        </w:rPr>
        <w:t> </w:t>
      </w:r>
      <w:r>
        <w:rPr/>
        <w:t>focus</w:t>
      </w:r>
      <w:r>
        <w:rPr>
          <w:spacing w:val="-23"/>
        </w:rPr>
        <w:t> </w:t>
      </w:r>
      <w:r>
        <w:rPr/>
        <w:t>on</w:t>
      </w:r>
      <w:r>
        <w:rPr>
          <w:spacing w:val="-21"/>
        </w:rPr>
        <w:t> </w:t>
      </w:r>
      <w:r>
        <w:rPr/>
        <w:t>developing</w:t>
      </w:r>
      <w:r>
        <w:rPr>
          <w:spacing w:val="-20"/>
        </w:rPr>
        <w:t> </w:t>
      </w:r>
      <w:r>
        <w:rPr/>
        <w:t>skilled</w:t>
      </w:r>
      <w:r>
        <w:rPr>
          <w:spacing w:val="-12"/>
        </w:rPr>
        <w:t> </w:t>
      </w:r>
      <w:r>
        <w:rPr/>
        <w:t>human</w:t>
      </w:r>
      <w:r>
        <w:rPr>
          <w:spacing w:val="-17"/>
        </w:rPr>
        <w:t> </w:t>
      </w:r>
      <w:r>
        <w:rPr/>
        <w:t>capital, increase low-cost deposit, special focus on the SME</w:t>
      </w:r>
      <w:r>
        <w:rPr>
          <w:spacing w:val="16"/>
        </w:rPr>
        <w:t> </w:t>
      </w:r>
      <w:r>
        <w:rPr/>
        <w:t>sector.</w:t>
      </w:r>
    </w:p>
    <w:p>
      <w:pPr>
        <w:pStyle w:val="BodyText"/>
        <w:spacing w:line="360" w:lineRule="auto"/>
        <w:ind w:left="340" w:right="126"/>
        <w:jc w:val="both"/>
      </w:pPr>
      <w:r>
        <w:rPr/>
        <w:t>The</w:t>
      </w:r>
      <w:r>
        <w:rPr>
          <w:spacing w:val="-5"/>
        </w:rPr>
        <w:t> </w:t>
      </w:r>
      <w:r>
        <w:rPr/>
        <w:t>liquidity</w:t>
      </w:r>
      <w:r>
        <w:rPr>
          <w:spacing w:val="-13"/>
        </w:rPr>
        <w:t> </w:t>
      </w:r>
      <w:r>
        <w:rPr/>
        <w:t>proportions</w:t>
      </w:r>
      <w:r>
        <w:rPr>
          <w:spacing w:val="-10"/>
        </w:rPr>
        <w:t> </w:t>
      </w:r>
      <w:r>
        <w:rPr/>
        <w:t>of</w:t>
      </w:r>
      <w:r>
        <w:rPr>
          <w:spacing w:val="-17"/>
        </w:rPr>
        <w:t> </w:t>
      </w:r>
      <w:r>
        <w:rPr/>
        <w:t>PBL</w:t>
      </w:r>
      <w:r>
        <w:rPr>
          <w:spacing w:val="-11"/>
        </w:rPr>
        <w:t> </w:t>
      </w:r>
      <w:r>
        <w:rPr/>
        <w:t>were</w:t>
      </w:r>
      <w:r>
        <w:rPr>
          <w:spacing w:val="-9"/>
        </w:rPr>
        <w:t> </w:t>
      </w:r>
      <w:r>
        <w:rPr/>
        <w:t>expanded</w:t>
      </w:r>
      <w:r>
        <w:rPr>
          <w:spacing w:val="-9"/>
        </w:rPr>
        <w:t> </w:t>
      </w:r>
      <w:r>
        <w:rPr/>
        <w:t>the</w:t>
      </w:r>
      <w:r>
        <w:rPr>
          <w:spacing w:val="-10"/>
        </w:rPr>
        <w:t> </w:t>
      </w:r>
      <w:r>
        <w:rPr/>
        <w:t>vast</w:t>
      </w:r>
      <w:r>
        <w:rPr>
          <w:spacing w:val="2"/>
        </w:rPr>
        <w:t> </w:t>
      </w:r>
      <w:r>
        <w:rPr/>
        <w:t>majority</w:t>
      </w:r>
      <w:r>
        <w:rPr>
          <w:spacing w:val="-18"/>
        </w:rPr>
        <w:t> </w:t>
      </w:r>
      <w:r>
        <w:rPr>
          <w:spacing w:val="4"/>
        </w:rPr>
        <w:t>of</w:t>
      </w:r>
      <w:r>
        <w:rPr>
          <w:spacing w:val="-17"/>
        </w:rPr>
        <w:t> </w:t>
      </w:r>
      <w:r>
        <w:rPr/>
        <w:t>the</w:t>
      </w:r>
      <w:r>
        <w:rPr>
          <w:spacing w:val="-9"/>
        </w:rPr>
        <w:t> </w:t>
      </w:r>
      <w:r>
        <w:rPr/>
        <w:t>occasions</w:t>
      </w:r>
      <w:r>
        <w:rPr>
          <w:spacing w:val="-11"/>
        </w:rPr>
        <w:t> </w:t>
      </w:r>
      <w:r>
        <w:rPr/>
        <w:t>which</w:t>
      </w:r>
      <w:r>
        <w:rPr>
          <w:spacing w:val="2"/>
        </w:rPr>
        <w:t> </w:t>
      </w:r>
      <w:r>
        <w:rPr>
          <w:spacing w:val="-3"/>
        </w:rPr>
        <w:t>is</w:t>
      </w:r>
      <w:r>
        <w:rPr>
          <w:spacing w:val="-10"/>
        </w:rPr>
        <w:t> </w:t>
      </w:r>
      <w:r>
        <w:rPr/>
        <w:t>useful for the bank. In the event that we see the gainfulness position of the bank, </w:t>
      </w:r>
      <w:r>
        <w:rPr>
          <w:spacing w:val="-5"/>
        </w:rPr>
        <w:t>it </w:t>
      </w:r>
      <w:r>
        <w:rPr/>
        <w:t>can without much </w:t>
      </w:r>
      <w:r>
        <w:rPr>
          <w:spacing w:val="4"/>
        </w:rPr>
        <w:t>of </w:t>
      </w:r>
      <w:r>
        <w:rPr/>
        <w:t>a</w:t>
      </w:r>
      <w:r>
        <w:rPr>
          <w:spacing w:val="-15"/>
        </w:rPr>
        <w:t> </w:t>
      </w:r>
      <w:r>
        <w:rPr/>
        <w:t>stretch</w:t>
      </w:r>
      <w:r>
        <w:rPr>
          <w:spacing w:val="-17"/>
        </w:rPr>
        <w:t> </w:t>
      </w:r>
      <w:r>
        <w:rPr>
          <w:spacing w:val="-3"/>
        </w:rPr>
        <w:t>be</w:t>
      </w:r>
      <w:r>
        <w:rPr>
          <w:spacing w:val="-20"/>
        </w:rPr>
        <w:t> </w:t>
      </w:r>
      <w:r>
        <w:rPr/>
        <w:t>said</w:t>
      </w:r>
      <w:r>
        <w:rPr>
          <w:spacing w:val="-13"/>
        </w:rPr>
        <w:t> </w:t>
      </w:r>
      <w:r>
        <w:rPr/>
        <w:t>the</w:t>
      </w:r>
      <w:r>
        <w:rPr>
          <w:spacing w:val="-20"/>
        </w:rPr>
        <w:t> </w:t>
      </w:r>
      <w:r>
        <w:rPr>
          <w:spacing w:val="-3"/>
        </w:rPr>
        <w:t>Profit</w:t>
      </w:r>
      <w:r>
        <w:rPr>
          <w:spacing w:val="-8"/>
        </w:rPr>
        <w:t> </w:t>
      </w:r>
      <w:r>
        <w:rPr/>
        <w:t>Margin,</w:t>
      </w:r>
      <w:r>
        <w:rPr>
          <w:spacing w:val="-11"/>
        </w:rPr>
        <w:t> </w:t>
      </w:r>
      <w:r>
        <w:rPr/>
        <w:t>return</w:t>
      </w:r>
      <w:r>
        <w:rPr>
          <w:spacing w:val="-22"/>
        </w:rPr>
        <w:t> </w:t>
      </w:r>
      <w:r>
        <w:rPr/>
        <w:t>on</w:t>
      </w:r>
      <w:r>
        <w:rPr>
          <w:spacing w:val="-19"/>
        </w:rPr>
        <w:t> </w:t>
      </w:r>
      <w:r>
        <w:rPr/>
        <w:t>Assets</w:t>
      </w:r>
      <w:r>
        <w:rPr>
          <w:spacing w:val="-15"/>
        </w:rPr>
        <w:t> </w:t>
      </w:r>
      <w:r>
        <w:rPr/>
        <w:t>and</w:t>
      </w:r>
      <w:r>
        <w:rPr>
          <w:spacing w:val="-14"/>
        </w:rPr>
        <w:t> </w:t>
      </w:r>
      <w:r>
        <w:rPr/>
        <w:t>Return</w:t>
      </w:r>
      <w:r>
        <w:rPr>
          <w:spacing w:val="-22"/>
        </w:rPr>
        <w:t> </w:t>
      </w:r>
      <w:r>
        <w:rPr/>
        <w:t>on</w:t>
      </w:r>
      <w:r>
        <w:rPr>
          <w:spacing w:val="-18"/>
        </w:rPr>
        <w:t> </w:t>
      </w:r>
      <w:r>
        <w:rPr/>
        <w:t>Equity</w:t>
      </w:r>
      <w:r>
        <w:rPr>
          <w:spacing w:val="-19"/>
        </w:rPr>
        <w:t> </w:t>
      </w:r>
      <w:r>
        <w:rPr/>
        <w:t>were</w:t>
      </w:r>
      <w:r>
        <w:rPr>
          <w:spacing w:val="-10"/>
        </w:rPr>
        <w:t> </w:t>
      </w:r>
      <w:r>
        <w:rPr/>
        <w:t>not</w:t>
      </w:r>
      <w:r>
        <w:rPr>
          <w:spacing w:val="-5"/>
        </w:rPr>
        <w:t> </w:t>
      </w:r>
      <w:r>
        <w:rPr/>
        <w:t>all</w:t>
      </w:r>
      <w:r>
        <w:rPr>
          <w:spacing w:val="-14"/>
        </w:rPr>
        <w:t> </w:t>
      </w:r>
      <w:r>
        <w:rPr/>
        <w:t>that</w:t>
      </w:r>
      <w:r>
        <w:rPr>
          <w:spacing w:val="-5"/>
        </w:rPr>
        <w:t> </w:t>
      </w:r>
      <w:r>
        <w:rPr/>
        <w:t>great</w:t>
      </w:r>
      <w:r>
        <w:rPr>
          <w:spacing w:val="-4"/>
        </w:rPr>
        <w:t> </w:t>
      </w:r>
      <w:r>
        <w:rPr/>
        <w:t>and its pattern was descending. </w:t>
      </w:r>
      <w:r>
        <w:rPr>
          <w:spacing w:val="-3"/>
        </w:rPr>
        <w:t>We </w:t>
      </w:r>
      <w:r>
        <w:rPr/>
        <w:t>can see the EPS proportion of Also when we examine the dissolvability proportions, we can state that </w:t>
      </w:r>
      <w:r>
        <w:rPr>
          <w:spacing w:val="-3"/>
        </w:rPr>
        <w:t>PBL </w:t>
      </w:r>
      <w:r>
        <w:rPr/>
        <w:t>ought to </w:t>
      </w:r>
      <w:r>
        <w:rPr>
          <w:spacing w:val="-3"/>
        </w:rPr>
        <w:t>do </w:t>
      </w:r>
      <w:r>
        <w:rPr/>
        <w:t>their </w:t>
      </w:r>
      <w:r>
        <w:rPr>
          <w:spacing w:val="-3"/>
        </w:rPr>
        <w:t>best </w:t>
      </w:r>
      <w:r>
        <w:rPr/>
        <w:t>to keep up their use proportions</w:t>
      </w:r>
      <w:r>
        <w:rPr>
          <w:spacing w:val="-8"/>
        </w:rPr>
        <w:t> </w:t>
      </w:r>
      <w:r>
        <w:rPr/>
        <w:t>as</w:t>
      </w:r>
      <w:r>
        <w:rPr>
          <w:spacing w:val="-7"/>
        </w:rPr>
        <w:t> </w:t>
      </w:r>
      <w:r>
        <w:rPr/>
        <w:t>every</w:t>
      </w:r>
      <w:r>
        <w:rPr>
          <w:spacing w:val="-13"/>
        </w:rPr>
        <w:t> </w:t>
      </w:r>
      <w:r>
        <w:rPr/>
        <w:t>one</w:t>
      </w:r>
      <w:r>
        <w:rPr>
          <w:spacing w:val="-7"/>
        </w:rPr>
        <w:t> </w:t>
      </w:r>
      <w:r>
        <w:rPr/>
        <w:t>of</w:t>
      </w:r>
      <w:r>
        <w:rPr>
          <w:spacing w:val="-12"/>
        </w:rPr>
        <w:t> </w:t>
      </w:r>
      <w:r>
        <w:rPr/>
        <w:t>these</w:t>
      </w:r>
      <w:r>
        <w:rPr>
          <w:spacing w:val="-7"/>
        </w:rPr>
        <w:t> </w:t>
      </w:r>
      <w:r>
        <w:rPr/>
        <w:t>proportions</w:t>
      </w:r>
      <w:r>
        <w:rPr>
          <w:spacing w:val="-7"/>
        </w:rPr>
        <w:t> </w:t>
      </w:r>
      <w:r>
        <w:rPr/>
        <w:t>demonstrates</w:t>
      </w:r>
      <w:r>
        <w:rPr>
          <w:spacing w:val="-12"/>
        </w:rPr>
        <w:t> </w:t>
      </w:r>
      <w:r>
        <w:rPr/>
        <w:t>that</w:t>
      </w:r>
      <w:r>
        <w:rPr>
          <w:spacing w:val="-9"/>
        </w:rPr>
        <w:t> </w:t>
      </w:r>
      <w:r>
        <w:rPr/>
        <w:t>they</w:t>
      </w:r>
      <w:r>
        <w:rPr>
          <w:spacing w:val="-13"/>
        </w:rPr>
        <w:t> </w:t>
      </w:r>
      <w:r>
        <w:rPr/>
        <w:t>have</w:t>
      </w:r>
      <w:r>
        <w:rPr>
          <w:spacing w:val="-7"/>
        </w:rPr>
        <w:t> </w:t>
      </w:r>
      <w:r>
        <w:rPr/>
        <w:t>high</w:t>
      </w:r>
      <w:r>
        <w:rPr>
          <w:spacing w:val="-10"/>
        </w:rPr>
        <w:t> </w:t>
      </w:r>
      <w:r>
        <w:rPr/>
        <w:t>use</w:t>
      </w:r>
      <w:r>
        <w:rPr>
          <w:spacing w:val="-6"/>
        </w:rPr>
        <w:t> </w:t>
      </w:r>
      <w:r>
        <w:rPr/>
        <w:t>and </w:t>
      </w:r>
      <w:r>
        <w:rPr>
          <w:spacing w:val="-3"/>
        </w:rPr>
        <w:t>in</w:t>
      </w:r>
      <w:r>
        <w:rPr>
          <w:spacing w:val="-10"/>
        </w:rPr>
        <w:t> </w:t>
      </w:r>
      <w:r>
        <w:rPr/>
        <w:t>this</w:t>
      </w:r>
      <w:r>
        <w:rPr>
          <w:spacing w:val="-7"/>
        </w:rPr>
        <w:t> </w:t>
      </w:r>
      <w:r>
        <w:rPr>
          <w:spacing w:val="2"/>
        </w:rPr>
        <w:t>way </w:t>
      </w:r>
      <w:r>
        <w:rPr/>
        <w:t>they additionally have a higher hazard. Other than this, they have to expand the measure of value capital as an excessive amount of use might </w:t>
      </w:r>
      <w:r>
        <w:rPr>
          <w:spacing w:val="-3"/>
        </w:rPr>
        <w:t>be </w:t>
      </w:r>
      <w:r>
        <w:rPr/>
        <w:t>related with more hazard and furthermore </w:t>
      </w:r>
      <w:r>
        <w:rPr>
          <w:spacing w:val="-5"/>
        </w:rPr>
        <w:t>it </w:t>
      </w:r>
      <w:r>
        <w:rPr/>
        <w:t>demonstrates the bank's money related</w:t>
      </w:r>
      <w:r>
        <w:rPr>
          <w:spacing w:val="-3"/>
        </w:rPr>
        <w:t> </w:t>
      </w:r>
      <w:r>
        <w:rPr/>
        <w:t>shortcoming.</w:t>
      </w:r>
    </w:p>
    <w:p>
      <w:pPr>
        <w:pStyle w:val="BodyText"/>
        <w:spacing w:line="360" w:lineRule="auto"/>
        <w:ind w:left="340" w:right="139"/>
        <w:jc w:val="both"/>
      </w:pPr>
      <w:r>
        <w:rPr/>
        <w:t>Now the CBL needs to arrange their activities all the more astutely and do their tasks and administrations as indicated by the market needs. Banking divisions are ending up increasingly aggressive and to get by </w:t>
      </w:r>
      <w:r>
        <w:rPr>
          <w:spacing w:val="-3"/>
        </w:rPr>
        <w:t>in </w:t>
      </w:r>
      <w:r>
        <w:rPr/>
        <w:t>the market </w:t>
      </w:r>
      <w:r>
        <w:rPr>
          <w:spacing w:val="-3"/>
        </w:rPr>
        <w:t>banks </w:t>
      </w:r>
      <w:r>
        <w:rPr/>
        <w:t>need </w:t>
      </w:r>
      <w:r>
        <w:rPr>
          <w:spacing w:val="2"/>
        </w:rPr>
        <w:t>to </w:t>
      </w:r>
      <w:r>
        <w:rPr/>
        <w:t>productively work their activities by proficiently dealing with its advantages and liabilities. In a year ago, the CBL did not</w:t>
      </w:r>
      <w:r>
        <w:rPr>
          <w:spacing w:val="-40"/>
        </w:rPr>
        <w:t> </w:t>
      </w:r>
      <w:r>
        <w:rPr/>
        <w:t>proficiently deal with its advantages and reserves and couldn't make benefit</w:t>
      </w:r>
      <w:r>
        <w:rPr>
          <w:spacing w:val="8"/>
        </w:rPr>
        <w:t> </w:t>
      </w:r>
      <w:r>
        <w:rPr/>
        <w:t>sufficient.</w:t>
      </w:r>
    </w:p>
    <w:p>
      <w:pPr>
        <w:spacing w:after="0" w:line="360" w:lineRule="auto"/>
        <w:jc w:val="both"/>
        <w:sectPr>
          <w:pgSz w:w="12240" w:h="15840"/>
          <w:pgMar w:header="0" w:footer="1039" w:top="1380" w:bottom="1220" w:left="1100" w:right="1300"/>
        </w:sectPr>
      </w:pPr>
    </w:p>
    <w:p>
      <w:pPr>
        <w:pStyle w:val="BodyText"/>
        <w:spacing w:before="2"/>
        <w:rPr>
          <w:sz w:val="29"/>
        </w:rPr>
      </w:pPr>
    </w:p>
    <w:p>
      <w:pPr>
        <w:pStyle w:val="Heading1"/>
        <w:spacing w:before="88"/>
        <w:ind w:left="4058" w:right="3856" w:firstLine="0"/>
        <w:jc w:val="center"/>
      </w:pPr>
      <w:r>
        <w:rPr/>
        <w:t>References</w:t>
      </w:r>
    </w:p>
    <w:p>
      <w:pPr>
        <w:pStyle w:val="BodyText"/>
        <w:spacing w:before="10"/>
        <w:rPr>
          <w:b/>
          <w:sz w:val="51"/>
        </w:rPr>
      </w:pPr>
    </w:p>
    <w:p>
      <w:pPr>
        <w:pStyle w:val="Heading2"/>
        <w:numPr>
          <w:ilvl w:val="0"/>
          <w:numId w:val="24"/>
        </w:numPr>
        <w:tabs>
          <w:tab w:pos="1061" w:val="left" w:leader="none"/>
        </w:tabs>
        <w:spacing w:line="240" w:lineRule="auto" w:before="0" w:after="0"/>
        <w:ind w:left="1061" w:right="0" w:hanging="361"/>
        <w:jc w:val="left"/>
      </w:pPr>
      <w:r>
        <w:rPr/>
        <w:t>Books</w:t>
      </w:r>
    </w:p>
    <w:p>
      <w:pPr>
        <w:pStyle w:val="ListParagraph"/>
        <w:numPr>
          <w:ilvl w:val="1"/>
          <w:numId w:val="24"/>
        </w:numPr>
        <w:tabs>
          <w:tab w:pos="1421" w:val="left" w:leader="none"/>
        </w:tabs>
        <w:spacing w:line="324" w:lineRule="auto" w:before="158" w:after="0"/>
        <w:ind w:left="1421" w:right="142" w:hanging="360"/>
        <w:jc w:val="left"/>
        <w:rPr>
          <w:sz w:val="28"/>
        </w:rPr>
      </w:pPr>
      <w:r>
        <w:rPr>
          <w:sz w:val="22"/>
        </w:rPr>
        <w:t>Beasley, Scott &amp; Brigham, Eugene F., “Essentials </w:t>
      </w:r>
      <w:r>
        <w:rPr>
          <w:spacing w:val="-3"/>
          <w:sz w:val="22"/>
        </w:rPr>
        <w:t>of </w:t>
      </w:r>
      <w:r>
        <w:rPr>
          <w:sz w:val="22"/>
        </w:rPr>
        <w:t>Managerial Finance”, (13th Edition), Thomson Corporation, 443-479.</w:t>
      </w:r>
    </w:p>
    <w:p>
      <w:pPr>
        <w:pStyle w:val="ListParagraph"/>
        <w:numPr>
          <w:ilvl w:val="1"/>
          <w:numId w:val="24"/>
        </w:numPr>
        <w:tabs>
          <w:tab w:pos="1421" w:val="left" w:leader="none"/>
        </w:tabs>
        <w:spacing w:line="324" w:lineRule="auto" w:before="40" w:after="0"/>
        <w:ind w:left="1421" w:right="151" w:hanging="360"/>
        <w:jc w:val="left"/>
        <w:rPr>
          <w:sz w:val="28"/>
        </w:rPr>
      </w:pPr>
      <w:r>
        <w:rPr>
          <w:sz w:val="22"/>
        </w:rPr>
        <w:t>Gitman, Lawrence J., “Principles of Managerial Finance”, (10th Edition), Pearson Education, 40-73.</w:t>
      </w:r>
    </w:p>
    <w:p>
      <w:pPr>
        <w:pStyle w:val="ListParagraph"/>
        <w:numPr>
          <w:ilvl w:val="1"/>
          <w:numId w:val="24"/>
        </w:numPr>
        <w:tabs>
          <w:tab w:pos="1421" w:val="left" w:leader="none"/>
        </w:tabs>
        <w:spacing w:line="324" w:lineRule="auto" w:before="40" w:after="0"/>
        <w:ind w:left="1421" w:right="146" w:hanging="360"/>
        <w:jc w:val="left"/>
        <w:rPr>
          <w:sz w:val="28"/>
        </w:rPr>
      </w:pPr>
      <w:r>
        <w:rPr>
          <w:sz w:val="22"/>
        </w:rPr>
        <w:t>Keown, Arthur J., Martin, John D., Petty, J. William &amp; Scott, David F., “Financial Management: Principles and Application”, (10th Edition), Pearson Education,</w:t>
      </w:r>
      <w:r>
        <w:rPr>
          <w:spacing w:val="-3"/>
          <w:sz w:val="22"/>
        </w:rPr>
        <w:t> </w:t>
      </w:r>
      <w:r>
        <w:rPr>
          <w:sz w:val="22"/>
        </w:rPr>
        <w:t>73-87.</w:t>
      </w:r>
    </w:p>
    <w:p>
      <w:pPr>
        <w:pStyle w:val="ListParagraph"/>
        <w:numPr>
          <w:ilvl w:val="1"/>
          <w:numId w:val="24"/>
        </w:numPr>
        <w:tabs>
          <w:tab w:pos="1421" w:val="left" w:leader="none"/>
        </w:tabs>
        <w:spacing w:line="240" w:lineRule="auto" w:before="41" w:after="0"/>
        <w:ind w:left="1421" w:right="0" w:hanging="360"/>
        <w:jc w:val="left"/>
        <w:rPr>
          <w:sz w:val="28"/>
        </w:rPr>
      </w:pPr>
      <w:r>
        <w:rPr>
          <w:sz w:val="22"/>
        </w:rPr>
        <w:t>Mishkin, Frederic S. &amp; Eakins, Stanley G., (5th Edition), Pearson Education, 425-445.</w:t>
      </w:r>
    </w:p>
    <w:p>
      <w:pPr>
        <w:pStyle w:val="ListParagraph"/>
        <w:numPr>
          <w:ilvl w:val="1"/>
          <w:numId w:val="24"/>
        </w:numPr>
        <w:tabs>
          <w:tab w:pos="1421" w:val="left" w:leader="none"/>
        </w:tabs>
        <w:spacing w:line="240" w:lineRule="auto" w:before="113" w:after="0"/>
        <w:ind w:left="1421" w:right="0" w:hanging="360"/>
        <w:jc w:val="left"/>
        <w:rPr>
          <w:sz w:val="22"/>
        </w:rPr>
      </w:pPr>
      <w:r>
        <w:rPr>
          <w:sz w:val="22"/>
        </w:rPr>
        <w:t>Gitman, Lawrence J. “Principles </w:t>
      </w:r>
      <w:r>
        <w:rPr>
          <w:spacing w:val="-3"/>
          <w:sz w:val="22"/>
        </w:rPr>
        <w:t>of </w:t>
      </w:r>
      <w:r>
        <w:rPr>
          <w:sz w:val="22"/>
        </w:rPr>
        <w:t>Management Finance”, 12</w:t>
      </w:r>
      <w:r>
        <w:rPr>
          <w:sz w:val="22"/>
          <w:vertAlign w:val="superscript"/>
        </w:rPr>
        <w:t>th</w:t>
      </w:r>
      <w:r>
        <w:rPr>
          <w:spacing w:val="-13"/>
          <w:sz w:val="22"/>
          <w:vertAlign w:val="baseline"/>
        </w:rPr>
        <w:t> </w:t>
      </w:r>
      <w:r>
        <w:rPr>
          <w:sz w:val="22"/>
          <w:vertAlign w:val="baseline"/>
        </w:rPr>
        <w:t>Edition.</w:t>
      </w:r>
    </w:p>
    <w:p>
      <w:pPr>
        <w:pStyle w:val="BodyText"/>
        <w:rPr>
          <w:sz w:val="26"/>
        </w:rPr>
      </w:pPr>
    </w:p>
    <w:p>
      <w:pPr>
        <w:pStyle w:val="BodyText"/>
        <w:rPr>
          <w:sz w:val="26"/>
        </w:rPr>
      </w:pPr>
    </w:p>
    <w:p>
      <w:pPr>
        <w:pStyle w:val="Heading2"/>
        <w:numPr>
          <w:ilvl w:val="0"/>
          <w:numId w:val="24"/>
        </w:numPr>
        <w:tabs>
          <w:tab w:pos="1061" w:val="left" w:leader="none"/>
        </w:tabs>
        <w:spacing w:line="240" w:lineRule="auto" w:before="173" w:after="0"/>
        <w:ind w:left="1061" w:right="0" w:hanging="361"/>
        <w:jc w:val="left"/>
      </w:pPr>
      <w:r>
        <w:rPr/>
        <w:t>Reports</w:t>
      </w:r>
    </w:p>
    <w:p>
      <w:pPr>
        <w:pStyle w:val="BodyText"/>
        <w:spacing w:line="360" w:lineRule="auto" w:before="153"/>
        <w:ind w:left="700"/>
      </w:pPr>
      <w:r>
        <w:rPr/>
        <w:t>Annual Report of Trust Bank Limited, Jamuna Bank Limited, Bangladesh Commerce Bank Limited, Premier Bank Limited and City Bank Limited (2015-2019).</w:t>
      </w:r>
    </w:p>
    <w:p>
      <w:pPr>
        <w:pStyle w:val="BodyText"/>
        <w:spacing w:before="8"/>
        <w:rPr>
          <w:sz w:val="33"/>
        </w:rPr>
      </w:pPr>
    </w:p>
    <w:p>
      <w:pPr>
        <w:pStyle w:val="Heading2"/>
        <w:numPr>
          <w:ilvl w:val="0"/>
          <w:numId w:val="24"/>
        </w:numPr>
        <w:tabs>
          <w:tab w:pos="1061" w:val="left" w:leader="none"/>
        </w:tabs>
        <w:spacing w:line="240" w:lineRule="auto" w:before="0" w:after="0"/>
        <w:ind w:left="1061" w:right="0" w:hanging="361"/>
        <w:jc w:val="left"/>
      </w:pPr>
      <w:r>
        <w:rPr/>
        <w:t>Websites</w:t>
      </w:r>
    </w:p>
    <w:p>
      <w:pPr>
        <w:pStyle w:val="ListParagraph"/>
        <w:numPr>
          <w:ilvl w:val="1"/>
          <w:numId w:val="24"/>
        </w:numPr>
        <w:tabs>
          <w:tab w:pos="1061" w:val="left" w:leader="none"/>
        </w:tabs>
        <w:spacing w:line="240" w:lineRule="auto" w:before="152" w:after="0"/>
        <w:ind w:left="1061" w:right="0" w:hanging="361"/>
        <w:jc w:val="left"/>
        <w:rPr>
          <w:sz w:val="24"/>
        </w:rPr>
      </w:pPr>
      <w:hyperlink r:id="rId128">
        <w:r>
          <w:rPr>
            <w:sz w:val="24"/>
          </w:rPr>
          <w:t>www.tblbd.com/</w:t>
        </w:r>
      </w:hyperlink>
    </w:p>
    <w:p>
      <w:pPr>
        <w:pStyle w:val="ListParagraph"/>
        <w:numPr>
          <w:ilvl w:val="1"/>
          <w:numId w:val="24"/>
        </w:numPr>
        <w:tabs>
          <w:tab w:pos="1061" w:val="left" w:leader="none"/>
        </w:tabs>
        <w:spacing w:line="240" w:lineRule="auto" w:before="142" w:after="0"/>
        <w:ind w:left="1061" w:right="0" w:hanging="361"/>
        <w:jc w:val="left"/>
        <w:rPr>
          <w:sz w:val="24"/>
        </w:rPr>
      </w:pPr>
      <w:hyperlink r:id="rId129">
        <w:r>
          <w:rPr>
            <w:sz w:val="24"/>
          </w:rPr>
          <w:t>www.bcblbd.com</w:t>
        </w:r>
      </w:hyperlink>
    </w:p>
    <w:p>
      <w:pPr>
        <w:pStyle w:val="ListParagraph"/>
        <w:numPr>
          <w:ilvl w:val="1"/>
          <w:numId w:val="24"/>
        </w:numPr>
        <w:tabs>
          <w:tab w:pos="1061" w:val="left" w:leader="none"/>
        </w:tabs>
        <w:spacing w:line="240" w:lineRule="auto" w:before="137" w:after="0"/>
        <w:ind w:left="1061" w:right="0" w:hanging="361"/>
        <w:jc w:val="left"/>
        <w:rPr>
          <w:sz w:val="24"/>
        </w:rPr>
      </w:pPr>
      <w:hyperlink r:id="rId130">
        <w:r>
          <w:rPr>
            <w:sz w:val="24"/>
          </w:rPr>
          <w:t>www.jbd.com</w:t>
        </w:r>
      </w:hyperlink>
    </w:p>
    <w:p>
      <w:pPr>
        <w:pStyle w:val="ListParagraph"/>
        <w:numPr>
          <w:ilvl w:val="1"/>
          <w:numId w:val="24"/>
        </w:numPr>
        <w:tabs>
          <w:tab w:pos="1061" w:val="left" w:leader="none"/>
        </w:tabs>
        <w:spacing w:line="240" w:lineRule="auto" w:before="137" w:after="0"/>
        <w:ind w:left="1061" w:right="0" w:hanging="361"/>
        <w:jc w:val="left"/>
        <w:rPr>
          <w:sz w:val="24"/>
        </w:rPr>
      </w:pPr>
      <w:hyperlink r:id="rId131">
        <w:r>
          <w:rPr>
            <w:sz w:val="24"/>
          </w:rPr>
          <w:t>www.premierbankltd.com/pbl/</w:t>
        </w:r>
      </w:hyperlink>
    </w:p>
    <w:p>
      <w:pPr>
        <w:pStyle w:val="ListParagraph"/>
        <w:numPr>
          <w:ilvl w:val="1"/>
          <w:numId w:val="24"/>
        </w:numPr>
        <w:tabs>
          <w:tab w:pos="1061" w:val="left" w:leader="none"/>
        </w:tabs>
        <w:spacing w:line="240" w:lineRule="auto" w:before="137" w:after="0"/>
        <w:ind w:left="1061" w:right="0" w:hanging="361"/>
        <w:jc w:val="left"/>
        <w:rPr>
          <w:sz w:val="24"/>
        </w:rPr>
      </w:pPr>
      <w:hyperlink r:id="rId132">
        <w:r>
          <w:rPr>
            <w:sz w:val="24"/>
          </w:rPr>
          <w:t>www.thecitybank.com/home</w:t>
        </w:r>
      </w:hyperlink>
    </w:p>
    <w:sectPr>
      <w:pgSz w:w="12240" w:h="15840"/>
      <w:pgMar w:header="0" w:footer="1039" w:top="1500" w:bottom="1220" w:left="11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02.230011pt;margin-top:716.935974pt;width:40pt;height:13.05pt;mso-position-horizontal-relative:page;mso-position-vertical-relative:page;z-index:-256147456" type="#_x0000_t202" filled="false" stroked="false">
          <v:textbox inset="0,0,0,0">
            <w:txbxContent>
              <w:p>
                <w:pPr>
                  <w:spacing w:line="245" w:lineRule="exact" w:before="0"/>
                  <w:ind w:left="20" w:right="0" w:firstLine="0"/>
                  <w:jc w:val="left"/>
                  <w:rPr>
                    <w:rFonts w:ascii="Calibri"/>
                    <w:sz w:val="22"/>
                  </w:rPr>
                </w:pPr>
                <w:r>
                  <w:rPr>
                    <w:rFonts w:ascii="Calibri"/>
                    <w:sz w:val="22"/>
                  </w:rPr>
                  <w:t>Page | </w:t>
                </w:r>
                <w:r>
                  <w:rPr/>
                  <w:fldChar w:fldCharType="begin"/>
                </w:r>
                <w:r>
                  <w:rPr>
                    <w:rFonts w:ascii="Calibri"/>
                    <w:sz w:val="22"/>
                  </w:rPr>
                  <w:instrText> PAGE  \* roman </w:instrText>
                </w:r>
                <w:r>
                  <w:rPr/>
                  <w:fldChar w:fldCharType="separate"/>
                </w:r>
                <w:r>
                  <w:rPr/>
                  <w:t>ii</w:t>
                </w:r>
                <w:r>
                  <w:rPr/>
                  <w:fldChar w:fldCharType="end"/>
                </w:r>
              </w:p>
            </w:txbxContent>
          </v:textbox>
          <w10:wrap type="none"/>
        </v:shape>
      </w:pict>
    </w:r>
    <w:r>
      <w:rPr/>
      <w:pict>
        <v:shape style="position:absolute;margin-left:71.024002pt;margin-top:728.442627pt;width:179.95pt;height:15.3pt;mso-position-horizontal-relative:page;mso-position-vertical-relative:page;z-index:-256146432" type="#_x0000_t202" filled="false" stroked="false">
          <v:textbox inset="0,0,0,0">
            <w:txbxContent>
              <w:p>
                <w:pPr>
                  <w:spacing w:before="10"/>
                  <w:ind w:left="20" w:right="0" w:firstLine="0"/>
                  <w:jc w:val="left"/>
                  <w:rPr>
                    <w:b/>
                    <w:sz w:val="24"/>
                  </w:rPr>
                </w:pPr>
                <w:r>
                  <w:rPr>
                    <w:b/>
                    <w:sz w:val="24"/>
                  </w:rPr>
                  <w:t>©Daffodil International University</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9.829987pt;margin-top:716.935974pt;width:42.25pt;height:13.05pt;mso-position-horizontal-relative:page;mso-position-vertical-relative:page;z-index:-256145408" type="#_x0000_t202" filled="false" stroked="false">
          <v:textbox inset="0,0,0,0">
            <w:txbxContent>
              <w:p>
                <w:pPr>
                  <w:spacing w:line="245" w:lineRule="exact" w:before="0"/>
                  <w:ind w:left="20" w:right="0" w:firstLine="0"/>
                  <w:jc w:val="left"/>
                  <w:rPr>
                    <w:rFonts w:ascii="Calibri"/>
                    <w:sz w:val="22"/>
                  </w:rPr>
                </w:pPr>
                <w:r>
                  <w:rPr>
                    <w:rFonts w:ascii="Calibri"/>
                    <w:sz w:val="22"/>
                  </w:rPr>
                  <w:t>Page | </w:t>
                </w:r>
                <w:r>
                  <w:rPr/>
                  <w:fldChar w:fldCharType="begin"/>
                </w:r>
                <w:r>
                  <w:rPr>
                    <w:rFonts w:ascii="Calibri"/>
                    <w:sz w:val="22"/>
                  </w:rPr>
                  <w:instrText> PAGE  \* roman </w:instrText>
                </w:r>
                <w:r>
                  <w:rPr/>
                  <w:fldChar w:fldCharType="separate"/>
                </w:r>
                <w:r>
                  <w:rPr/>
                  <w:t>iii</w:t>
                </w:r>
                <w:r>
                  <w:rPr/>
                  <w:fldChar w:fldCharType="end"/>
                </w:r>
              </w:p>
            </w:txbxContent>
          </v:textbox>
          <w10:wrap type="none"/>
        </v:shape>
      </w:pict>
    </w:r>
    <w:r>
      <w:rPr/>
      <w:pict>
        <v:shape style="position:absolute;margin-left:71.024002pt;margin-top:728.442627pt;width:179.95pt;height:15.3pt;mso-position-horizontal-relative:page;mso-position-vertical-relative:page;z-index:-256144384" type="#_x0000_t202" filled="false" stroked="false">
          <v:textbox inset="0,0,0,0">
            <w:txbxContent>
              <w:p>
                <w:pPr>
                  <w:spacing w:before="10"/>
                  <w:ind w:left="20" w:right="0" w:firstLine="0"/>
                  <w:jc w:val="left"/>
                  <w:rPr>
                    <w:b/>
                    <w:sz w:val="24"/>
                  </w:rPr>
                </w:pPr>
                <w:r>
                  <w:rPr>
                    <w:b/>
                    <w:sz w:val="24"/>
                  </w:rPr>
                  <w:t>©Daffodil International University</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790009pt;margin-top:716.935974pt;width:47.5pt;height:13.05pt;mso-position-horizontal-relative:page;mso-position-vertical-relative:page;z-index:-256143360" type="#_x0000_t202" filled="false" stroked="false">
          <v:textbox inset="0,0,0,0">
            <w:txbxContent>
              <w:p>
                <w:pPr>
                  <w:spacing w:line="245" w:lineRule="exact" w:before="0"/>
                  <w:ind w:left="20" w:right="0" w:firstLine="0"/>
                  <w:jc w:val="left"/>
                  <w:rPr>
                    <w:rFonts w:ascii="Calibri"/>
                    <w:sz w:val="22"/>
                  </w:rPr>
                </w:pPr>
                <w:r>
                  <w:rPr>
                    <w:rFonts w:ascii="Calibri"/>
                    <w:sz w:val="22"/>
                  </w:rPr>
                  <w:t>Page | </w:t>
                </w:r>
                <w:r>
                  <w:rPr/>
                  <w:fldChar w:fldCharType="begin"/>
                </w:r>
                <w:r>
                  <w:rPr>
                    <w:rFonts w:ascii="Calibri"/>
                    <w:sz w:val="22"/>
                  </w:rPr>
                  <w:instrText> PAGE  \* roman </w:instrText>
                </w:r>
                <w:r>
                  <w:rPr/>
                  <w:fldChar w:fldCharType="separate"/>
                </w:r>
                <w:r>
                  <w:rPr/>
                  <w:t>viii</w:t>
                </w:r>
                <w:r>
                  <w:rPr/>
                  <w:fldChar w:fldCharType="end"/>
                </w:r>
              </w:p>
            </w:txbxContent>
          </v:textbox>
          <w10:wrap type="none"/>
        </v:shape>
      </w:pict>
    </w:r>
    <w:r>
      <w:rPr/>
      <w:pict>
        <v:shape style="position:absolute;margin-left:71.024002pt;margin-top:728.442627pt;width:179.95pt;height:15.3pt;mso-position-horizontal-relative:page;mso-position-vertical-relative:page;z-index:-256142336" type="#_x0000_t202" filled="false" stroked="false">
          <v:textbox inset="0,0,0,0">
            <w:txbxContent>
              <w:p>
                <w:pPr>
                  <w:spacing w:before="10"/>
                  <w:ind w:left="20" w:right="0" w:firstLine="0"/>
                  <w:jc w:val="left"/>
                  <w:rPr>
                    <w:b/>
                    <w:sz w:val="24"/>
                  </w:rPr>
                </w:pPr>
                <w:r>
                  <w:rPr>
                    <w:b/>
                    <w:sz w:val="24"/>
                  </w:rPr>
                  <w:t>©Daffodil International University</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4.630005pt;margin-top:718.018127pt;width:37.6pt;height:14.25pt;mso-position-horizontal-relative:page;mso-position-vertical-relative:page;z-index:-256141312" type="#_x0000_t202" filled="false" stroked="false">
          <v:textbox inset="0,0,0,0">
            <w:txbxContent>
              <w:p>
                <w:pPr>
                  <w:spacing w:before="11"/>
                  <w:ind w:left="20" w:right="0" w:firstLine="0"/>
                  <w:jc w:val="left"/>
                  <w:rPr>
                    <w:sz w:val="22"/>
                  </w:rPr>
                </w:pPr>
                <w:r>
                  <w:rPr>
                    <w:sz w:val="22"/>
                  </w:rPr>
                  <w:t>Page | </w:t>
                </w:r>
                <w:r>
                  <w:rPr/>
                  <w:fldChar w:fldCharType="begin"/>
                </w:r>
                <w:r>
                  <w:rPr>
                    <w:sz w:val="22"/>
                  </w:rPr>
                  <w:instrText> PAGE </w:instrText>
                </w:r>
                <w:r>
                  <w:rPr/>
                  <w:fldChar w:fldCharType="separate"/>
                </w:r>
                <w:r>
                  <w:rPr/>
                  <w:t>6</w:t>
                </w:r>
                <w:r>
                  <w:rPr/>
                  <w:fldChar w:fldCharType="end"/>
                </w:r>
              </w:p>
            </w:txbxContent>
          </v:textbox>
          <w10:wrap type="none"/>
        </v:shape>
      </w:pict>
    </w:r>
    <w:r>
      <w:rPr/>
      <w:pict>
        <v:shape style="position:absolute;margin-left:71.024002pt;margin-top:730.842651pt;width:180.1pt;height:15.3pt;mso-position-horizontal-relative:page;mso-position-vertical-relative:page;z-index:-256140288" type="#_x0000_t202" filled="false" stroked="false">
          <v:textbox inset="0,0,0,0">
            <w:txbxContent>
              <w:p>
                <w:pPr>
                  <w:spacing w:before="10"/>
                  <w:ind w:left="20" w:right="0" w:firstLine="0"/>
                  <w:jc w:val="left"/>
                  <w:rPr>
                    <w:b/>
                    <w:sz w:val="24"/>
                  </w:rPr>
                </w:pPr>
                <w:r>
                  <w:rPr>
                    <w:b/>
                    <w:sz w:val="24"/>
                  </w:rPr>
                  <w:t>©Daffodil International University</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9.109985pt;margin-top:729.058105pt;width:43.1pt;height:14.25pt;mso-position-horizontal-relative:page;mso-position-vertical-relative:page;z-index:-256139264" type="#_x0000_t202" filled="false" stroked="false">
          <v:textbox inset="0,0,0,0">
            <w:txbxContent>
              <w:p>
                <w:pPr>
                  <w:spacing w:before="11"/>
                  <w:ind w:left="20" w:right="0" w:firstLine="0"/>
                  <w:jc w:val="left"/>
                  <w:rPr>
                    <w:sz w:val="22"/>
                  </w:rPr>
                </w:pPr>
                <w:r>
                  <w:rPr>
                    <w:sz w:val="22"/>
                  </w:rPr>
                  <w:t>Page | </w:t>
                </w:r>
                <w:r>
                  <w:rPr/>
                  <w:fldChar w:fldCharType="begin"/>
                </w:r>
                <w:r>
                  <w:rPr>
                    <w:sz w:val="22"/>
                  </w:rPr>
                  <w:instrText> PAGE </w:instrText>
                </w:r>
                <w:r>
                  <w:rPr/>
                  <w:fldChar w:fldCharType="separate"/>
                </w:r>
                <w:r>
                  <w:rPr/>
                  <w:t>10</w:t>
                </w:r>
                <w:r>
                  <w:rPr/>
                  <w:fldChar w:fldCharType="end"/>
                </w:r>
              </w:p>
            </w:txbxContent>
          </v:textbox>
          <w10:wrap type="none"/>
        </v:shape>
      </w:pict>
    </w:r>
    <w:r>
      <w:rPr/>
      <w:pict>
        <v:shape style="position:absolute;margin-left:71.024002pt;margin-top:741.882629pt;width:180.1pt;height:15.3pt;mso-position-horizontal-relative:page;mso-position-vertical-relative:page;z-index:-256138240" type="#_x0000_t202" filled="false" stroked="false">
          <v:textbox inset="0,0,0,0">
            <w:txbxContent>
              <w:p>
                <w:pPr>
                  <w:spacing w:before="10"/>
                  <w:ind w:left="20" w:right="0" w:firstLine="0"/>
                  <w:jc w:val="left"/>
                  <w:rPr>
                    <w:b/>
                    <w:sz w:val="24"/>
                  </w:rPr>
                </w:pPr>
                <w:r>
                  <w:rPr>
                    <w:b/>
                    <w:sz w:val="24"/>
                  </w:rPr>
                  <w:t>©Daffodil International University</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
    <w:multiLevelType w:val="hybridMultilevel"/>
    <w:lvl w:ilvl="0">
      <w:start w:val="1"/>
      <w:numFmt w:val="upperLetter"/>
      <w:lvlText w:val="%1."/>
      <w:lvlJc w:val="left"/>
      <w:pPr>
        <w:ind w:left="1061" w:hanging="361"/>
        <w:jc w:val="left"/>
      </w:pPr>
      <w:rPr>
        <w:rFonts w:hint="default" w:ascii="Times New Roman" w:hAnsi="Times New Roman" w:eastAsia="Times New Roman" w:cs="Times New Roman"/>
        <w:b/>
        <w:bCs/>
        <w:w w:val="99"/>
        <w:sz w:val="28"/>
        <w:szCs w:val="28"/>
        <w:lang w:val="en-US" w:eastAsia="en-US" w:bidi="en-US"/>
      </w:rPr>
    </w:lvl>
    <w:lvl w:ilvl="1">
      <w:start w:val="1"/>
      <w:numFmt w:val="decimal"/>
      <w:lvlText w:val="%2."/>
      <w:lvlJc w:val="left"/>
      <w:pPr>
        <w:ind w:left="1061" w:hanging="361"/>
        <w:jc w:val="left"/>
      </w:pPr>
      <w:rPr>
        <w:rFonts w:hint="default"/>
        <w:spacing w:val="-10"/>
        <w:w w:val="99"/>
        <w:lang w:val="en-US" w:eastAsia="en-US" w:bidi="en-US"/>
      </w:rPr>
    </w:lvl>
    <w:lvl w:ilvl="2">
      <w:start w:val="0"/>
      <w:numFmt w:val="bullet"/>
      <w:lvlText w:val="•"/>
      <w:lvlJc w:val="left"/>
      <w:pPr>
        <w:ind w:left="2355" w:hanging="361"/>
      </w:pPr>
      <w:rPr>
        <w:rFonts w:hint="default"/>
        <w:lang w:val="en-US" w:eastAsia="en-US" w:bidi="en-US"/>
      </w:rPr>
    </w:lvl>
    <w:lvl w:ilvl="3">
      <w:start w:val="0"/>
      <w:numFmt w:val="bullet"/>
      <w:lvlText w:val="•"/>
      <w:lvlJc w:val="left"/>
      <w:pPr>
        <w:ind w:left="3291" w:hanging="361"/>
      </w:pPr>
      <w:rPr>
        <w:rFonts w:hint="default"/>
        <w:lang w:val="en-US" w:eastAsia="en-US" w:bidi="en-US"/>
      </w:rPr>
    </w:lvl>
    <w:lvl w:ilvl="4">
      <w:start w:val="0"/>
      <w:numFmt w:val="bullet"/>
      <w:lvlText w:val="•"/>
      <w:lvlJc w:val="left"/>
      <w:pPr>
        <w:ind w:left="4226" w:hanging="361"/>
      </w:pPr>
      <w:rPr>
        <w:rFonts w:hint="default"/>
        <w:lang w:val="en-US" w:eastAsia="en-US" w:bidi="en-US"/>
      </w:rPr>
    </w:lvl>
    <w:lvl w:ilvl="5">
      <w:start w:val="0"/>
      <w:numFmt w:val="bullet"/>
      <w:lvlText w:val="•"/>
      <w:lvlJc w:val="left"/>
      <w:pPr>
        <w:ind w:left="5162" w:hanging="361"/>
      </w:pPr>
      <w:rPr>
        <w:rFonts w:hint="default"/>
        <w:lang w:val="en-US" w:eastAsia="en-US" w:bidi="en-US"/>
      </w:rPr>
    </w:lvl>
    <w:lvl w:ilvl="6">
      <w:start w:val="0"/>
      <w:numFmt w:val="bullet"/>
      <w:lvlText w:val="•"/>
      <w:lvlJc w:val="left"/>
      <w:pPr>
        <w:ind w:left="6097" w:hanging="361"/>
      </w:pPr>
      <w:rPr>
        <w:rFonts w:hint="default"/>
        <w:lang w:val="en-US" w:eastAsia="en-US" w:bidi="en-US"/>
      </w:rPr>
    </w:lvl>
    <w:lvl w:ilvl="7">
      <w:start w:val="0"/>
      <w:numFmt w:val="bullet"/>
      <w:lvlText w:val="•"/>
      <w:lvlJc w:val="left"/>
      <w:pPr>
        <w:ind w:left="7033" w:hanging="361"/>
      </w:pPr>
      <w:rPr>
        <w:rFonts w:hint="default"/>
        <w:lang w:val="en-US" w:eastAsia="en-US" w:bidi="en-US"/>
      </w:rPr>
    </w:lvl>
    <w:lvl w:ilvl="8">
      <w:start w:val="0"/>
      <w:numFmt w:val="bullet"/>
      <w:lvlText w:val="•"/>
      <w:lvlJc w:val="left"/>
      <w:pPr>
        <w:ind w:left="7968" w:hanging="361"/>
      </w:pPr>
      <w:rPr>
        <w:rFonts w:hint="default"/>
        <w:lang w:val="en-US" w:eastAsia="en-US" w:bidi="en-US"/>
      </w:rPr>
    </w:lvl>
  </w:abstractNum>
  <w:abstractNum w:abstractNumId="22">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22"/>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21">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20">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3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9">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2"/>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8">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7"/>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7">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6">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5">
    <w:multiLevelType w:val="hybridMultilevel"/>
    <w:lvl w:ilvl="0">
      <w:start w:val="5"/>
      <w:numFmt w:val="decimal"/>
      <w:lvlText w:val="%1"/>
      <w:lvlJc w:val="left"/>
      <w:pPr>
        <w:ind w:left="824" w:hanging="484"/>
        <w:jc w:val="left"/>
      </w:pPr>
      <w:rPr>
        <w:rFonts w:hint="default"/>
        <w:lang w:val="en-US" w:eastAsia="en-US" w:bidi="en-US"/>
      </w:rPr>
    </w:lvl>
    <w:lvl w:ilvl="1">
      <w:start w:val="1"/>
      <w:numFmt w:val="decimal"/>
      <w:lvlText w:val="%1.%2"/>
      <w:lvlJc w:val="left"/>
      <w:pPr>
        <w:ind w:left="824" w:hanging="484"/>
        <w:jc w:val="left"/>
      </w:pPr>
      <w:rPr>
        <w:rFonts w:hint="default" w:ascii="Times New Roman" w:hAnsi="Times New Roman" w:eastAsia="Times New Roman" w:cs="Times New Roman"/>
        <w:b/>
        <w:bCs/>
        <w:spacing w:val="-4"/>
        <w:w w:val="100"/>
        <w:sz w:val="32"/>
        <w:szCs w:val="32"/>
        <w:lang w:val="en-US" w:eastAsia="en-US" w:bidi="en-US"/>
      </w:rPr>
    </w:lvl>
    <w:lvl w:ilvl="2">
      <w:start w:val="1"/>
      <w:numFmt w:val="decimal"/>
      <w:lvlText w:val="%3."/>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3">
      <w:start w:val="0"/>
      <w:numFmt w:val="bullet"/>
      <w:lvlText w:val="•"/>
      <w:lvlJc w:val="left"/>
      <w:pPr>
        <w:ind w:left="3011" w:hanging="361"/>
      </w:pPr>
      <w:rPr>
        <w:rFonts w:hint="default"/>
        <w:lang w:val="en-US" w:eastAsia="en-US" w:bidi="en-US"/>
      </w:rPr>
    </w:lvl>
    <w:lvl w:ilvl="4">
      <w:start w:val="0"/>
      <w:numFmt w:val="bullet"/>
      <w:lvlText w:val="•"/>
      <w:lvlJc w:val="left"/>
      <w:pPr>
        <w:ind w:left="3986" w:hanging="361"/>
      </w:pPr>
      <w:rPr>
        <w:rFonts w:hint="default"/>
        <w:lang w:val="en-US" w:eastAsia="en-US" w:bidi="en-US"/>
      </w:rPr>
    </w:lvl>
    <w:lvl w:ilvl="5">
      <w:start w:val="0"/>
      <w:numFmt w:val="bullet"/>
      <w:lvlText w:val="•"/>
      <w:lvlJc w:val="left"/>
      <w:pPr>
        <w:ind w:left="4962" w:hanging="361"/>
      </w:pPr>
      <w:rPr>
        <w:rFonts w:hint="default"/>
        <w:lang w:val="en-US" w:eastAsia="en-US" w:bidi="en-US"/>
      </w:rPr>
    </w:lvl>
    <w:lvl w:ilvl="6">
      <w:start w:val="0"/>
      <w:numFmt w:val="bullet"/>
      <w:lvlText w:val="•"/>
      <w:lvlJc w:val="left"/>
      <w:pPr>
        <w:ind w:left="5937" w:hanging="361"/>
      </w:pPr>
      <w:rPr>
        <w:rFonts w:hint="default"/>
        <w:lang w:val="en-US" w:eastAsia="en-US" w:bidi="en-US"/>
      </w:rPr>
    </w:lvl>
    <w:lvl w:ilvl="7">
      <w:start w:val="0"/>
      <w:numFmt w:val="bullet"/>
      <w:lvlText w:val="•"/>
      <w:lvlJc w:val="left"/>
      <w:pPr>
        <w:ind w:left="6913" w:hanging="361"/>
      </w:pPr>
      <w:rPr>
        <w:rFonts w:hint="default"/>
        <w:lang w:val="en-US" w:eastAsia="en-US" w:bidi="en-US"/>
      </w:rPr>
    </w:lvl>
    <w:lvl w:ilvl="8">
      <w:start w:val="0"/>
      <w:numFmt w:val="bullet"/>
      <w:lvlText w:val="•"/>
      <w:lvlJc w:val="left"/>
      <w:pPr>
        <w:ind w:left="7888" w:hanging="361"/>
      </w:pPr>
      <w:rPr>
        <w:rFonts w:hint="default"/>
        <w:lang w:val="en-US" w:eastAsia="en-US" w:bidi="en-US"/>
      </w:rPr>
    </w:lvl>
  </w:abstractNum>
  <w:abstractNum w:abstractNumId="14">
    <w:multiLevelType w:val="hybridMultilevel"/>
    <w:lvl w:ilvl="0">
      <w:start w:val="4"/>
      <w:numFmt w:val="decimal"/>
      <w:lvlText w:val="%1"/>
      <w:lvlJc w:val="left"/>
      <w:pPr>
        <w:ind w:left="824" w:hanging="484"/>
        <w:jc w:val="left"/>
      </w:pPr>
      <w:rPr>
        <w:rFonts w:hint="default"/>
        <w:lang w:val="en-US" w:eastAsia="en-US" w:bidi="en-US"/>
      </w:rPr>
    </w:lvl>
    <w:lvl w:ilvl="1">
      <w:start w:val="5"/>
      <w:numFmt w:val="decimal"/>
      <w:lvlText w:val="%1.%2"/>
      <w:lvlJc w:val="left"/>
      <w:pPr>
        <w:ind w:left="824" w:hanging="484"/>
        <w:jc w:val="left"/>
      </w:pPr>
      <w:rPr>
        <w:rFonts w:hint="default" w:ascii="Times New Roman" w:hAnsi="Times New Roman" w:eastAsia="Times New Roman" w:cs="Times New Roman"/>
        <w:b/>
        <w:bCs/>
        <w:spacing w:val="-4"/>
        <w:w w:val="100"/>
        <w:sz w:val="32"/>
        <w:szCs w:val="32"/>
        <w:lang w:val="en-US" w:eastAsia="en-US" w:bidi="en-US"/>
      </w:rPr>
    </w:lvl>
    <w:lvl w:ilvl="2">
      <w:start w:val="1"/>
      <w:numFmt w:val="decimal"/>
      <w:lvlText w:val="%1.%2.%3"/>
      <w:lvlJc w:val="left"/>
      <w:pPr>
        <w:ind w:left="882" w:hanging="542"/>
        <w:jc w:val="left"/>
      </w:pPr>
      <w:rPr>
        <w:rFonts w:hint="default" w:ascii="Times New Roman" w:hAnsi="Times New Roman" w:eastAsia="Times New Roman" w:cs="Times New Roman"/>
        <w:b/>
        <w:bCs/>
        <w:w w:val="100"/>
        <w:sz w:val="24"/>
        <w:szCs w:val="24"/>
        <w:lang w:val="en-US" w:eastAsia="en-US" w:bidi="en-US"/>
      </w:rPr>
    </w:lvl>
    <w:lvl w:ilvl="3">
      <w:start w:val="0"/>
      <w:numFmt w:val="bullet"/>
      <w:lvlText w:val="•"/>
      <w:lvlJc w:val="left"/>
      <w:pPr>
        <w:ind w:left="2871" w:hanging="542"/>
      </w:pPr>
      <w:rPr>
        <w:rFonts w:hint="default"/>
        <w:lang w:val="en-US" w:eastAsia="en-US" w:bidi="en-US"/>
      </w:rPr>
    </w:lvl>
    <w:lvl w:ilvl="4">
      <w:start w:val="0"/>
      <w:numFmt w:val="bullet"/>
      <w:lvlText w:val="•"/>
      <w:lvlJc w:val="left"/>
      <w:pPr>
        <w:ind w:left="3866" w:hanging="542"/>
      </w:pPr>
      <w:rPr>
        <w:rFonts w:hint="default"/>
        <w:lang w:val="en-US" w:eastAsia="en-US" w:bidi="en-US"/>
      </w:rPr>
    </w:lvl>
    <w:lvl w:ilvl="5">
      <w:start w:val="0"/>
      <w:numFmt w:val="bullet"/>
      <w:lvlText w:val="•"/>
      <w:lvlJc w:val="left"/>
      <w:pPr>
        <w:ind w:left="4862" w:hanging="542"/>
      </w:pPr>
      <w:rPr>
        <w:rFonts w:hint="default"/>
        <w:lang w:val="en-US" w:eastAsia="en-US" w:bidi="en-US"/>
      </w:rPr>
    </w:lvl>
    <w:lvl w:ilvl="6">
      <w:start w:val="0"/>
      <w:numFmt w:val="bullet"/>
      <w:lvlText w:val="•"/>
      <w:lvlJc w:val="left"/>
      <w:pPr>
        <w:ind w:left="5857" w:hanging="542"/>
      </w:pPr>
      <w:rPr>
        <w:rFonts w:hint="default"/>
        <w:lang w:val="en-US" w:eastAsia="en-US" w:bidi="en-US"/>
      </w:rPr>
    </w:lvl>
    <w:lvl w:ilvl="7">
      <w:start w:val="0"/>
      <w:numFmt w:val="bullet"/>
      <w:lvlText w:val="•"/>
      <w:lvlJc w:val="left"/>
      <w:pPr>
        <w:ind w:left="6853" w:hanging="542"/>
      </w:pPr>
      <w:rPr>
        <w:rFonts w:hint="default"/>
        <w:lang w:val="en-US" w:eastAsia="en-US" w:bidi="en-US"/>
      </w:rPr>
    </w:lvl>
    <w:lvl w:ilvl="8">
      <w:start w:val="0"/>
      <w:numFmt w:val="bullet"/>
      <w:lvlText w:val="•"/>
      <w:lvlJc w:val="left"/>
      <w:pPr>
        <w:ind w:left="7848" w:hanging="542"/>
      </w:pPr>
      <w:rPr>
        <w:rFonts w:hint="default"/>
        <w:lang w:val="en-US" w:eastAsia="en-US" w:bidi="en-US"/>
      </w:rPr>
    </w:lvl>
  </w:abstractNum>
  <w:abstractNum w:abstractNumId="13">
    <w:multiLevelType w:val="hybridMultilevel"/>
    <w:lvl w:ilvl="0">
      <w:start w:val="4"/>
      <w:numFmt w:val="decimal"/>
      <w:lvlText w:val="%1"/>
      <w:lvlJc w:val="left"/>
      <w:pPr>
        <w:ind w:left="762" w:hanging="423"/>
        <w:jc w:val="left"/>
      </w:pPr>
      <w:rPr>
        <w:rFonts w:hint="default"/>
        <w:lang w:val="en-US" w:eastAsia="en-US" w:bidi="en-US"/>
      </w:rPr>
    </w:lvl>
    <w:lvl w:ilvl="1">
      <w:start w:val="1"/>
      <w:numFmt w:val="decimal"/>
      <w:lvlText w:val="%1.%2"/>
      <w:lvlJc w:val="left"/>
      <w:pPr>
        <w:ind w:left="762" w:hanging="423"/>
        <w:jc w:val="left"/>
      </w:pPr>
      <w:rPr>
        <w:rFonts w:hint="default"/>
        <w:b/>
        <w:bCs/>
        <w:w w:val="99"/>
        <w:lang w:val="en-US" w:eastAsia="en-US" w:bidi="en-US"/>
      </w:rPr>
    </w:lvl>
    <w:lvl w:ilvl="2">
      <w:start w:val="1"/>
      <w:numFmt w:val="decimal"/>
      <w:lvlText w:val="%1.%2.%3"/>
      <w:lvlJc w:val="left"/>
      <w:pPr>
        <w:ind w:left="882" w:hanging="542"/>
        <w:jc w:val="left"/>
      </w:pPr>
      <w:rPr>
        <w:rFonts w:hint="default" w:ascii="Times New Roman" w:hAnsi="Times New Roman" w:eastAsia="Times New Roman" w:cs="Times New Roman"/>
        <w:b/>
        <w:bCs/>
        <w:w w:val="100"/>
        <w:sz w:val="24"/>
        <w:szCs w:val="24"/>
        <w:lang w:val="en-US" w:eastAsia="en-US" w:bidi="en-US"/>
      </w:rPr>
    </w:lvl>
    <w:lvl w:ilvl="3">
      <w:start w:val="0"/>
      <w:numFmt w:val="bullet"/>
      <w:lvlText w:val="•"/>
      <w:lvlJc w:val="left"/>
      <w:pPr>
        <w:ind w:left="2871" w:hanging="542"/>
      </w:pPr>
      <w:rPr>
        <w:rFonts w:hint="default"/>
        <w:lang w:val="en-US" w:eastAsia="en-US" w:bidi="en-US"/>
      </w:rPr>
    </w:lvl>
    <w:lvl w:ilvl="4">
      <w:start w:val="0"/>
      <w:numFmt w:val="bullet"/>
      <w:lvlText w:val="•"/>
      <w:lvlJc w:val="left"/>
      <w:pPr>
        <w:ind w:left="3866" w:hanging="542"/>
      </w:pPr>
      <w:rPr>
        <w:rFonts w:hint="default"/>
        <w:lang w:val="en-US" w:eastAsia="en-US" w:bidi="en-US"/>
      </w:rPr>
    </w:lvl>
    <w:lvl w:ilvl="5">
      <w:start w:val="0"/>
      <w:numFmt w:val="bullet"/>
      <w:lvlText w:val="•"/>
      <w:lvlJc w:val="left"/>
      <w:pPr>
        <w:ind w:left="4862" w:hanging="542"/>
      </w:pPr>
      <w:rPr>
        <w:rFonts w:hint="default"/>
        <w:lang w:val="en-US" w:eastAsia="en-US" w:bidi="en-US"/>
      </w:rPr>
    </w:lvl>
    <w:lvl w:ilvl="6">
      <w:start w:val="0"/>
      <w:numFmt w:val="bullet"/>
      <w:lvlText w:val="•"/>
      <w:lvlJc w:val="left"/>
      <w:pPr>
        <w:ind w:left="5857" w:hanging="542"/>
      </w:pPr>
      <w:rPr>
        <w:rFonts w:hint="default"/>
        <w:lang w:val="en-US" w:eastAsia="en-US" w:bidi="en-US"/>
      </w:rPr>
    </w:lvl>
    <w:lvl w:ilvl="7">
      <w:start w:val="0"/>
      <w:numFmt w:val="bullet"/>
      <w:lvlText w:val="•"/>
      <w:lvlJc w:val="left"/>
      <w:pPr>
        <w:ind w:left="6853" w:hanging="542"/>
      </w:pPr>
      <w:rPr>
        <w:rFonts w:hint="default"/>
        <w:lang w:val="en-US" w:eastAsia="en-US" w:bidi="en-US"/>
      </w:rPr>
    </w:lvl>
    <w:lvl w:ilvl="8">
      <w:start w:val="0"/>
      <w:numFmt w:val="bullet"/>
      <w:lvlText w:val="•"/>
      <w:lvlJc w:val="left"/>
      <w:pPr>
        <w:ind w:left="7848" w:hanging="542"/>
      </w:pPr>
      <w:rPr>
        <w:rFonts w:hint="default"/>
        <w:lang w:val="en-US" w:eastAsia="en-US" w:bidi="en-US"/>
      </w:rPr>
    </w:lvl>
  </w:abstractNum>
  <w:abstractNum w:abstractNumId="12">
    <w:multiLevelType w:val="hybridMultilevel"/>
    <w:lvl w:ilvl="0">
      <w:start w:val="3"/>
      <w:numFmt w:val="decimal"/>
      <w:lvlText w:val="%1"/>
      <w:lvlJc w:val="left"/>
      <w:pPr>
        <w:ind w:left="973" w:hanging="634"/>
        <w:jc w:val="left"/>
      </w:pPr>
      <w:rPr>
        <w:rFonts w:hint="default"/>
        <w:lang w:val="en-US" w:eastAsia="en-US" w:bidi="en-US"/>
      </w:rPr>
    </w:lvl>
    <w:lvl w:ilvl="1">
      <w:start w:val="8"/>
      <w:numFmt w:val="decimal"/>
      <w:lvlText w:val="%1.%2"/>
      <w:lvlJc w:val="left"/>
      <w:pPr>
        <w:ind w:left="973" w:hanging="634"/>
        <w:jc w:val="left"/>
      </w:pPr>
      <w:rPr>
        <w:rFonts w:hint="default"/>
        <w:lang w:val="en-US" w:eastAsia="en-US" w:bidi="en-US"/>
      </w:rPr>
    </w:lvl>
    <w:lvl w:ilvl="2">
      <w:start w:val="1"/>
      <w:numFmt w:val="decimal"/>
      <w:lvlText w:val="%1.%2.%3"/>
      <w:lvlJc w:val="left"/>
      <w:pPr>
        <w:ind w:left="973" w:hanging="634"/>
        <w:jc w:val="left"/>
      </w:pPr>
      <w:rPr>
        <w:rFonts w:hint="default" w:ascii="Times New Roman" w:hAnsi="Times New Roman" w:eastAsia="Times New Roman" w:cs="Times New Roman"/>
        <w:b/>
        <w:bCs/>
        <w:w w:val="99"/>
        <w:sz w:val="28"/>
        <w:szCs w:val="28"/>
        <w:lang w:val="en-US" w:eastAsia="en-US" w:bidi="en-US"/>
      </w:rPr>
    </w:lvl>
    <w:lvl w:ilvl="3">
      <w:start w:val="0"/>
      <w:numFmt w:val="bullet"/>
      <w:lvlText w:val="•"/>
      <w:lvlJc w:val="left"/>
      <w:pPr>
        <w:ind w:left="3638" w:hanging="634"/>
      </w:pPr>
      <w:rPr>
        <w:rFonts w:hint="default"/>
        <w:lang w:val="en-US" w:eastAsia="en-US" w:bidi="en-US"/>
      </w:rPr>
    </w:lvl>
    <w:lvl w:ilvl="4">
      <w:start w:val="0"/>
      <w:numFmt w:val="bullet"/>
      <w:lvlText w:val="•"/>
      <w:lvlJc w:val="left"/>
      <w:pPr>
        <w:ind w:left="4524" w:hanging="634"/>
      </w:pPr>
      <w:rPr>
        <w:rFonts w:hint="default"/>
        <w:lang w:val="en-US" w:eastAsia="en-US" w:bidi="en-US"/>
      </w:rPr>
    </w:lvl>
    <w:lvl w:ilvl="5">
      <w:start w:val="0"/>
      <w:numFmt w:val="bullet"/>
      <w:lvlText w:val="•"/>
      <w:lvlJc w:val="left"/>
      <w:pPr>
        <w:ind w:left="5410" w:hanging="634"/>
      </w:pPr>
      <w:rPr>
        <w:rFonts w:hint="default"/>
        <w:lang w:val="en-US" w:eastAsia="en-US" w:bidi="en-US"/>
      </w:rPr>
    </w:lvl>
    <w:lvl w:ilvl="6">
      <w:start w:val="0"/>
      <w:numFmt w:val="bullet"/>
      <w:lvlText w:val="•"/>
      <w:lvlJc w:val="left"/>
      <w:pPr>
        <w:ind w:left="6296" w:hanging="634"/>
      </w:pPr>
      <w:rPr>
        <w:rFonts w:hint="default"/>
        <w:lang w:val="en-US" w:eastAsia="en-US" w:bidi="en-US"/>
      </w:rPr>
    </w:lvl>
    <w:lvl w:ilvl="7">
      <w:start w:val="0"/>
      <w:numFmt w:val="bullet"/>
      <w:lvlText w:val="•"/>
      <w:lvlJc w:val="left"/>
      <w:pPr>
        <w:ind w:left="7182" w:hanging="634"/>
      </w:pPr>
      <w:rPr>
        <w:rFonts w:hint="default"/>
        <w:lang w:val="en-US" w:eastAsia="en-US" w:bidi="en-US"/>
      </w:rPr>
    </w:lvl>
    <w:lvl w:ilvl="8">
      <w:start w:val="0"/>
      <w:numFmt w:val="bullet"/>
      <w:lvlText w:val="•"/>
      <w:lvlJc w:val="left"/>
      <w:pPr>
        <w:ind w:left="8068" w:hanging="634"/>
      </w:pPr>
      <w:rPr>
        <w:rFonts w:hint="default"/>
        <w:lang w:val="en-US" w:eastAsia="en-US" w:bidi="en-US"/>
      </w:rPr>
    </w:lvl>
  </w:abstractNum>
  <w:abstractNum w:abstractNumId="11">
    <w:multiLevelType w:val="hybridMultilevel"/>
    <w:lvl w:ilvl="0">
      <w:start w:val="0"/>
      <w:numFmt w:val="bullet"/>
      <w:lvlText w:val=""/>
      <w:lvlJc w:val="left"/>
      <w:pPr>
        <w:ind w:left="1061" w:hanging="361"/>
      </w:pPr>
      <w:rPr>
        <w:rFonts w:hint="default" w:ascii="Wingdings" w:hAnsi="Wingdings" w:eastAsia="Wingdings" w:cs="Wingdings"/>
        <w:w w:val="99"/>
        <w:sz w:val="28"/>
        <w:szCs w:val="28"/>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0">
    <w:multiLevelType w:val="hybridMultilevel"/>
    <w:lvl w:ilvl="0">
      <w:start w:val="0"/>
      <w:numFmt w:val="bullet"/>
      <w:lvlText w:val=""/>
      <w:lvlJc w:val="left"/>
      <w:pPr>
        <w:ind w:left="1421"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2262" w:hanging="360"/>
      </w:pPr>
      <w:rPr>
        <w:rFonts w:hint="default"/>
        <w:lang w:val="en-US" w:eastAsia="en-US" w:bidi="en-US"/>
      </w:rPr>
    </w:lvl>
    <w:lvl w:ilvl="2">
      <w:start w:val="0"/>
      <w:numFmt w:val="bullet"/>
      <w:lvlText w:val="•"/>
      <w:lvlJc w:val="left"/>
      <w:pPr>
        <w:ind w:left="3104" w:hanging="360"/>
      </w:pPr>
      <w:rPr>
        <w:rFonts w:hint="default"/>
        <w:lang w:val="en-US" w:eastAsia="en-US" w:bidi="en-US"/>
      </w:rPr>
    </w:lvl>
    <w:lvl w:ilvl="3">
      <w:start w:val="0"/>
      <w:numFmt w:val="bullet"/>
      <w:lvlText w:val="•"/>
      <w:lvlJc w:val="left"/>
      <w:pPr>
        <w:ind w:left="3946" w:hanging="360"/>
      </w:pPr>
      <w:rPr>
        <w:rFonts w:hint="default"/>
        <w:lang w:val="en-US" w:eastAsia="en-US" w:bidi="en-US"/>
      </w:rPr>
    </w:lvl>
    <w:lvl w:ilvl="4">
      <w:start w:val="0"/>
      <w:numFmt w:val="bullet"/>
      <w:lvlText w:val="•"/>
      <w:lvlJc w:val="left"/>
      <w:pPr>
        <w:ind w:left="4788" w:hanging="360"/>
      </w:pPr>
      <w:rPr>
        <w:rFonts w:hint="default"/>
        <w:lang w:val="en-US" w:eastAsia="en-US" w:bidi="en-US"/>
      </w:rPr>
    </w:lvl>
    <w:lvl w:ilvl="5">
      <w:start w:val="0"/>
      <w:numFmt w:val="bullet"/>
      <w:lvlText w:val="•"/>
      <w:lvlJc w:val="left"/>
      <w:pPr>
        <w:ind w:left="5630" w:hanging="360"/>
      </w:pPr>
      <w:rPr>
        <w:rFonts w:hint="default"/>
        <w:lang w:val="en-US" w:eastAsia="en-US" w:bidi="en-US"/>
      </w:rPr>
    </w:lvl>
    <w:lvl w:ilvl="6">
      <w:start w:val="0"/>
      <w:numFmt w:val="bullet"/>
      <w:lvlText w:val="•"/>
      <w:lvlJc w:val="left"/>
      <w:pPr>
        <w:ind w:left="6472" w:hanging="360"/>
      </w:pPr>
      <w:rPr>
        <w:rFonts w:hint="default"/>
        <w:lang w:val="en-US" w:eastAsia="en-US" w:bidi="en-US"/>
      </w:rPr>
    </w:lvl>
    <w:lvl w:ilvl="7">
      <w:start w:val="0"/>
      <w:numFmt w:val="bullet"/>
      <w:lvlText w:val="•"/>
      <w:lvlJc w:val="left"/>
      <w:pPr>
        <w:ind w:left="7314" w:hanging="360"/>
      </w:pPr>
      <w:rPr>
        <w:rFonts w:hint="default"/>
        <w:lang w:val="en-US" w:eastAsia="en-US" w:bidi="en-US"/>
      </w:rPr>
    </w:lvl>
    <w:lvl w:ilvl="8">
      <w:start w:val="0"/>
      <w:numFmt w:val="bullet"/>
      <w:lvlText w:val="•"/>
      <w:lvlJc w:val="left"/>
      <w:pPr>
        <w:ind w:left="8156" w:hanging="360"/>
      </w:pPr>
      <w:rPr>
        <w:rFonts w:hint="default"/>
        <w:lang w:val="en-US" w:eastAsia="en-US" w:bidi="en-US"/>
      </w:rPr>
    </w:lvl>
  </w:abstractNum>
  <w:abstractNum w:abstractNumId="9">
    <w:multiLevelType w:val="hybridMultilevel"/>
    <w:lvl w:ilvl="0">
      <w:start w:val="0"/>
      <w:numFmt w:val="bullet"/>
      <w:lvlText w:val=""/>
      <w:lvlJc w:val="left"/>
      <w:pPr>
        <w:ind w:left="1061" w:hanging="361"/>
      </w:pPr>
      <w:rPr>
        <w:rFonts w:hint="default" w:ascii="Wingdings" w:hAnsi="Wingdings" w:eastAsia="Wingdings" w:cs="Wingdings"/>
        <w:w w:val="100"/>
        <w:sz w:val="22"/>
        <w:szCs w:val="22"/>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8">
    <w:multiLevelType w:val="hybridMultilevel"/>
    <w:lvl w:ilvl="0">
      <w:start w:val="3"/>
      <w:numFmt w:val="decimal"/>
      <w:lvlText w:val="%1"/>
      <w:lvlJc w:val="left"/>
      <w:pPr>
        <w:ind w:left="824" w:hanging="484"/>
        <w:jc w:val="left"/>
      </w:pPr>
      <w:rPr>
        <w:rFonts w:hint="default"/>
        <w:lang w:val="en-US" w:eastAsia="en-US" w:bidi="en-US"/>
      </w:rPr>
    </w:lvl>
    <w:lvl w:ilvl="1">
      <w:start w:val="1"/>
      <w:numFmt w:val="decimal"/>
      <w:lvlText w:val="%1.%2"/>
      <w:lvlJc w:val="left"/>
      <w:pPr>
        <w:ind w:left="824" w:hanging="484"/>
        <w:jc w:val="left"/>
      </w:pPr>
      <w:rPr>
        <w:rFonts w:hint="default" w:ascii="Times New Roman" w:hAnsi="Times New Roman" w:eastAsia="Times New Roman" w:cs="Times New Roman"/>
        <w:b/>
        <w:bCs/>
        <w:spacing w:val="-4"/>
        <w:w w:val="100"/>
        <w:sz w:val="32"/>
        <w:szCs w:val="32"/>
        <w:lang w:val="en-US" w:eastAsia="en-US" w:bidi="en-US"/>
      </w:rPr>
    </w:lvl>
    <w:lvl w:ilvl="2">
      <w:start w:val="0"/>
      <w:numFmt w:val="bullet"/>
      <w:lvlText w:val=""/>
      <w:lvlJc w:val="left"/>
      <w:pPr>
        <w:ind w:left="1061" w:hanging="361"/>
      </w:pPr>
      <w:rPr>
        <w:rFonts w:hint="default" w:ascii="Symbol" w:hAnsi="Symbol" w:eastAsia="Symbol" w:cs="Symbol"/>
        <w:w w:val="100"/>
        <w:sz w:val="22"/>
        <w:szCs w:val="22"/>
        <w:lang w:val="en-US" w:eastAsia="en-US" w:bidi="en-US"/>
      </w:rPr>
    </w:lvl>
    <w:lvl w:ilvl="3">
      <w:start w:val="0"/>
      <w:numFmt w:val="bullet"/>
      <w:lvlText w:val="•"/>
      <w:lvlJc w:val="left"/>
      <w:pPr>
        <w:ind w:left="3011" w:hanging="361"/>
      </w:pPr>
      <w:rPr>
        <w:rFonts w:hint="default"/>
        <w:lang w:val="en-US" w:eastAsia="en-US" w:bidi="en-US"/>
      </w:rPr>
    </w:lvl>
    <w:lvl w:ilvl="4">
      <w:start w:val="0"/>
      <w:numFmt w:val="bullet"/>
      <w:lvlText w:val="•"/>
      <w:lvlJc w:val="left"/>
      <w:pPr>
        <w:ind w:left="3986" w:hanging="361"/>
      </w:pPr>
      <w:rPr>
        <w:rFonts w:hint="default"/>
        <w:lang w:val="en-US" w:eastAsia="en-US" w:bidi="en-US"/>
      </w:rPr>
    </w:lvl>
    <w:lvl w:ilvl="5">
      <w:start w:val="0"/>
      <w:numFmt w:val="bullet"/>
      <w:lvlText w:val="•"/>
      <w:lvlJc w:val="left"/>
      <w:pPr>
        <w:ind w:left="4962" w:hanging="361"/>
      </w:pPr>
      <w:rPr>
        <w:rFonts w:hint="default"/>
        <w:lang w:val="en-US" w:eastAsia="en-US" w:bidi="en-US"/>
      </w:rPr>
    </w:lvl>
    <w:lvl w:ilvl="6">
      <w:start w:val="0"/>
      <w:numFmt w:val="bullet"/>
      <w:lvlText w:val="•"/>
      <w:lvlJc w:val="left"/>
      <w:pPr>
        <w:ind w:left="5937" w:hanging="361"/>
      </w:pPr>
      <w:rPr>
        <w:rFonts w:hint="default"/>
        <w:lang w:val="en-US" w:eastAsia="en-US" w:bidi="en-US"/>
      </w:rPr>
    </w:lvl>
    <w:lvl w:ilvl="7">
      <w:start w:val="0"/>
      <w:numFmt w:val="bullet"/>
      <w:lvlText w:val="•"/>
      <w:lvlJc w:val="left"/>
      <w:pPr>
        <w:ind w:left="6913" w:hanging="361"/>
      </w:pPr>
      <w:rPr>
        <w:rFonts w:hint="default"/>
        <w:lang w:val="en-US" w:eastAsia="en-US" w:bidi="en-US"/>
      </w:rPr>
    </w:lvl>
    <w:lvl w:ilvl="8">
      <w:start w:val="0"/>
      <w:numFmt w:val="bullet"/>
      <w:lvlText w:val="•"/>
      <w:lvlJc w:val="left"/>
      <w:pPr>
        <w:ind w:left="7888" w:hanging="361"/>
      </w:pPr>
      <w:rPr>
        <w:rFonts w:hint="default"/>
        <w:lang w:val="en-US" w:eastAsia="en-US" w:bidi="en-US"/>
      </w:rPr>
    </w:lvl>
  </w:abstractNum>
  <w:abstractNum w:abstractNumId="7">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6">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5">
    <w:multiLevelType w:val="hybridMultilevel"/>
    <w:lvl w:ilvl="0">
      <w:start w:val="0"/>
      <w:numFmt w:val="bullet"/>
      <w:lvlText w:val=""/>
      <w:lvlJc w:val="left"/>
      <w:pPr>
        <w:ind w:left="700" w:hanging="360"/>
      </w:pPr>
      <w:rPr>
        <w:rFonts w:hint="default" w:ascii="Symbol" w:hAnsi="Symbol" w:eastAsia="Symbol" w:cs="Symbol"/>
        <w:w w:val="100"/>
        <w:sz w:val="24"/>
        <w:szCs w:val="24"/>
        <w:lang w:val="en-US" w:eastAsia="en-US" w:bidi="en-US"/>
      </w:rPr>
    </w:lvl>
    <w:lvl w:ilvl="1">
      <w:start w:val="0"/>
      <w:numFmt w:val="bullet"/>
      <w:lvlText w:val="•"/>
      <w:lvlJc w:val="left"/>
      <w:pPr>
        <w:ind w:left="1614" w:hanging="360"/>
      </w:pPr>
      <w:rPr>
        <w:rFonts w:hint="default"/>
        <w:lang w:val="en-US" w:eastAsia="en-US" w:bidi="en-US"/>
      </w:rPr>
    </w:lvl>
    <w:lvl w:ilvl="2">
      <w:start w:val="0"/>
      <w:numFmt w:val="bullet"/>
      <w:lvlText w:val="•"/>
      <w:lvlJc w:val="left"/>
      <w:pPr>
        <w:ind w:left="2528" w:hanging="360"/>
      </w:pPr>
      <w:rPr>
        <w:rFonts w:hint="default"/>
        <w:lang w:val="en-US" w:eastAsia="en-US" w:bidi="en-US"/>
      </w:rPr>
    </w:lvl>
    <w:lvl w:ilvl="3">
      <w:start w:val="0"/>
      <w:numFmt w:val="bullet"/>
      <w:lvlText w:val="•"/>
      <w:lvlJc w:val="left"/>
      <w:pPr>
        <w:ind w:left="3442" w:hanging="360"/>
      </w:pPr>
      <w:rPr>
        <w:rFonts w:hint="default"/>
        <w:lang w:val="en-US" w:eastAsia="en-US" w:bidi="en-US"/>
      </w:rPr>
    </w:lvl>
    <w:lvl w:ilvl="4">
      <w:start w:val="0"/>
      <w:numFmt w:val="bullet"/>
      <w:lvlText w:val="•"/>
      <w:lvlJc w:val="left"/>
      <w:pPr>
        <w:ind w:left="4356" w:hanging="360"/>
      </w:pPr>
      <w:rPr>
        <w:rFonts w:hint="default"/>
        <w:lang w:val="en-US" w:eastAsia="en-US" w:bidi="en-US"/>
      </w:rPr>
    </w:lvl>
    <w:lvl w:ilvl="5">
      <w:start w:val="0"/>
      <w:numFmt w:val="bullet"/>
      <w:lvlText w:val="•"/>
      <w:lvlJc w:val="left"/>
      <w:pPr>
        <w:ind w:left="5270" w:hanging="360"/>
      </w:pPr>
      <w:rPr>
        <w:rFonts w:hint="default"/>
        <w:lang w:val="en-US" w:eastAsia="en-US" w:bidi="en-US"/>
      </w:rPr>
    </w:lvl>
    <w:lvl w:ilvl="6">
      <w:start w:val="0"/>
      <w:numFmt w:val="bullet"/>
      <w:lvlText w:val="•"/>
      <w:lvlJc w:val="left"/>
      <w:pPr>
        <w:ind w:left="6184" w:hanging="360"/>
      </w:pPr>
      <w:rPr>
        <w:rFonts w:hint="default"/>
        <w:lang w:val="en-US" w:eastAsia="en-US" w:bidi="en-US"/>
      </w:rPr>
    </w:lvl>
    <w:lvl w:ilvl="7">
      <w:start w:val="0"/>
      <w:numFmt w:val="bullet"/>
      <w:lvlText w:val="•"/>
      <w:lvlJc w:val="left"/>
      <w:pPr>
        <w:ind w:left="7098" w:hanging="360"/>
      </w:pPr>
      <w:rPr>
        <w:rFonts w:hint="default"/>
        <w:lang w:val="en-US" w:eastAsia="en-US" w:bidi="en-US"/>
      </w:rPr>
    </w:lvl>
    <w:lvl w:ilvl="8">
      <w:start w:val="0"/>
      <w:numFmt w:val="bullet"/>
      <w:lvlText w:val="•"/>
      <w:lvlJc w:val="left"/>
      <w:pPr>
        <w:ind w:left="8012" w:hanging="360"/>
      </w:pPr>
      <w:rPr>
        <w:rFonts w:hint="default"/>
        <w:lang w:val="en-US" w:eastAsia="en-US" w:bidi="en-US"/>
      </w:rPr>
    </w:lvl>
  </w:abstractNum>
  <w:abstractNum w:abstractNumId="4">
    <w:multiLevelType w:val="hybridMultilevel"/>
    <w:lvl w:ilvl="0">
      <w:start w:val="1"/>
      <w:numFmt w:val="decimal"/>
      <w:lvlText w:val="%1."/>
      <w:lvlJc w:val="left"/>
      <w:pPr>
        <w:ind w:left="1061" w:hanging="361"/>
        <w:jc w:val="left"/>
      </w:pPr>
      <w:rPr>
        <w:rFonts w:hint="default" w:ascii="Times New Roman" w:hAnsi="Times New Roman" w:eastAsia="Times New Roman" w:cs="Times New Roman"/>
        <w:spacing w:val="-6"/>
        <w:w w:val="99"/>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3">
    <w:multiLevelType w:val="hybridMultilevel"/>
    <w:lvl w:ilvl="0">
      <w:start w:val="2"/>
      <w:numFmt w:val="decimal"/>
      <w:lvlText w:val="%1"/>
      <w:lvlJc w:val="left"/>
      <w:pPr>
        <w:ind w:left="824" w:hanging="484"/>
        <w:jc w:val="left"/>
      </w:pPr>
      <w:rPr>
        <w:rFonts w:hint="default"/>
        <w:lang w:val="en-US" w:eastAsia="en-US" w:bidi="en-US"/>
      </w:rPr>
    </w:lvl>
    <w:lvl w:ilvl="1">
      <w:start w:val="1"/>
      <w:numFmt w:val="decimal"/>
      <w:lvlText w:val="%1.%2"/>
      <w:lvlJc w:val="left"/>
      <w:pPr>
        <w:ind w:left="824" w:hanging="484"/>
        <w:jc w:val="left"/>
      </w:pPr>
      <w:rPr>
        <w:rFonts w:hint="default" w:ascii="Times New Roman" w:hAnsi="Times New Roman" w:eastAsia="Times New Roman" w:cs="Times New Roman"/>
        <w:b/>
        <w:bCs/>
        <w:spacing w:val="-4"/>
        <w:w w:val="100"/>
        <w:sz w:val="32"/>
        <w:szCs w:val="32"/>
        <w:lang w:val="en-US" w:eastAsia="en-US" w:bidi="en-US"/>
      </w:rPr>
    </w:lvl>
    <w:lvl w:ilvl="2">
      <w:start w:val="0"/>
      <w:numFmt w:val="bullet"/>
      <w:lvlText w:val=""/>
      <w:lvlJc w:val="left"/>
      <w:pPr>
        <w:ind w:left="1061" w:hanging="361"/>
      </w:pPr>
      <w:rPr>
        <w:rFonts w:hint="default" w:ascii="Symbol" w:hAnsi="Symbol" w:eastAsia="Symbol" w:cs="Symbol"/>
        <w:w w:val="100"/>
        <w:sz w:val="24"/>
        <w:szCs w:val="24"/>
        <w:lang w:val="en-US" w:eastAsia="en-US" w:bidi="en-US"/>
      </w:rPr>
    </w:lvl>
    <w:lvl w:ilvl="3">
      <w:start w:val="0"/>
      <w:numFmt w:val="bullet"/>
      <w:lvlText w:val="•"/>
      <w:lvlJc w:val="left"/>
      <w:pPr>
        <w:ind w:left="3011" w:hanging="361"/>
      </w:pPr>
      <w:rPr>
        <w:rFonts w:hint="default"/>
        <w:lang w:val="en-US" w:eastAsia="en-US" w:bidi="en-US"/>
      </w:rPr>
    </w:lvl>
    <w:lvl w:ilvl="4">
      <w:start w:val="0"/>
      <w:numFmt w:val="bullet"/>
      <w:lvlText w:val="•"/>
      <w:lvlJc w:val="left"/>
      <w:pPr>
        <w:ind w:left="3986" w:hanging="361"/>
      </w:pPr>
      <w:rPr>
        <w:rFonts w:hint="default"/>
        <w:lang w:val="en-US" w:eastAsia="en-US" w:bidi="en-US"/>
      </w:rPr>
    </w:lvl>
    <w:lvl w:ilvl="5">
      <w:start w:val="0"/>
      <w:numFmt w:val="bullet"/>
      <w:lvlText w:val="•"/>
      <w:lvlJc w:val="left"/>
      <w:pPr>
        <w:ind w:left="4962" w:hanging="361"/>
      </w:pPr>
      <w:rPr>
        <w:rFonts w:hint="default"/>
        <w:lang w:val="en-US" w:eastAsia="en-US" w:bidi="en-US"/>
      </w:rPr>
    </w:lvl>
    <w:lvl w:ilvl="6">
      <w:start w:val="0"/>
      <w:numFmt w:val="bullet"/>
      <w:lvlText w:val="•"/>
      <w:lvlJc w:val="left"/>
      <w:pPr>
        <w:ind w:left="5937" w:hanging="361"/>
      </w:pPr>
      <w:rPr>
        <w:rFonts w:hint="default"/>
        <w:lang w:val="en-US" w:eastAsia="en-US" w:bidi="en-US"/>
      </w:rPr>
    </w:lvl>
    <w:lvl w:ilvl="7">
      <w:start w:val="0"/>
      <w:numFmt w:val="bullet"/>
      <w:lvlText w:val="•"/>
      <w:lvlJc w:val="left"/>
      <w:pPr>
        <w:ind w:left="6913" w:hanging="361"/>
      </w:pPr>
      <w:rPr>
        <w:rFonts w:hint="default"/>
        <w:lang w:val="en-US" w:eastAsia="en-US" w:bidi="en-US"/>
      </w:rPr>
    </w:lvl>
    <w:lvl w:ilvl="8">
      <w:start w:val="0"/>
      <w:numFmt w:val="bullet"/>
      <w:lvlText w:val="•"/>
      <w:lvlJc w:val="left"/>
      <w:pPr>
        <w:ind w:left="7888" w:hanging="361"/>
      </w:pPr>
      <w:rPr>
        <w:rFonts w:hint="default"/>
        <w:lang w:val="en-US" w:eastAsia="en-US" w:bidi="en-US"/>
      </w:rPr>
    </w:lvl>
  </w:abstractNum>
  <w:abstractNum w:abstractNumId="2">
    <w:multiLevelType w:val="hybridMultilevel"/>
    <w:lvl w:ilvl="0">
      <w:start w:val="0"/>
      <w:numFmt w:val="bullet"/>
      <w:lvlText w:val=""/>
      <w:lvlJc w:val="left"/>
      <w:pPr>
        <w:ind w:left="1061" w:hanging="361"/>
      </w:pPr>
      <w:rPr>
        <w:rFonts w:hint="default" w:ascii="Symbol" w:hAnsi="Symbol" w:eastAsia="Symbol" w:cs="Symbol"/>
        <w:w w:val="100"/>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1">
    <w:multiLevelType w:val="hybridMultilevel"/>
    <w:lvl w:ilvl="0">
      <w:start w:val="0"/>
      <w:numFmt w:val="bullet"/>
      <w:lvlText w:val=""/>
      <w:lvlJc w:val="left"/>
      <w:pPr>
        <w:ind w:left="1061" w:hanging="361"/>
      </w:pPr>
      <w:rPr>
        <w:rFonts w:hint="default" w:ascii="Symbol" w:hAnsi="Symbol" w:eastAsia="Symbol" w:cs="Symbol"/>
        <w:w w:val="100"/>
        <w:sz w:val="24"/>
        <w:szCs w:val="24"/>
        <w:lang w:val="en-US" w:eastAsia="en-US" w:bidi="en-US"/>
      </w:rPr>
    </w:lvl>
    <w:lvl w:ilvl="1">
      <w:start w:val="0"/>
      <w:numFmt w:val="bullet"/>
      <w:lvlText w:val="•"/>
      <w:lvlJc w:val="left"/>
      <w:pPr>
        <w:ind w:left="1938" w:hanging="361"/>
      </w:pPr>
      <w:rPr>
        <w:rFonts w:hint="default"/>
        <w:lang w:val="en-US" w:eastAsia="en-US" w:bidi="en-US"/>
      </w:rPr>
    </w:lvl>
    <w:lvl w:ilvl="2">
      <w:start w:val="0"/>
      <w:numFmt w:val="bullet"/>
      <w:lvlText w:val="•"/>
      <w:lvlJc w:val="left"/>
      <w:pPr>
        <w:ind w:left="2816" w:hanging="361"/>
      </w:pPr>
      <w:rPr>
        <w:rFonts w:hint="default"/>
        <w:lang w:val="en-US" w:eastAsia="en-US" w:bidi="en-US"/>
      </w:rPr>
    </w:lvl>
    <w:lvl w:ilvl="3">
      <w:start w:val="0"/>
      <w:numFmt w:val="bullet"/>
      <w:lvlText w:val="•"/>
      <w:lvlJc w:val="left"/>
      <w:pPr>
        <w:ind w:left="3694" w:hanging="361"/>
      </w:pPr>
      <w:rPr>
        <w:rFonts w:hint="default"/>
        <w:lang w:val="en-US" w:eastAsia="en-US" w:bidi="en-US"/>
      </w:rPr>
    </w:lvl>
    <w:lvl w:ilvl="4">
      <w:start w:val="0"/>
      <w:numFmt w:val="bullet"/>
      <w:lvlText w:val="•"/>
      <w:lvlJc w:val="left"/>
      <w:pPr>
        <w:ind w:left="4572" w:hanging="361"/>
      </w:pPr>
      <w:rPr>
        <w:rFonts w:hint="default"/>
        <w:lang w:val="en-US" w:eastAsia="en-US" w:bidi="en-US"/>
      </w:rPr>
    </w:lvl>
    <w:lvl w:ilvl="5">
      <w:start w:val="0"/>
      <w:numFmt w:val="bullet"/>
      <w:lvlText w:val="•"/>
      <w:lvlJc w:val="left"/>
      <w:pPr>
        <w:ind w:left="5450" w:hanging="361"/>
      </w:pPr>
      <w:rPr>
        <w:rFonts w:hint="default"/>
        <w:lang w:val="en-US" w:eastAsia="en-US" w:bidi="en-US"/>
      </w:rPr>
    </w:lvl>
    <w:lvl w:ilvl="6">
      <w:start w:val="0"/>
      <w:numFmt w:val="bullet"/>
      <w:lvlText w:val="•"/>
      <w:lvlJc w:val="left"/>
      <w:pPr>
        <w:ind w:left="6328" w:hanging="361"/>
      </w:pPr>
      <w:rPr>
        <w:rFonts w:hint="default"/>
        <w:lang w:val="en-US" w:eastAsia="en-US" w:bidi="en-US"/>
      </w:rPr>
    </w:lvl>
    <w:lvl w:ilvl="7">
      <w:start w:val="0"/>
      <w:numFmt w:val="bullet"/>
      <w:lvlText w:val="•"/>
      <w:lvlJc w:val="left"/>
      <w:pPr>
        <w:ind w:left="7206" w:hanging="361"/>
      </w:pPr>
      <w:rPr>
        <w:rFonts w:hint="default"/>
        <w:lang w:val="en-US" w:eastAsia="en-US" w:bidi="en-US"/>
      </w:rPr>
    </w:lvl>
    <w:lvl w:ilvl="8">
      <w:start w:val="0"/>
      <w:numFmt w:val="bullet"/>
      <w:lvlText w:val="•"/>
      <w:lvlJc w:val="left"/>
      <w:pPr>
        <w:ind w:left="8084" w:hanging="361"/>
      </w:pPr>
      <w:rPr>
        <w:rFonts w:hint="default"/>
        <w:lang w:val="en-US" w:eastAsia="en-US" w:bidi="en-US"/>
      </w:rPr>
    </w:lvl>
  </w:abstractNum>
  <w:abstractNum w:abstractNumId="0">
    <w:multiLevelType w:val="hybridMultilevel"/>
    <w:lvl w:ilvl="0">
      <w:start w:val="1"/>
      <w:numFmt w:val="decimal"/>
      <w:lvlText w:val="%1"/>
      <w:lvlJc w:val="left"/>
      <w:pPr>
        <w:ind w:left="824" w:hanging="484"/>
        <w:jc w:val="left"/>
      </w:pPr>
      <w:rPr>
        <w:rFonts w:hint="default"/>
        <w:lang w:val="en-US" w:eastAsia="en-US" w:bidi="en-US"/>
      </w:rPr>
    </w:lvl>
    <w:lvl w:ilvl="1">
      <w:start w:val="1"/>
      <w:numFmt w:val="decimal"/>
      <w:lvlText w:val="%1.%2"/>
      <w:lvlJc w:val="left"/>
      <w:pPr>
        <w:ind w:left="824" w:hanging="484"/>
        <w:jc w:val="left"/>
      </w:pPr>
      <w:rPr>
        <w:rFonts w:hint="default" w:ascii="Times New Roman" w:hAnsi="Times New Roman" w:eastAsia="Times New Roman" w:cs="Times New Roman"/>
        <w:b/>
        <w:bCs/>
        <w:spacing w:val="-4"/>
        <w:w w:val="100"/>
        <w:sz w:val="32"/>
        <w:szCs w:val="32"/>
        <w:lang w:val="en-US" w:eastAsia="en-US" w:bidi="en-US"/>
      </w:rPr>
    </w:lvl>
    <w:lvl w:ilvl="2">
      <w:start w:val="1"/>
      <w:numFmt w:val="decimal"/>
      <w:lvlText w:val="%3."/>
      <w:lvlJc w:val="left"/>
      <w:pPr>
        <w:ind w:left="1061" w:hanging="361"/>
        <w:jc w:val="left"/>
      </w:pPr>
      <w:rPr>
        <w:rFonts w:hint="default" w:ascii="Times New Roman" w:hAnsi="Times New Roman" w:eastAsia="Times New Roman" w:cs="Times New Roman"/>
        <w:spacing w:val="-10"/>
        <w:w w:val="99"/>
        <w:sz w:val="24"/>
        <w:szCs w:val="24"/>
        <w:lang w:val="en-US" w:eastAsia="en-US" w:bidi="en-US"/>
      </w:rPr>
    </w:lvl>
    <w:lvl w:ilvl="3">
      <w:start w:val="0"/>
      <w:numFmt w:val="bullet"/>
      <w:lvlText w:val="•"/>
      <w:lvlJc w:val="left"/>
      <w:pPr>
        <w:ind w:left="3011" w:hanging="361"/>
      </w:pPr>
      <w:rPr>
        <w:rFonts w:hint="default"/>
        <w:lang w:val="en-US" w:eastAsia="en-US" w:bidi="en-US"/>
      </w:rPr>
    </w:lvl>
    <w:lvl w:ilvl="4">
      <w:start w:val="0"/>
      <w:numFmt w:val="bullet"/>
      <w:lvlText w:val="•"/>
      <w:lvlJc w:val="left"/>
      <w:pPr>
        <w:ind w:left="3986" w:hanging="361"/>
      </w:pPr>
      <w:rPr>
        <w:rFonts w:hint="default"/>
        <w:lang w:val="en-US" w:eastAsia="en-US" w:bidi="en-US"/>
      </w:rPr>
    </w:lvl>
    <w:lvl w:ilvl="5">
      <w:start w:val="0"/>
      <w:numFmt w:val="bullet"/>
      <w:lvlText w:val="•"/>
      <w:lvlJc w:val="left"/>
      <w:pPr>
        <w:ind w:left="4962" w:hanging="361"/>
      </w:pPr>
      <w:rPr>
        <w:rFonts w:hint="default"/>
        <w:lang w:val="en-US" w:eastAsia="en-US" w:bidi="en-US"/>
      </w:rPr>
    </w:lvl>
    <w:lvl w:ilvl="6">
      <w:start w:val="0"/>
      <w:numFmt w:val="bullet"/>
      <w:lvlText w:val="•"/>
      <w:lvlJc w:val="left"/>
      <w:pPr>
        <w:ind w:left="5937" w:hanging="361"/>
      </w:pPr>
      <w:rPr>
        <w:rFonts w:hint="default"/>
        <w:lang w:val="en-US" w:eastAsia="en-US" w:bidi="en-US"/>
      </w:rPr>
    </w:lvl>
    <w:lvl w:ilvl="7">
      <w:start w:val="0"/>
      <w:numFmt w:val="bullet"/>
      <w:lvlText w:val="•"/>
      <w:lvlJc w:val="left"/>
      <w:pPr>
        <w:ind w:left="6913" w:hanging="361"/>
      </w:pPr>
      <w:rPr>
        <w:rFonts w:hint="default"/>
        <w:lang w:val="en-US" w:eastAsia="en-US" w:bidi="en-US"/>
      </w:rPr>
    </w:lvl>
    <w:lvl w:ilvl="8">
      <w:start w:val="0"/>
      <w:numFmt w:val="bullet"/>
      <w:lvlText w:val="•"/>
      <w:lvlJc w:val="left"/>
      <w:pPr>
        <w:ind w:left="7888" w:hanging="361"/>
      </w:pPr>
      <w:rPr>
        <w:rFonts w:hint="default"/>
        <w:lang w:val="en-US" w:eastAsia="en-US" w:bidi="en-US"/>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left="824" w:hanging="485"/>
      <w:outlineLvl w:val="1"/>
    </w:pPr>
    <w:rPr>
      <w:rFonts w:ascii="Times New Roman" w:hAnsi="Times New Roman" w:eastAsia="Times New Roman" w:cs="Times New Roman"/>
      <w:b/>
      <w:bCs/>
      <w:sz w:val="32"/>
      <w:szCs w:val="32"/>
      <w:lang w:val="en-US" w:eastAsia="en-US" w:bidi="en-US"/>
    </w:rPr>
  </w:style>
  <w:style w:styleId="Heading2" w:type="paragraph">
    <w:name w:val="Heading 2"/>
    <w:basedOn w:val="Normal"/>
    <w:uiPriority w:val="1"/>
    <w:qFormat/>
    <w:pPr>
      <w:ind w:left="340"/>
      <w:outlineLvl w:val="2"/>
    </w:pPr>
    <w:rPr>
      <w:rFonts w:ascii="Times New Roman" w:hAnsi="Times New Roman" w:eastAsia="Times New Roman" w:cs="Times New Roman"/>
      <w:b/>
      <w:bCs/>
      <w:sz w:val="28"/>
      <w:szCs w:val="28"/>
      <w:lang w:val="en-US" w:eastAsia="en-US" w:bidi="en-US"/>
    </w:rPr>
  </w:style>
  <w:style w:styleId="Heading3" w:type="paragraph">
    <w:name w:val="Heading 3"/>
    <w:basedOn w:val="Normal"/>
    <w:uiPriority w:val="1"/>
    <w:qFormat/>
    <w:pPr>
      <w:ind w:left="340"/>
      <w:outlineLvl w:val="3"/>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ind w:left="1061" w:hanging="361"/>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spacing w:line="273" w:lineRule="exact"/>
      <w:ind w:left="110"/>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yperlink" Target="https://en.wikipedia.org/w/index.php?title=Bangladesh_Commerce_and_Investment_Limited&amp;amp;action=edit&amp;amp;redlink=1" TargetMode="External"/><Relationship Id="rId12" Type="http://schemas.openxmlformats.org/officeDocument/2006/relationships/hyperlink" Target="https://en.wikipedia.org/wiki/Bangladesh_Bank" TargetMode="External"/><Relationship Id="rId13" Type="http://schemas.openxmlformats.org/officeDocument/2006/relationships/footer" Target="footer5.xm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pn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png"/><Relationship Id="rId61" Type="http://schemas.openxmlformats.org/officeDocument/2006/relationships/image" Target="media/image50.pn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image" Target="media/image54.png"/><Relationship Id="rId66" Type="http://schemas.openxmlformats.org/officeDocument/2006/relationships/image" Target="media/image55.png"/><Relationship Id="rId67" Type="http://schemas.openxmlformats.org/officeDocument/2006/relationships/image" Target="media/image56.png"/><Relationship Id="rId68" Type="http://schemas.openxmlformats.org/officeDocument/2006/relationships/image" Target="media/image57.png"/><Relationship Id="rId69" Type="http://schemas.openxmlformats.org/officeDocument/2006/relationships/image" Target="media/image58.png"/><Relationship Id="rId70" Type="http://schemas.openxmlformats.org/officeDocument/2006/relationships/image" Target="media/image59.png"/><Relationship Id="rId71" Type="http://schemas.openxmlformats.org/officeDocument/2006/relationships/image" Target="media/image60.png"/><Relationship Id="rId72" Type="http://schemas.openxmlformats.org/officeDocument/2006/relationships/image" Target="media/image61.png"/><Relationship Id="rId73" Type="http://schemas.openxmlformats.org/officeDocument/2006/relationships/image" Target="media/image62.png"/><Relationship Id="rId74" Type="http://schemas.openxmlformats.org/officeDocument/2006/relationships/image" Target="media/image63.png"/><Relationship Id="rId75" Type="http://schemas.openxmlformats.org/officeDocument/2006/relationships/image" Target="media/image64.png"/><Relationship Id="rId76" Type="http://schemas.openxmlformats.org/officeDocument/2006/relationships/image" Target="media/image65.png"/><Relationship Id="rId77" Type="http://schemas.openxmlformats.org/officeDocument/2006/relationships/image" Target="media/image66.png"/><Relationship Id="rId78" Type="http://schemas.openxmlformats.org/officeDocument/2006/relationships/image" Target="media/image67.png"/><Relationship Id="rId79" Type="http://schemas.openxmlformats.org/officeDocument/2006/relationships/image" Target="media/image68.png"/><Relationship Id="rId80" Type="http://schemas.openxmlformats.org/officeDocument/2006/relationships/image" Target="media/image69.png"/><Relationship Id="rId81" Type="http://schemas.openxmlformats.org/officeDocument/2006/relationships/image" Target="media/image70.png"/><Relationship Id="rId82" Type="http://schemas.openxmlformats.org/officeDocument/2006/relationships/image" Target="media/image71.png"/><Relationship Id="rId83" Type="http://schemas.openxmlformats.org/officeDocument/2006/relationships/image" Target="media/image72.png"/><Relationship Id="rId84" Type="http://schemas.openxmlformats.org/officeDocument/2006/relationships/image" Target="media/image73.png"/><Relationship Id="rId85" Type="http://schemas.openxmlformats.org/officeDocument/2006/relationships/image" Target="media/image74.png"/><Relationship Id="rId86" Type="http://schemas.openxmlformats.org/officeDocument/2006/relationships/image" Target="media/image75.png"/><Relationship Id="rId87" Type="http://schemas.openxmlformats.org/officeDocument/2006/relationships/image" Target="media/image76.png"/><Relationship Id="rId88" Type="http://schemas.openxmlformats.org/officeDocument/2006/relationships/image" Target="media/image77.png"/><Relationship Id="rId89" Type="http://schemas.openxmlformats.org/officeDocument/2006/relationships/image" Target="media/image78.png"/><Relationship Id="rId90" Type="http://schemas.openxmlformats.org/officeDocument/2006/relationships/image" Target="media/image79.png"/><Relationship Id="rId91" Type="http://schemas.openxmlformats.org/officeDocument/2006/relationships/image" Target="media/image80.png"/><Relationship Id="rId92" Type="http://schemas.openxmlformats.org/officeDocument/2006/relationships/image" Target="media/image81.png"/><Relationship Id="rId93" Type="http://schemas.openxmlformats.org/officeDocument/2006/relationships/image" Target="media/image82.png"/><Relationship Id="rId94" Type="http://schemas.openxmlformats.org/officeDocument/2006/relationships/image" Target="media/image83.png"/><Relationship Id="rId95" Type="http://schemas.openxmlformats.org/officeDocument/2006/relationships/image" Target="media/image84.png"/><Relationship Id="rId96" Type="http://schemas.openxmlformats.org/officeDocument/2006/relationships/image" Target="media/image85.png"/><Relationship Id="rId97" Type="http://schemas.openxmlformats.org/officeDocument/2006/relationships/image" Target="media/image86.png"/><Relationship Id="rId98" Type="http://schemas.openxmlformats.org/officeDocument/2006/relationships/image" Target="media/image87.png"/><Relationship Id="rId99" Type="http://schemas.openxmlformats.org/officeDocument/2006/relationships/image" Target="media/image88.png"/><Relationship Id="rId100" Type="http://schemas.openxmlformats.org/officeDocument/2006/relationships/image" Target="media/image89.png"/><Relationship Id="rId101" Type="http://schemas.openxmlformats.org/officeDocument/2006/relationships/image" Target="media/image90.png"/><Relationship Id="rId102" Type="http://schemas.openxmlformats.org/officeDocument/2006/relationships/image" Target="media/image91.png"/><Relationship Id="rId103" Type="http://schemas.openxmlformats.org/officeDocument/2006/relationships/image" Target="media/image92.png"/><Relationship Id="rId104" Type="http://schemas.openxmlformats.org/officeDocument/2006/relationships/image" Target="media/image93.png"/><Relationship Id="rId105" Type="http://schemas.openxmlformats.org/officeDocument/2006/relationships/image" Target="media/image94.png"/><Relationship Id="rId106" Type="http://schemas.openxmlformats.org/officeDocument/2006/relationships/image" Target="media/image95.png"/><Relationship Id="rId107" Type="http://schemas.openxmlformats.org/officeDocument/2006/relationships/image" Target="media/image96.png"/><Relationship Id="rId108" Type="http://schemas.openxmlformats.org/officeDocument/2006/relationships/image" Target="media/image97.png"/><Relationship Id="rId109" Type="http://schemas.openxmlformats.org/officeDocument/2006/relationships/image" Target="media/image98.png"/><Relationship Id="rId110" Type="http://schemas.openxmlformats.org/officeDocument/2006/relationships/image" Target="media/image99.png"/><Relationship Id="rId111" Type="http://schemas.openxmlformats.org/officeDocument/2006/relationships/image" Target="media/image100.png"/><Relationship Id="rId112" Type="http://schemas.openxmlformats.org/officeDocument/2006/relationships/image" Target="media/image101.png"/><Relationship Id="rId113" Type="http://schemas.openxmlformats.org/officeDocument/2006/relationships/image" Target="media/image102.png"/><Relationship Id="rId114" Type="http://schemas.openxmlformats.org/officeDocument/2006/relationships/image" Target="media/image103.png"/><Relationship Id="rId115" Type="http://schemas.openxmlformats.org/officeDocument/2006/relationships/image" Target="media/image104.png"/><Relationship Id="rId116" Type="http://schemas.openxmlformats.org/officeDocument/2006/relationships/image" Target="media/image105.png"/><Relationship Id="rId117" Type="http://schemas.openxmlformats.org/officeDocument/2006/relationships/image" Target="media/image106.png"/><Relationship Id="rId118" Type="http://schemas.openxmlformats.org/officeDocument/2006/relationships/image" Target="media/image107.png"/><Relationship Id="rId119" Type="http://schemas.openxmlformats.org/officeDocument/2006/relationships/image" Target="media/image108.png"/><Relationship Id="rId120" Type="http://schemas.openxmlformats.org/officeDocument/2006/relationships/image" Target="media/image109.png"/><Relationship Id="rId121" Type="http://schemas.openxmlformats.org/officeDocument/2006/relationships/image" Target="media/image110.png"/><Relationship Id="rId122" Type="http://schemas.openxmlformats.org/officeDocument/2006/relationships/image" Target="media/image111.png"/><Relationship Id="rId123" Type="http://schemas.openxmlformats.org/officeDocument/2006/relationships/image" Target="media/image112.png"/><Relationship Id="rId124" Type="http://schemas.openxmlformats.org/officeDocument/2006/relationships/image" Target="media/image113.png"/><Relationship Id="rId125" Type="http://schemas.openxmlformats.org/officeDocument/2006/relationships/image" Target="media/image114.png"/><Relationship Id="rId126" Type="http://schemas.openxmlformats.org/officeDocument/2006/relationships/image" Target="media/image115.png"/><Relationship Id="rId127" Type="http://schemas.openxmlformats.org/officeDocument/2006/relationships/image" Target="media/image116.png"/><Relationship Id="rId128" Type="http://schemas.openxmlformats.org/officeDocument/2006/relationships/hyperlink" Target="https://www.tblbd.com/" TargetMode="External"/><Relationship Id="rId129" Type="http://schemas.openxmlformats.org/officeDocument/2006/relationships/hyperlink" Target="http://www.bcblbd.com/" TargetMode="External"/><Relationship Id="rId130" Type="http://schemas.openxmlformats.org/officeDocument/2006/relationships/hyperlink" Target="http://www.jbd.com/" TargetMode="External"/><Relationship Id="rId131" Type="http://schemas.openxmlformats.org/officeDocument/2006/relationships/hyperlink" Target="http://www.premierbankltd.com/pbl/" TargetMode="External"/><Relationship Id="rId132" Type="http://schemas.openxmlformats.org/officeDocument/2006/relationships/hyperlink" Target="http://www.thecitybank.com/home" TargetMode="External"/><Relationship Id="rId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2020-12-16T13:08:52Z</dcterms:created>
  <dcterms:modified xsi:type="dcterms:W3CDTF">2020-12-16T13:08:52Z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2020-12-16T00:00:00Z</vt:filetime>
  </property>
</Properties>
</file>