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A57CCD" w14:textId="77777777" w:rsidR="00B04A10" w:rsidRPr="00B04A10" w:rsidRDefault="00B04A10" w:rsidP="00B04A10">
      <w:pPr>
        <w:shd w:val="clear" w:color="auto" w:fill="FCFCFC"/>
        <w:spacing w:after="240" w:line="240" w:lineRule="auto"/>
        <w:outlineLvl w:val="0"/>
        <w:rPr>
          <w:rFonts w:ascii="Georgia" w:eastAsia="Times New Roman" w:hAnsi="Georgia" w:cs="Times New Roman"/>
          <w:color w:val="333333"/>
          <w:kern w:val="36"/>
          <w:sz w:val="48"/>
          <w:szCs w:val="48"/>
          <w:lang w:bidi="ar-SA"/>
        </w:rPr>
      </w:pPr>
      <w:r w:rsidRPr="00B04A10">
        <w:rPr>
          <w:rFonts w:ascii="Georgia" w:eastAsia="Times New Roman" w:hAnsi="Georgia" w:cs="Times New Roman"/>
          <w:color w:val="333333"/>
          <w:kern w:val="36"/>
          <w:sz w:val="48"/>
          <w:szCs w:val="48"/>
          <w:lang w:bidi="ar-SA"/>
        </w:rPr>
        <w:t xml:space="preserve">A large-scale comparison of coverage and mentions captured by the two </w:t>
      </w:r>
      <w:proofErr w:type="spellStart"/>
      <w:r w:rsidRPr="00B04A10">
        <w:rPr>
          <w:rFonts w:ascii="Georgia" w:eastAsia="Times New Roman" w:hAnsi="Georgia" w:cs="Times New Roman"/>
          <w:color w:val="333333"/>
          <w:kern w:val="36"/>
          <w:sz w:val="48"/>
          <w:szCs w:val="48"/>
          <w:lang w:bidi="ar-SA"/>
        </w:rPr>
        <w:t>altmetric</w:t>
      </w:r>
      <w:proofErr w:type="spellEnd"/>
      <w:r w:rsidRPr="00B04A10">
        <w:rPr>
          <w:rFonts w:ascii="Georgia" w:eastAsia="Times New Roman" w:hAnsi="Georgia" w:cs="Times New Roman"/>
          <w:color w:val="333333"/>
          <w:kern w:val="36"/>
          <w:sz w:val="48"/>
          <w:szCs w:val="48"/>
          <w:lang w:bidi="ar-SA"/>
        </w:rPr>
        <w:t xml:space="preserve"> aggregators: Altmetric.com and </w:t>
      </w:r>
      <w:proofErr w:type="spellStart"/>
      <w:r w:rsidRPr="00B04A10">
        <w:rPr>
          <w:rFonts w:ascii="Georgia" w:eastAsia="Times New Roman" w:hAnsi="Georgia" w:cs="Times New Roman"/>
          <w:color w:val="333333"/>
          <w:kern w:val="36"/>
          <w:sz w:val="48"/>
          <w:szCs w:val="48"/>
          <w:lang w:bidi="ar-SA"/>
        </w:rPr>
        <w:t>PlumX</w:t>
      </w:r>
      <w:proofErr w:type="spellEnd"/>
    </w:p>
    <w:p w14:paraId="56E1CE3A" w14:textId="70F6FBAD" w:rsidR="00691087" w:rsidRPr="005919CD" w:rsidRDefault="00691087" w:rsidP="005919CD">
      <w:pPr>
        <w:shd w:val="clear" w:color="auto" w:fill="FCFCFC"/>
        <w:spacing w:before="100" w:beforeAutospacing="1" w:after="100" w:afterAutospacing="1" w:line="240" w:lineRule="auto"/>
        <w:rPr>
          <w:rFonts w:ascii="Segoe UI" w:hAnsi="Segoe UI" w:cs="Segoe UI"/>
          <w:color w:val="333333"/>
        </w:rPr>
      </w:pPr>
      <w:proofErr w:type="spellStart"/>
      <w:r w:rsidRPr="005919CD">
        <w:rPr>
          <w:rFonts w:ascii="Segoe UI" w:hAnsi="Segoe UI" w:cs="Segoe UI"/>
          <w:color w:val="333333"/>
        </w:rPr>
        <w:t>Mousumi</w:t>
      </w:r>
      <w:proofErr w:type="spellEnd"/>
      <w:r w:rsidRPr="005919CD">
        <w:rPr>
          <w:rFonts w:ascii="Segoe UI" w:hAnsi="Segoe UI" w:cs="Segoe UI"/>
          <w:color w:val="333333"/>
        </w:rPr>
        <w:t xml:space="preserve"> </w:t>
      </w:r>
      <w:proofErr w:type="spellStart"/>
      <w:r w:rsidRPr="005919CD">
        <w:rPr>
          <w:rFonts w:ascii="Segoe UI" w:hAnsi="Segoe UI" w:cs="Segoe UI"/>
          <w:color w:val="333333"/>
        </w:rPr>
        <w:t>Karmakar</w:t>
      </w:r>
      <w:proofErr w:type="spellEnd"/>
      <w:r w:rsidRPr="005919CD">
        <w:rPr>
          <w:rFonts w:ascii="Segoe UI" w:hAnsi="Segoe UI" w:cs="Segoe UI"/>
          <w:color w:val="333333"/>
        </w:rPr>
        <w:t>, </w:t>
      </w:r>
      <w:proofErr w:type="spellStart"/>
      <w:r w:rsidRPr="005919CD">
        <w:rPr>
          <w:rFonts w:ascii="Segoe UI" w:hAnsi="Segoe UI" w:cs="Segoe UI"/>
          <w:color w:val="333333"/>
        </w:rPr>
        <w:t>Sumit</w:t>
      </w:r>
      <w:proofErr w:type="spellEnd"/>
      <w:r w:rsidRPr="005919CD">
        <w:rPr>
          <w:rFonts w:ascii="Segoe UI" w:hAnsi="Segoe UI" w:cs="Segoe UI"/>
          <w:color w:val="333333"/>
        </w:rPr>
        <w:t xml:space="preserve"> Kumar </w:t>
      </w:r>
      <w:proofErr w:type="spellStart"/>
      <w:proofErr w:type="gramStart"/>
      <w:r w:rsidRPr="005919CD">
        <w:rPr>
          <w:rFonts w:ascii="Segoe UI" w:hAnsi="Segoe UI" w:cs="Segoe UI"/>
          <w:color w:val="333333"/>
        </w:rPr>
        <w:t>Banshal</w:t>
      </w:r>
      <w:proofErr w:type="spellEnd"/>
      <w:r w:rsidRPr="005919CD">
        <w:rPr>
          <w:rFonts w:ascii="Segoe UI" w:hAnsi="Segoe UI" w:cs="Segoe UI"/>
          <w:color w:val="333333"/>
        </w:rPr>
        <w:t> </w:t>
      </w:r>
      <w:r w:rsidR="005919CD" w:rsidRPr="005919CD">
        <w:rPr>
          <w:rFonts w:ascii="Segoe UI" w:hAnsi="Segoe UI" w:cs="Segoe UI"/>
          <w:color w:val="333333"/>
        </w:rPr>
        <w:t>,</w:t>
      </w:r>
      <w:proofErr w:type="spellStart"/>
      <w:r w:rsidRPr="005919CD">
        <w:rPr>
          <w:rFonts w:ascii="Segoe UI" w:hAnsi="Segoe UI" w:cs="Segoe UI"/>
          <w:color w:val="333333"/>
        </w:rPr>
        <w:t>Vivek</w:t>
      </w:r>
      <w:proofErr w:type="spellEnd"/>
      <w:proofErr w:type="gramEnd"/>
      <w:r w:rsidRPr="005919CD">
        <w:rPr>
          <w:rFonts w:ascii="Segoe UI" w:hAnsi="Segoe UI" w:cs="Segoe UI"/>
          <w:color w:val="333333"/>
        </w:rPr>
        <w:t xml:space="preserve"> Kumar Singh</w:t>
      </w:r>
    </w:p>
    <w:p w14:paraId="3D7293BA" w14:textId="2FB16482" w:rsidR="00DB5EA0" w:rsidRPr="00454C46" w:rsidRDefault="00691087" w:rsidP="00691087">
      <w:pPr>
        <w:pStyle w:val="Heading2"/>
        <w:spacing w:before="0" w:after="120" w:line="480" w:lineRule="atLeast"/>
        <w:rPr>
          <w:rFonts w:asciiTheme="minorHAnsi" w:hAnsiTheme="minorHAnsi" w:cstheme="minorHAnsi"/>
          <w:color w:val="505050"/>
          <w:sz w:val="28"/>
          <w:szCs w:val="28"/>
        </w:rPr>
      </w:pPr>
      <w:r w:rsidRPr="00454C46">
        <w:rPr>
          <w:rFonts w:asciiTheme="minorHAnsi" w:hAnsiTheme="minorHAnsi" w:cstheme="minorHAnsi"/>
          <w:b/>
          <w:bCs/>
          <w:color w:val="505050"/>
          <w:sz w:val="28"/>
          <w:szCs w:val="28"/>
        </w:rPr>
        <w:t xml:space="preserve"> </w:t>
      </w:r>
      <w:r w:rsidR="00DB5EA0" w:rsidRPr="00454C46">
        <w:rPr>
          <w:rFonts w:asciiTheme="minorHAnsi" w:hAnsiTheme="minorHAnsi" w:cstheme="minorHAnsi"/>
          <w:b/>
          <w:bCs/>
          <w:color w:val="505050"/>
          <w:sz w:val="28"/>
          <w:szCs w:val="28"/>
        </w:rPr>
        <w:t>Abstract</w:t>
      </w:r>
    </w:p>
    <w:p w14:paraId="6E0C8A0E" w14:textId="7D9CF756" w:rsidR="00220537" w:rsidRDefault="005919CD" w:rsidP="00220537">
      <w:pPr>
        <w:jc w:val="both"/>
        <w:rPr>
          <w:rFonts w:ascii="Helvetica" w:hAnsi="Helvetica" w:cs="Helvetica"/>
          <w:b/>
          <w:bCs/>
          <w:color w:val="4C4C4C"/>
          <w:sz w:val="28"/>
          <w:shd w:val="clear" w:color="auto" w:fill="FFFFFF"/>
        </w:rPr>
      </w:pPr>
      <w:r>
        <w:rPr>
          <w:rFonts w:ascii="Georgia" w:hAnsi="Georgia"/>
          <w:color w:val="333333"/>
          <w:sz w:val="27"/>
          <w:szCs w:val="27"/>
          <w:shd w:val="clear" w:color="auto" w:fill="FCFCFC"/>
        </w:rPr>
        <w:t xml:space="preserve">The increased social media attention to scholarly articles has resulted in creation of platforms &amp; services to track the social media transactions around them. Altmetric.com and </w:t>
      </w:r>
      <w:proofErr w:type="spellStart"/>
      <w:r>
        <w:rPr>
          <w:rFonts w:ascii="Georgia" w:hAnsi="Georgia"/>
          <w:color w:val="333333"/>
          <w:sz w:val="27"/>
          <w:szCs w:val="27"/>
          <w:shd w:val="clear" w:color="auto" w:fill="FCFCFC"/>
        </w:rPr>
        <w:t>PlumX</w:t>
      </w:r>
      <w:proofErr w:type="spellEnd"/>
      <w:r>
        <w:rPr>
          <w:rFonts w:ascii="Georgia" w:hAnsi="Georgia"/>
          <w:color w:val="333333"/>
          <w:sz w:val="27"/>
          <w:szCs w:val="27"/>
          <w:shd w:val="clear" w:color="auto" w:fill="FCFCFC"/>
        </w:rPr>
        <w:t xml:space="preserve"> are two such popular </w:t>
      </w:r>
      <w:proofErr w:type="spellStart"/>
      <w:r>
        <w:rPr>
          <w:rFonts w:ascii="Georgia" w:hAnsi="Georgia"/>
          <w:color w:val="333333"/>
          <w:sz w:val="27"/>
          <w:szCs w:val="27"/>
          <w:shd w:val="clear" w:color="auto" w:fill="FCFCFC"/>
        </w:rPr>
        <w:t>altmetric</w:t>
      </w:r>
      <w:proofErr w:type="spellEnd"/>
      <w:r>
        <w:rPr>
          <w:rFonts w:ascii="Georgia" w:hAnsi="Georgia"/>
          <w:color w:val="333333"/>
          <w:sz w:val="27"/>
          <w:szCs w:val="27"/>
          <w:shd w:val="clear" w:color="auto" w:fill="FCFCFC"/>
        </w:rPr>
        <w:t xml:space="preserve"> aggregators. Scholarly articles get mentions in different social platforms (such as Twitter, Blog, Facebook) and academic social networks (such as </w:t>
      </w:r>
      <w:proofErr w:type="spellStart"/>
      <w:r>
        <w:rPr>
          <w:rFonts w:ascii="Georgia" w:hAnsi="Georgia"/>
          <w:color w:val="333333"/>
          <w:sz w:val="27"/>
          <w:szCs w:val="27"/>
          <w:shd w:val="clear" w:color="auto" w:fill="FCFCFC"/>
        </w:rPr>
        <w:t>Mendeley</w:t>
      </w:r>
      <w:proofErr w:type="spellEnd"/>
      <w:r>
        <w:rPr>
          <w:rFonts w:ascii="Georgia" w:hAnsi="Georgia"/>
          <w:color w:val="333333"/>
          <w:sz w:val="27"/>
          <w:szCs w:val="27"/>
          <w:shd w:val="clear" w:color="auto" w:fill="FCFCFC"/>
        </w:rPr>
        <w:t xml:space="preserve">, Academia and </w:t>
      </w:r>
      <w:proofErr w:type="spellStart"/>
      <w:r>
        <w:rPr>
          <w:rFonts w:ascii="Georgia" w:hAnsi="Georgia"/>
          <w:color w:val="333333"/>
          <w:sz w:val="27"/>
          <w:szCs w:val="27"/>
          <w:shd w:val="clear" w:color="auto" w:fill="FCFCFC"/>
        </w:rPr>
        <w:t>ResearchGate</w:t>
      </w:r>
      <w:proofErr w:type="spellEnd"/>
      <w:r>
        <w:rPr>
          <w:rFonts w:ascii="Georgia" w:hAnsi="Georgia"/>
          <w:color w:val="333333"/>
          <w:sz w:val="27"/>
          <w:szCs w:val="27"/>
          <w:shd w:val="clear" w:color="auto" w:fill="FCFCFC"/>
        </w:rPr>
        <w:t xml:space="preserve">). The aggregators track activity and events in social media and academic social networks and provide the coverage and transaction data to researchers for various purposes. Some previous studies have compared different </w:t>
      </w:r>
      <w:proofErr w:type="spellStart"/>
      <w:r>
        <w:rPr>
          <w:rFonts w:ascii="Georgia" w:hAnsi="Georgia"/>
          <w:color w:val="333333"/>
          <w:sz w:val="27"/>
          <w:szCs w:val="27"/>
          <w:shd w:val="clear" w:color="auto" w:fill="FCFCFC"/>
        </w:rPr>
        <w:t>altmetric</w:t>
      </w:r>
      <w:proofErr w:type="spellEnd"/>
      <w:r>
        <w:rPr>
          <w:rFonts w:ascii="Georgia" w:hAnsi="Georgia"/>
          <w:color w:val="333333"/>
          <w:sz w:val="27"/>
          <w:szCs w:val="27"/>
          <w:shd w:val="clear" w:color="auto" w:fill="FCFCFC"/>
        </w:rPr>
        <w:t xml:space="preserve"> aggregators and found differences in the coverage and mentions captured by them. This paper attempts to revisit the question by doing a large-scale analysis of </w:t>
      </w:r>
      <w:proofErr w:type="spellStart"/>
      <w:r>
        <w:rPr>
          <w:rFonts w:ascii="Georgia" w:hAnsi="Georgia"/>
          <w:color w:val="333333"/>
          <w:sz w:val="27"/>
          <w:szCs w:val="27"/>
          <w:shd w:val="clear" w:color="auto" w:fill="FCFCFC"/>
        </w:rPr>
        <w:t>altmetric</w:t>
      </w:r>
      <w:proofErr w:type="spellEnd"/>
      <w:r>
        <w:rPr>
          <w:rFonts w:ascii="Georgia" w:hAnsi="Georgia"/>
          <w:color w:val="333333"/>
          <w:sz w:val="27"/>
          <w:szCs w:val="27"/>
          <w:shd w:val="clear" w:color="auto" w:fill="FCFCFC"/>
        </w:rPr>
        <w:t xml:space="preserve"> mentions captured by the two aggregators, for a set 1,785,149 publication records from Web of Science. Results obtained show that </w:t>
      </w:r>
      <w:proofErr w:type="spellStart"/>
      <w:r>
        <w:rPr>
          <w:rFonts w:ascii="Georgia" w:hAnsi="Georgia"/>
          <w:color w:val="333333"/>
          <w:sz w:val="27"/>
          <w:szCs w:val="27"/>
          <w:shd w:val="clear" w:color="auto" w:fill="FCFCFC"/>
        </w:rPr>
        <w:t>PlumX</w:t>
      </w:r>
      <w:proofErr w:type="spellEnd"/>
      <w:r>
        <w:rPr>
          <w:rFonts w:ascii="Georgia" w:hAnsi="Georgia"/>
          <w:color w:val="333333"/>
          <w:sz w:val="27"/>
          <w:szCs w:val="27"/>
          <w:shd w:val="clear" w:color="auto" w:fill="FCFCFC"/>
        </w:rPr>
        <w:t xml:space="preserve"> tracks more </w:t>
      </w:r>
      <w:proofErr w:type="spellStart"/>
      <w:r>
        <w:rPr>
          <w:rFonts w:ascii="Georgia" w:hAnsi="Georgia"/>
          <w:color w:val="333333"/>
          <w:sz w:val="27"/>
          <w:szCs w:val="27"/>
          <w:shd w:val="clear" w:color="auto" w:fill="FCFCFC"/>
        </w:rPr>
        <w:t>altmetric</w:t>
      </w:r>
      <w:proofErr w:type="spellEnd"/>
      <w:r>
        <w:rPr>
          <w:rFonts w:ascii="Georgia" w:hAnsi="Georgia"/>
          <w:color w:val="333333"/>
          <w:sz w:val="27"/>
          <w:szCs w:val="27"/>
          <w:shd w:val="clear" w:color="auto" w:fill="FCFCFC"/>
        </w:rPr>
        <w:t xml:space="preserve"> sources and captures </w:t>
      </w:r>
      <w:proofErr w:type="spellStart"/>
      <w:r>
        <w:rPr>
          <w:rFonts w:ascii="Georgia" w:hAnsi="Georgia"/>
          <w:color w:val="333333"/>
          <w:sz w:val="27"/>
          <w:szCs w:val="27"/>
          <w:shd w:val="clear" w:color="auto" w:fill="FCFCFC"/>
        </w:rPr>
        <w:t>altmetric</w:t>
      </w:r>
      <w:proofErr w:type="spellEnd"/>
      <w:r>
        <w:rPr>
          <w:rFonts w:ascii="Georgia" w:hAnsi="Georgia"/>
          <w:color w:val="333333"/>
          <w:sz w:val="27"/>
          <w:szCs w:val="27"/>
          <w:shd w:val="clear" w:color="auto" w:fill="FCFCFC"/>
        </w:rPr>
        <w:t xml:space="preserve"> events for a larger number of articles as compared to Altmetric.com. However, the coverage and average mentions of the two aggregators, for the same set of articles, vary across different platforms, with Altmetric.com recording higher mentions in Twitter and Blog, and </w:t>
      </w:r>
      <w:proofErr w:type="spellStart"/>
      <w:r>
        <w:rPr>
          <w:rFonts w:ascii="Georgia" w:hAnsi="Georgia"/>
          <w:color w:val="333333"/>
          <w:sz w:val="27"/>
          <w:szCs w:val="27"/>
          <w:shd w:val="clear" w:color="auto" w:fill="FCFCFC"/>
        </w:rPr>
        <w:t>PlumX</w:t>
      </w:r>
      <w:proofErr w:type="spellEnd"/>
      <w:r>
        <w:rPr>
          <w:rFonts w:ascii="Georgia" w:hAnsi="Georgia"/>
          <w:color w:val="333333"/>
          <w:sz w:val="27"/>
          <w:szCs w:val="27"/>
          <w:shd w:val="clear" w:color="auto" w:fill="FCFCFC"/>
        </w:rPr>
        <w:t xml:space="preserve"> recording higher mentions in Facebook and </w:t>
      </w:r>
      <w:proofErr w:type="spellStart"/>
      <w:r>
        <w:rPr>
          <w:rFonts w:ascii="Georgia" w:hAnsi="Georgia"/>
          <w:color w:val="333333"/>
          <w:sz w:val="27"/>
          <w:szCs w:val="27"/>
          <w:shd w:val="clear" w:color="auto" w:fill="FCFCFC"/>
        </w:rPr>
        <w:t>Mendeley</w:t>
      </w:r>
      <w:proofErr w:type="spellEnd"/>
      <w:r>
        <w:rPr>
          <w:rFonts w:ascii="Georgia" w:hAnsi="Georgia"/>
          <w:color w:val="333333"/>
          <w:sz w:val="27"/>
          <w:szCs w:val="27"/>
          <w:shd w:val="clear" w:color="auto" w:fill="FCFCFC"/>
        </w:rPr>
        <w:t xml:space="preserve">. The article also </w:t>
      </w:r>
      <w:proofErr w:type="spellStart"/>
      <w:r>
        <w:rPr>
          <w:rFonts w:ascii="Georgia" w:hAnsi="Georgia"/>
          <w:color w:val="333333"/>
          <w:sz w:val="27"/>
          <w:szCs w:val="27"/>
          <w:shd w:val="clear" w:color="auto" w:fill="FCFCFC"/>
        </w:rPr>
        <w:t>analysed</w:t>
      </w:r>
      <w:proofErr w:type="spellEnd"/>
      <w:r>
        <w:rPr>
          <w:rFonts w:ascii="Georgia" w:hAnsi="Georgia"/>
          <w:color w:val="333333"/>
          <w:sz w:val="27"/>
          <w:szCs w:val="27"/>
          <w:shd w:val="clear" w:color="auto" w:fill="FCFCFC"/>
        </w:rPr>
        <w:t xml:space="preserve"> coverage and average mentions captured by the two aggregators across different document types, subjects and publishers.</w:t>
      </w:r>
      <w:r w:rsidR="00220537" w:rsidRPr="00DF122F">
        <w:rPr>
          <w:rFonts w:ascii="Helvetica" w:hAnsi="Helvetica" w:cs="Helvetica"/>
          <w:b/>
          <w:bCs/>
          <w:color w:val="4C4C4C"/>
          <w:sz w:val="28"/>
          <w:shd w:val="clear" w:color="auto" w:fill="FFFFFF"/>
        </w:rPr>
        <w:t xml:space="preserve"> </w:t>
      </w:r>
    </w:p>
    <w:p w14:paraId="54B358C2" w14:textId="72192721" w:rsidR="00DB5EA0" w:rsidRDefault="00DF122F">
      <w:pPr>
        <w:rPr>
          <w:rFonts w:ascii="Helvetica" w:hAnsi="Helvetica" w:cs="Helvetica"/>
          <w:b/>
          <w:bCs/>
          <w:color w:val="4C4C4C"/>
          <w:sz w:val="28"/>
          <w:shd w:val="clear" w:color="auto" w:fill="FFFFFF"/>
        </w:rPr>
      </w:pPr>
      <w:r w:rsidRPr="00DF122F">
        <w:rPr>
          <w:rFonts w:ascii="Helvetica" w:hAnsi="Helvetica" w:cs="Helvetica"/>
          <w:b/>
          <w:bCs/>
          <w:color w:val="4C4C4C"/>
          <w:sz w:val="28"/>
          <w:shd w:val="clear" w:color="auto" w:fill="FFFFFF"/>
        </w:rPr>
        <w:t>Conference / Journal Link</w:t>
      </w:r>
    </w:p>
    <w:bookmarkStart w:id="0" w:name="cj_link"/>
    <w:p w14:paraId="3B271631" w14:textId="2C6454C2" w:rsidR="000D5733" w:rsidRPr="000D5733" w:rsidRDefault="005919CD" w:rsidP="005919CD">
      <w:pPr>
        <w:rPr>
          <w:rFonts w:ascii="Nirmala UI" w:hAnsi="Nirmala UI" w:cs="Nirmala UI"/>
        </w:rPr>
      </w:pPr>
      <w:r>
        <w:fldChar w:fldCharType="begin"/>
      </w:r>
      <w:r>
        <w:instrText xml:space="preserve"> HYPERLINK "https://link.springer.com/article/10.1007/s11192-021-03941-y" \t "_blank" </w:instrText>
      </w:r>
      <w:r>
        <w:fldChar w:fldCharType="separate"/>
      </w:r>
      <w:r>
        <w:rPr>
          <w:rStyle w:val="Hyperlink"/>
          <w:rFonts w:ascii="Helvetica" w:hAnsi="Helvetica" w:cs="Helvetica"/>
          <w:color w:val="1C1C1C"/>
          <w:sz w:val="20"/>
          <w:szCs w:val="20"/>
          <w:shd w:val="clear" w:color="auto" w:fill="FFFFFF"/>
        </w:rPr>
        <w:t>https://link.springer.com/article/10.1007/s11192-021-03941-y</w:t>
      </w:r>
      <w:r>
        <w:fldChar w:fldCharType="end"/>
      </w:r>
      <w:bookmarkStart w:id="1" w:name="_GoBack"/>
      <w:bookmarkEnd w:id="0"/>
      <w:bookmarkEnd w:id="1"/>
    </w:p>
    <w:sectPr w:rsidR="000D5733" w:rsidRPr="000D57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80FF8023" w:usb1="0000004A" w:usb2="000002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E0632A"/>
    <w:multiLevelType w:val="multilevel"/>
    <w:tmpl w:val="29A06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3283B22"/>
    <w:multiLevelType w:val="multilevel"/>
    <w:tmpl w:val="AC140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D6640AD"/>
    <w:multiLevelType w:val="multilevel"/>
    <w:tmpl w:val="F8D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93F70B3"/>
    <w:multiLevelType w:val="multilevel"/>
    <w:tmpl w:val="AC5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A0"/>
    <w:rsid w:val="000D5733"/>
    <w:rsid w:val="00220537"/>
    <w:rsid w:val="002B6360"/>
    <w:rsid w:val="003A4E8A"/>
    <w:rsid w:val="00454C46"/>
    <w:rsid w:val="004B1AFF"/>
    <w:rsid w:val="005919CD"/>
    <w:rsid w:val="006501C5"/>
    <w:rsid w:val="00691087"/>
    <w:rsid w:val="008F196D"/>
    <w:rsid w:val="009E1CC6"/>
    <w:rsid w:val="00AD5233"/>
    <w:rsid w:val="00B04A10"/>
    <w:rsid w:val="00B874BD"/>
    <w:rsid w:val="00BD0E65"/>
    <w:rsid w:val="00C54B27"/>
    <w:rsid w:val="00DB5EA0"/>
    <w:rsid w:val="00DF122F"/>
    <w:rsid w:val="00DF32CB"/>
    <w:rsid w:val="00E645B7"/>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C599"/>
  <w15:chartTrackingRefBased/>
  <w15:docId w15:val="{B3F34481-82A7-4B75-9CC8-B6036129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B5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B5EA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A0"/>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B5EA0"/>
    <w:rPr>
      <w:color w:val="0000FF"/>
      <w:u w:val="single"/>
    </w:rPr>
  </w:style>
  <w:style w:type="character" w:customStyle="1" w:styleId="Heading2Char">
    <w:name w:val="Heading 2 Char"/>
    <w:basedOn w:val="DefaultParagraphFont"/>
    <w:link w:val="Heading2"/>
    <w:uiPriority w:val="9"/>
    <w:semiHidden/>
    <w:rsid w:val="00DB5EA0"/>
    <w:rPr>
      <w:rFonts w:asciiTheme="majorHAnsi" w:eastAsiaTheme="majorEastAsia" w:hAnsiTheme="majorHAnsi" w:cstheme="majorBidi"/>
      <w:color w:val="2F5496" w:themeColor="accent1" w:themeShade="BF"/>
      <w:sz w:val="26"/>
      <w:szCs w:val="33"/>
    </w:rPr>
  </w:style>
  <w:style w:type="character" w:customStyle="1" w:styleId="authorsname">
    <w:name w:val="authors__name"/>
    <w:basedOn w:val="DefaultParagraphFont"/>
    <w:rsid w:val="00DF122F"/>
  </w:style>
  <w:style w:type="character" w:customStyle="1" w:styleId="authors-info">
    <w:name w:val="authors-info"/>
    <w:basedOn w:val="DefaultParagraphFont"/>
    <w:rsid w:val="00C54B27"/>
  </w:style>
  <w:style w:type="character" w:customStyle="1" w:styleId="blue-tooltip">
    <w:name w:val="blue-tooltip"/>
    <w:basedOn w:val="DefaultParagraphFont"/>
    <w:rsid w:val="00C54B27"/>
  </w:style>
  <w:style w:type="character" w:customStyle="1" w:styleId="authorscontact">
    <w:name w:val="authors__contact"/>
    <w:basedOn w:val="DefaultParagraphFont"/>
    <w:rsid w:val="00DF32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2555">
      <w:bodyDiv w:val="1"/>
      <w:marLeft w:val="0"/>
      <w:marRight w:val="0"/>
      <w:marTop w:val="0"/>
      <w:marBottom w:val="0"/>
      <w:divBdr>
        <w:top w:val="none" w:sz="0" w:space="0" w:color="auto"/>
        <w:left w:val="none" w:sz="0" w:space="0" w:color="auto"/>
        <w:bottom w:val="none" w:sz="0" w:space="0" w:color="auto"/>
        <w:right w:val="none" w:sz="0" w:space="0" w:color="auto"/>
      </w:divBdr>
      <w:divsChild>
        <w:div w:id="585071951">
          <w:marLeft w:val="0"/>
          <w:marRight w:val="0"/>
          <w:marTop w:val="0"/>
          <w:marBottom w:val="0"/>
          <w:divBdr>
            <w:top w:val="none" w:sz="0" w:space="0" w:color="auto"/>
            <w:left w:val="none" w:sz="0" w:space="0" w:color="auto"/>
            <w:bottom w:val="single" w:sz="6" w:space="15" w:color="DDDDDD"/>
            <w:right w:val="none" w:sz="0" w:space="0" w:color="auto"/>
          </w:divBdr>
          <w:divsChild>
            <w:div w:id="355541736">
              <w:marLeft w:val="0"/>
              <w:marRight w:val="0"/>
              <w:marTop w:val="0"/>
              <w:marBottom w:val="0"/>
              <w:divBdr>
                <w:top w:val="none" w:sz="0" w:space="0" w:color="auto"/>
                <w:left w:val="none" w:sz="0" w:space="0" w:color="auto"/>
                <w:bottom w:val="none" w:sz="0" w:space="0" w:color="auto"/>
                <w:right w:val="none" w:sz="0" w:space="0" w:color="auto"/>
              </w:divBdr>
            </w:div>
          </w:divsChild>
        </w:div>
        <w:div w:id="1535458278">
          <w:marLeft w:val="0"/>
          <w:marRight w:val="0"/>
          <w:marTop w:val="0"/>
          <w:marBottom w:val="343"/>
          <w:divBdr>
            <w:top w:val="none" w:sz="0" w:space="0" w:color="auto"/>
            <w:left w:val="none" w:sz="0" w:space="0" w:color="auto"/>
            <w:bottom w:val="none" w:sz="0" w:space="0" w:color="auto"/>
            <w:right w:val="none" w:sz="0" w:space="0" w:color="auto"/>
          </w:divBdr>
        </w:div>
      </w:divsChild>
    </w:div>
    <w:div w:id="120004180">
      <w:bodyDiv w:val="1"/>
      <w:marLeft w:val="0"/>
      <w:marRight w:val="0"/>
      <w:marTop w:val="0"/>
      <w:marBottom w:val="0"/>
      <w:divBdr>
        <w:top w:val="none" w:sz="0" w:space="0" w:color="auto"/>
        <w:left w:val="none" w:sz="0" w:space="0" w:color="auto"/>
        <w:bottom w:val="none" w:sz="0" w:space="0" w:color="auto"/>
        <w:right w:val="none" w:sz="0" w:space="0" w:color="auto"/>
      </w:divBdr>
    </w:div>
    <w:div w:id="313223966">
      <w:bodyDiv w:val="1"/>
      <w:marLeft w:val="0"/>
      <w:marRight w:val="0"/>
      <w:marTop w:val="0"/>
      <w:marBottom w:val="0"/>
      <w:divBdr>
        <w:top w:val="none" w:sz="0" w:space="0" w:color="auto"/>
        <w:left w:val="none" w:sz="0" w:space="0" w:color="auto"/>
        <w:bottom w:val="none" w:sz="0" w:space="0" w:color="auto"/>
        <w:right w:val="none" w:sz="0" w:space="0" w:color="auto"/>
      </w:divBdr>
    </w:div>
    <w:div w:id="831288831">
      <w:bodyDiv w:val="1"/>
      <w:marLeft w:val="0"/>
      <w:marRight w:val="0"/>
      <w:marTop w:val="0"/>
      <w:marBottom w:val="0"/>
      <w:divBdr>
        <w:top w:val="none" w:sz="0" w:space="0" w:color="auto"/>
        <w:left w:val="none" w:sz="0" w:space="0" w:color="auto"/>
        <w:bottom w:val="none" w:sz="0" w:space="0" w:color="auto"/>
        <w:right w:val="none" w:sz="0" w:space="0" w:color="auto"/>
      </w:divBdr>
    </w:div>
    <w:div w:id="888953118">
      <w:bodyDiv w:val="1"/>
      <w:marLeft w:val="0"/>
      <w:marRight w:val="0"/>
      <w:marTop w:val="0"/>
      <w:marBottom w:val="0"/>
      <w:divBdr>
        <w:top w:val="none" w:sz="0" w:space="0" w:color="auto"/>
        <w:left w:val="none" w:sz="0" w:space="0" w:color="auto"/>
        <w:bottom w:val="none" w:sz="0" w:space="0" w:color="auto"/>
        <w:right w:val="none" w:sz="0" w:space="0" w:color="auto"/>
      </w:divBdr>
    </w:div>
    <w:div w:id="924337053">
      <w:bodyDiv w:val="1"/>
      <w:marLeft w:val="0"/>
      <w:marRight w:val="0"/>
      <w:marTop w:val="0"/>
      <w:marBottom w:val="0"/>
      <w:divBdr>
        <w:top w:val="none" w:sz="0" w:space="0" w:color="auto"/>
        <w:left w:val="none" w:sz="0" w:space="0" w:color="auto"/>
        <w:bottom w:val="none" w:sz="0" w:space="0" w:color="auto"/>
        <w:right w:val="none" w:sz="0" w:space="0" w:color="auto"/>
      </w:divBdr>
    </w:div>
    <w:div w:id="1058431118">
      <w:bodyDiv w:val="1"/>
      <w:marLeft w:val="0"/>
      <w:marRight w:val="0"/>
      <w:marTop w:val="0"/>
      <w:marBottom w:val="0"/>
      <w:divBdr>
        <w:top w:val="none" w:sz="0" w:space="0" w:color="auto"/>
        <w:left w:val="none" w:sz="0" w:space="0" w:color="auto"/>
        <w:bottom w:val="none" w:sz="0" w:space="0" w:color="auto"/>
        <w:right w:val="none" w:sz="0" w:space="0" w:color="auto"/>
      </w:divBdr>
    </w:div>
    <w:div w:id="1707368334">
      <w:bodyDiv w:val="1"/>
      <w:marLeft w:val="0"/>
      <w:marRight w:val="0"/>
      <w:marTop w:val="0"/>
      <w:marBottom w:val="0"/>
      <w:divBdr>
        <w:top w:val="none" w:sz="0" w:space="0" w:color="auto"/>
        <w:left w:val="none" w:sz="0" w:space="0" w:color="auto"/>
        <w:bottom w:val="none" w:sz="0" w:space="0" w:color="auto"/>
        <w:right w:val="none" w:sz="0" w:space="0" w:color="auto"/>
      </w:divBdr>
    </w:div>
    <w:div w:id="1883470602">
      <w:bodyDiv w:val="1"/>
      <w:marLeft w:val="0"/>
      <w:marRight w:val="0"/>
      <w:marTop w:val="0"/>
      <w:marBottom w:val="0"/>
      <w:divBdr>
        <w:top w:val="none" w:sz="0" w:space="0" w:color="auto"/>
        <w:left w:val="none" w:sz="0" w:space="0" w:color="auto"/>
        <w:bottom w:val="none" w:sz="0" w:space="0" w:color="auto"/>
        <w:right w:val="none" w:sz="0" w:space="0" w:color="auto"/>
      </w:divBdr>
    </w:div>
    <w:div w:id="2011642970">
      <w:bodyDiv w:val="1"/>
      <w:marLeft w:val="0"/>
      <w:marRight w:val="0"/>
      <w:marTop w:val="0"/>
      <w:marBottom w:val="0"/>
      <w:divBdr>
        <w:top w:val="none" w:sz="0" w:space="0" w:color="auto"/>
        <w:left w:val="none" w:sz="0" w:space="0" w:color="auto"/>
        <w:bottom w:val="none" w:sz="0" w:space="0" w:color="auto"/>
        <w:right w:val="none" w:sz="0" w:space="0" w:color="auto"/>
      </w:divBdr>
    </w:div>
    <w:div w:id="2082480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271</Words>
  <Characters>1548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acer</cp:lastModifiedBy>
  <cp:revision>3</cp:revision>
  <dcterms:created xsi:type="dcterms:W3CDTF">2021-05-11T07:07:00Z</dcterms:created>
  <dcterms:modified xsi:type="dcterms:W3CDTF">2021-05-11T07:08:00Z</dcterms:modified>
</cp:coreProperties>
</file>