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5C88" w:rsidRPr="00785C88" w:rsidRDefault="00785C88" w:rsidP="00785C88">
      <w:pPr>
        <w:shd w:val="clear" w:color="auto" w:fill="FCFCFC"/>
        <w:spacing w:after="240" w:line="240" w:lineRule="auto"/>
        <w:jc w:val="both"/>
        <w:outlineLvl w:val="0"/>
        <w:rPr>
          <w:rFonts w:ascii="Times New Roman" w:eastAsia="Times New Roman" w:hAnsi="Times New Roman" w:cs="Times New Roman"/>
          <w:color w:val="333333"/>
          <w:kern w:val="36"/>
          <w:sz w:val="48"/>
          <w:szCs w:val="48"/>
        </w:rPr>
      </w:pPr>
      <w:r w:rsidRPr="00785C88">
        <w:rPr>
          <w:rFonts w:ascii="Times New Roman" w:eastAsia="Times New Roman" w:hAnsi="Times New Roman" w:cs="Times New Roman"/>
          <w:color w:val="333333"/>
          <w:kern w:val="36"/>
          <w:sz w:val="48"/>
          <w:szCs w:val="48"/>
        </w:rPr>
        <w:t>Identification of molecular biomarkers and pathways of NSCLC: insights from a systems biomedicine perspective</w:t>
      </w:r>
    </w:p>
    <w:p w:rsidR="00785C88" w:rsidRPr="00785C88" w:rsidRDefault="00785C88" w:rsidP="00785C88">
      <w:pPr>
        <w:shd w:val="clear" w:color="auto" w:fill="FCFCFC"/>
        <w:spacing w:before="100" w:beforeAutospacing="1" w:after="100" w:afterAutospacing="1" w:line="240" w:lineRule="auto"/>
        <w:rPr>
          <w:rFonts w:ascii="Times New Roman" w:hAnsi="Times New Roman" w:cs="Times New Roman"/>
        </w:rPr>
      </w:pPr>
      <w:hyperlink r:id="rId5" w:anchor="auth-Rakibul-Islam" w:history="1">
        <w:proofErr w:type="spellStart"/>
        <w:r w:rsidRPr="00785C88">
          <w:rPr>
            <w:rStyle w:val="Hyperlink"/>
            <w:rFonts w:ascii="Times New Roman" w:hAnsi="Times New Roman" w:cs="Times New Roman"/>
            <w:color w:val="auto"/>
            <w:u w:val="none"/>
          </w:rPr>
          <w:t>Rakibul</w:t>
        </w:r>
        <w:proofErr w:type="spellEnd"/>
        <w:r w:rsidRPr="00785C88">
          <w:rPr>
            <w:rStyle w:val="Hyperlink"/>
            <w:rFonts w:ascii="Times New Roman" w:hAnsi="Times New Roman" w:cs="Times New Roman"/>
            <w:color w:val="auto"/>
            <w:u w:val="none"/>
          </w:rPr>
          <w:t xml:space="preserve"> Islam</w:t>
        </w:r>
      </w:hyperlink>
      <w:r w:rsidRPr="00785C88">
        <w:rPr>
          <w:rFonts w:ascii="Times New Roman" w:hAnsi="Times New Roman" w:cs="Times New Roman"/>
        </w:rPr>
        <w:t xml:space="preserve">, </w:t>
      </w:r>
      <w:hyperlink r:id="rId6" w:anchor="auth-Liton-Ahmed" w:history="1">
        <w:proofErr w:type="spellStart"/>
        <w:r w:rsidRPr="00785C88">
          <w:rPr>
            <w:rStyle w:val="Hyperlink"/>
            <w:rFonts w:ascii="Times New Roman" w:hAnsi="Times New Roman" w:cs="Times New Roman"/>
            <w:color w:val="auto"/>
            <w:u w:val="none"/>
          </w:rPr>
          <w:t>Liton</w:t>
        </w:r>
        <w:proofErr w:type="spellEnd"/>
        <w:r w:rsidRPr="00785C88">
          <w:rPr>
            <w:rStyle w:val="Hyperlink"/>
            <w:rFonts w:ascii="Times New Roman" w:hAnsi="Times New Roman" w:cs="Times New Roman"/>
            <w:color w:val="auto"/>
            <w:u w:val="none"/>
          </w:rPr>
          <w:t xml:space="preserve"> Ahmed</w:t>
        </w:r>
      </w:hyperlink>
      <w:r w:rsidRPr="00785C88">
        <w:rPr>
          <w:rFonts w:ascii="Times New Roman" w:hAnsi="Times New Roman" w:cs="Times New Roman"/>
        </w:rPr>
        <w:t>, </w:t>
      </w:r>
      <w:proofErr w:type="spellStart"/>
      <w:r w:rsidRPr="00785C88">
        <w:rPr>
          <w:rFonts w:ascii="Times New Roman" w:hAnsi="Times New Roman" w:cs="Times New Roman"/>
        </w:rPr>
        <w:fldChar w:fldCharType="begin"/>
      </w:r>
      <w:r w:rsidRPr="00785C88">
        <w:rPr>
          <w:rFonts w:ascii="Times New Roman" w:hAnsi="Times New Roman" w:cs="Times New Roman"/>
        </w:rPr>
        <w:instrText xml:space="preserve"> HYPERLINK "https://link.springer.com/article/10.1186/s43141-021-00134-1" \l "auth-Bikash_Kumar-Paul" </w:instrText>
      </w:r>
      <w:r w:rsidRPr="00785C88">
        <w:rPr>
          <w:rFonts w:ascii="Times New Roman" w:hAnsi="Times New Roman" w:cs="Times New Roman"/>
        </w:rPr>
        <w:fldChar w:fldCharType="separate"/>
      </w:r>
      <w:r w:rsidRPr="00785C88">
        <w:rPr>
          <w:rStyle w:val="Hyperlink"/>
          <w:rFonts w:ascii="Times New Roman" w:hAnsi="Times New Roman" w:cs="Times New Roman"/>
          <w:color w:val="auto"/>
          <w:u w:val="none"/>
        </w:rPr>
        <w:t>Bikash</w:t>
      </w:r>
      <w:proofErr w:type="spellEnd"/>
      <w:r w:rsidRPr="00785C88">
        <w:rPr>
          <w:rStyle w:val="Hyperlink"/>
          <w:rFonts w:ascii="Times New Roman" w:hAnsi="Times New Roman" w:cs="Times New Roman"/>
          <w:color w:val="auto"/>
          <w:u w:val="none"/>
        </w:rPr>
        <w:t xml:space="preserve"> Kumar Paul</w:t>
      </w:r>
      <w:r w:rsidRPr="00785C88">
        <w:rPr>
          <w:rFonts w:ascii="Times New Roman" w:hAnsi="Times New Roman" w:cs="Times New Roman"/>
        </w:rPr>
        <w:fldChar w:fldCharType="end"/>
      </w:r>
      <w:r w:rsidRPr="00785C88">
        <w:rPr>
          <w:rFonts w:ascii="Times New Roman" w:hAnsi="Times New Roman" w:cs="Times New Roman"/>
        </w:rPr>
        <w:t>, </w:t>
      </w:r>
      <w:proofErr w:type="spellStart"/>
      <w:r w:rsidRPr="00785C88">
        <w:rPr>
          <w:rFonts w:ascii="Times New Roman" w:hAnsi="Times New Roman" w:cs="Times New Roman"/>
        </w:rPr>
        <w:fldChar w:fldCharType="begin"/>
      </w:r>
      <w:r w:rsidRPr="00785C88">
        <w:rPr>
          <w:rFonts w:ascii="Times New Roman" w:hAnsi="Times New Roman" w:cs="Times New Roman"/>
        </w:rPr>
        <w:instrText xml:space="preserve"> HYPERLINK "https://link.springer.com/article/10.1186/s43141-021-00134-1" \l "auth-Kawsar-Ahmed" </w:instrText>
      </w:r>
      <w:r w:rsidRPr="00785C88">
        <w:rPr>
          <w:rFonts w:ascii="Times New Roman" w:hAnsi="Times New Roman" w:cs="Times New Roman"/>
        </w:rPr>
        <w:fldChar w:fldCharType="separate"/>
      </w:r>
      <w:r w:rsidRPr="00785C88">
        <w:rPr>
          <w:rStyle w:val="Hyperlink"/>
          <w:rFonts w:ascii="Times New Roman" w:hAnsi="Times New Roman" w:cs="Times New Roman"/>
          <w:color w:val="auto"/>
          <w:u w:val="none"/>
        </w:rPr>
        <w:t>Kawsar</w:t>
      </w:r>
      <w:proofErr w:type="spellEnd"/>
      <w:r w:rsidRPr="00785C88">
        <w:rPr>
          <w:rStyle w:val="Hyperlink"/>
          <w:rFonts w:ascii="Times New Roman" w:hAnsi="Times New Roman" w:cs="Times New Roman"/>
          <w:color w:val="auto"/>
          <w:u w:val="none"/>
        </w:rPr>
        <w:t xml:space="preserve"> Ahmed</w:t>
      </w:r>
      <w:r w:rsidRPr="00785C88">
        <w:rPr>
          <w:rFonts w:ascii="Times New Roman" w:hAnsi="Times New Roman" w:cs="Times New Roman"/>
        </w:rPr>
        <w:fldChar w:fldCharType="end"/>
      </w:r>
      <w:r w:rsidRPr="00785C88">
        <w:rPr>
          <w:rFonts w:ascii="Times New Roman" w:hAnsi="Times New Roman" w:cs="Times New Roman"/>
        </w:rPr>
        <w:t>, </w:t>
      </w:r>
      <w:hyperlink r:id="rId7" w:anchor="auth-Touhid-Bhuiyan" w:history="1">
        <w:proofErr w:type="spellStart"/>
        <w:r w:rsidRPr="00785C88">
          <w:rPr>
            <w:rStyle w:val="Hyperlink"/>
            <w:rFonts w:ascii="Times New Roman" w:hAnsi="Times New Roman" w:cs="Times New Roman"/>
            <w:color w:val="auto"/>
            <w:u w:val="none"/>
          </w:rPr>
          <w:t>Touhid</w:t>
        </w:r>
        <w:proofErr w:type="spellEnd"/>
        <w:r w:rsidRPr="00785C88">
          <w:rPr>
            <w:rStyle w:val="Hyperlink"/>
            <w:rFonts w:ascii="Times New Roman" w:hAnsi="Times New Roman" w:cs="Times New Roman"/>
            <w:color w:val="auto"/>
            <w:u w:val="none"/>
          </w:rPr>
          <w:t xml:space="preserve"> </w:t>
        </w:r>
        <w:proofErr w:type="spellStart"/>
        <w:r w:rsidRPr="00785C88">
          <w:rPr>
            <w:rStyle w:val="Hyperlink"/>
            <w:rFonts w:ascii="Times New Roman" w:hAnsi="Times New Roman" w:cs="Times New Roman"/>
            <w:color w:val="auto"/>
            <w:u w:val="none"/>
          </w:rPr>
          <w:t>Bhuiyan</w:t>
        </w:r>
        <w:proofErr w:type="spellEnd"/>
      </w:hyperlink>
      <w:r w:rsidRPr="00785C88">
        <w:rPr>
          <w:rFonts w:ascii="Times New Roman" w:hAnsi="Times New Roman" w:cs="Times New Roman"/>
        </w:rPr>
        <w:t> &amp; </w:t>
      </w:r>
      <w:hyperlink r:id="rId8" w:anchor="auth-Mohammad_Ali-Moni" w:history="1">
        <w:r w:rsidRPr="00785C88">
          <w:rPr>
            <w:rStyle w:val="Hyperlink"/>
            <w:rFonts w:ascii="Times New Roman" w:hAnsi="Times New Roman" w:cs="Times New Roman"/>
            <w:color w:val="auto"/>
            <w:u w:val="none"/>
          </w:rPr>
          <w:t xml:space="preserve">Mohammad Ali </w:t>
        </w:r>
        <w:proofErr w:type="spellStart"/>
        <w:r w:rsidRPr="00785C88">
          <w:rPr>
            <w:rStyle w:val="Hyperlink"/>
            <w:rFonts w:ascii="Times New Roman" w:hAnsi="Times New Roman" w:cs="Times New Roman"/>
            <w:color w:val="auto"/>
            <w:u w:val="none"/>
          </w:rPr>
          <w:t>Moni</w:t>
        </w:r>
        <w:proofErr w:type="spellEnd"/>
      </w:hyperlink>
      <w:r w:rsidRPr="00785C88">
        <w:rPr>
          <w:rFonts w:ascii="Times New Roman" w:hAnsi="Times New Roman" w:cs="Times New Roman"/>
        </w:rPr>
        <w:t> </w:t>
      </w:r>
    </w:p>
    <w:p w:rsidR="008F4C74" w:rsidRPr="00785C88" w:rsidRDefault="008F4C74" w:rsidP="008F4C74">
      <w:pPr>
        <w:jc w:val="both"/>
        <w:rPr>
          <w:rFonts w:ascii="Times New Roman" w:hAnsi="Times New Roman" w:cs="Times New Roman"/>
          <w:b/>
          <w:sz w:val="28"/>
          <w:szCs w:val="28"/>
        </w:rPr>
      </w:pPr>
      <w:r w:rsidRPr="00785C88">
        <w:rPr>
          <w:rFonts w:ascii="Times New Roman" w:hAnsi="Times New Roman" w:cs="Times New Roman"/>
          <w:b/>
          <w:sz w:val="28"/>
          <w:szCs w:val="28"/>
        </w:rPr>
        <w:t>Abstract:</w:t>
      </w:r>
    </w:p>
    <w:p w:rsidR="00785C88" w:rsidRPr="00785C88" w:rsidRDefault="00785C88" w:rsidP="00785C88">
      <w:pPr>
        <w:pStyle w:val="Heading3"/>
        <w:shd w:val="clear" w:color="auto" w:fill="FCFCFC"/>
        <w:spacing w:before="0" w:after="120"/>
        <w:rPr>
          <w:rFonts w:ascii="Times New Roman" w:hAnsi="Times New Roman" w:cs="Times New Roman"/>
          <w:bCs w:val="0"/>
          <w:color w:val="222222"/>
        </w:rPr>
      </w:pPr>
      <w:r w:rsidRPr="00785C88">
        <w:rPr>
          <w:rFonts w:ascii="Times New Roman" w:hAnsi="Times New Roman" w:cs="Times New Roman"/>
          <w:bCs w:val="0"/>
          <w:color w:val="222222"/>
        </w:rPr>
        <w:t>Background</w:t>
      </w:r>
    </w:p>
    <w:p w:rsidR="00785C88" w:rsidRPr="00785C88" w:rsidRDefault="00785C88" w:rsidP="00785C88">
      <w:pPr>
        <w:pStyle w:val="NormalWeb"/>
        <w:shd w:val="clear" w:color="auto" w:fill="FCFCFC"/>
        <w:spacing w:before="0" w:beforeAutospacing="0" w:after="360" w:afterAutospacing="0"/>
        <w:rPr>
          <w:color w:val="333333"/>
          <w:sz w:val="29"/>
          <w:szCs w:val="29"/>
        </w:rPr>
      </w:pPr>
      <w:r w:rsidRPr="00785C88">
        <w:rPr>
          <w:color w:val="333333"/>
          <w:sz w:val="29"/>
          <w:szCs w:val="29"/>
        </w:rPr>
        <w:t>Worldwide, more than 80% of identified lung cancer cases are associated to the non-small cell lung cancer (NSCLC). We used microarray gene expression dataset GSE10245 to identify key biomarkers and associated pathways in NSCLC.</w:t>
      </w:r>
    </w:p>
    <w:p w:rsidR="00785C88" w:rsidRPr="00785C88" w:rsidRDefault="00785C88" w:rsidP="00785C88">
      <w:pPr>
        <w:pStyle w:val="Heading3"/>
        <w:shd w:val="clear" w:color="auto" w:fill="FCFCFC"/>
        <w:spacing w:before="0" w:after="120"/>
        <w:rPr>
          <w:rFonts w:ascii="Times New Roman" w:hAnsi="Times New Roman" w:cs="Times New Roman"/>
          <w:bCs w:val="0"/>
          <w:color w:val="222222"/>
          <w:sz w:val="27"/>
          <w:szCs w:val="27"/>
        </w:rPr>
      </w:pPr>
      <w:r w:rsidRPr="00785C88">
        <w:rPr>
          <w:rFonts w:ascii="Times New Roman" w:hAnsi="Times New Roman" w:cs="Times New Roman"/>
          <w:bCs w:val="0"/>
          <w:color w:val="222222"/>
        </w:rPr>
        <w:t>Results</w:t>
      </w:r>
    </w:p>
    <w:p w:rsidR="00785C88" w:rsidRPr="00785C88" w:rsidRDefault="00785C88" w:rsidP="00785C88">
      <w:pPr>
        <w:pStyle w:val="NormalWeb"/>
        <w:shd w:val="clear" w:color="auto" w:fill="FCFCFC"/>
        <w:spacing w:before="0" w:beforeAutospacing="0" w:after="360" w:afterAutospacing="0"/>
        <w:rPr>
          <w:color w:val="333333"/>
          <w:sz w:val="29"/>
          <w:szCs w:val="29"/>
        </w:rPr>
      </w:pPr>
      <w:r w:rsidRPr="00785C88">
        <w:rPr>
          <w:color w:val="333333"/>
          <w:sz w:val="29"/>
          <w:szCs w:val="29"/>
        </w:rPr>
        <w:t xml:space="preserve">To collect Differentially Expressed Genes (DEGs) from the dataset GSE10245, we applied the R statistical language. Functional analysis was completed using the Database for Annotation Visualization and Integrated Discovery (DAVID) online repository. The </w:t>
      </w:r>
      <w:proofErr w:type="spellStart"/>
      <w:r w:rsidRPr="00785C88">
        <w:rPr>
          <w:color w:val="333333"/>
          <w:sz w:val="29"/>
          <w:szCs w:val="29"/>
        </w:rPr>
        <w:t>DifferentialNet</w:t>
      </w:r>
      <w:proofErr w:type="spellEnd"/>
      <w:r w:rsidRPr="00785C88">
        <w:rPr>
          <w:color w:val="333333"/>
          <w:sz w:val="29"/>
          <w:szCs w:val="29"/>
        </w:rPr>
        <w:t xml:space="preserve"> database was used to construct Protein–protein interaction (PPI) network and visualized it with the </w:t>
      </w:r>
      <w:proofErr w:type="spellStart"/>
      <w:r w:rsidRPr="00785C88">
        <w:rPr>
          <w:color w:val="333333"/>
          <w:sz w:val="29"/>
          <w:szCs w:val="29"/>
        </w:rPr>
        <w:t>Cytoscape</w:t>
      </w:r>
      <w:proofErr w:type="spellEnd"/>
      <w:r w:rsidRPr="00785C88">
        <w:rPr>
          <w:color w:val="333333"/>
          <w:sz w:val="29"/>
          <w:szCs w:val="29"/>
        </w:rPr>
        <w:t xml:space="preserve"> software. Using the Molecular Complex Detection (MCODE) method, we identify clusters from the constructed PPI network. Finally, survival analysis was performed to acquire the overall survival (OS) values of the key genes. One thousand eighty two DEGs were unveiled after applying statistical criterion. Functional analysis showed that </w:t>
      </w:r>
      <w:proofErr w:type="spellStart"/>
      <w:r w:rsidRPr="00785C88">
        <w:rPr>
          <w:color w:val="333333"/>
          <w:sz w:val="29"/>
          <w:szCs w:val="29"/>
        </w:rPr>
        <w:t>overexpressed</w:t>
      </w:r>
      <w:proofErr w:type="spellEnd"/>
      <w:r w:rsidRPr="00785C88">
        <w:rPr>
          <w:color w:val="333333"/>
          <w:sz w:val="29"/>
          <w:szCs w:val="29"/>
        </w:rPr>
        <w:t xml:space="preserve"> DEGs were greatly involved with epidermis development and </w:t>
      </w:r>
      <w:proofErr w:type="spellStart"/>
      <w:r w:rsidRPr="00785C88">
        <w:rPr>
          <w:color w:val="333333"/>
          <w:sz w:val="29"/>
          <w:szCs w:val="29"/>
        </w:rPr>
        <w:t>keratinocyte</w:t>
      </w:r>
      <w:proofErr w:type="spellEnd"/>
      <w:r w:rsidRPr="00785C88">
        <w:rPr>
          <w:color w:val="333333"/>
          <w:sz w:val="29"/>
          <w:szCs w:val="29"/>
        </w:rPr>
        <w:t xml:space="preserve"> differentiation; the under-expressed DEGs were principally associated with the positive regulation of nitric oxide biosynthetic process and signal transduction. The Kyoto Encyclopedia of Genes and Genomes (KEGG) pathway investigation explored that the </w:t>
      </w:r>
      <w:proofErr w:type="spellStart"/>
      <w:r w:rsidRPr="00785C88">
        <w:rPr>
          <w:color w:val="333333"/>
          <w:sz w:val="29"/>
          <w:szCs w:val="29"/>
        </w:rPr>
        <w:t>overexpressed</w:t>
      </w:r>
      <w:proofErr w:type="spellEnd"/>
      <w:r w:rsidRPr="00785C88">
        <w:rPr>
          <w:color w:val="333333"/>
          <w:sz w:val="29"/>
          <w:szCs w:val="29"/>
        </w:rPr>
        <w:t xml:space="preserve"> DEGs were highly involved with the cell cycle; the under-expressed DEGs were involved with cell adhesion molecules. The PPI network was constructed with 474 nodes and 2233 connections.</w:t>
      </w:r>
    </w:p>
    <w:p w:rsidR="00785C88" w:rsidRPr="00785C88" w:rsidRDefault="00785C88" w:rsidP="00785C88">
      <w:pPr>
        <w:pStyle w:val="Heading3"/>
        <w:shd w:val="clear" w:color="auto" w:fill="FCFCFC"/>
        <w:spacing w:before="0" w:after="120"/>
        <w:rPr>
          <w:rFonts w:ascii="Times New Roman" w:hAnsi="Times New Roman" w:cs="Times New Roman"/>
          <w:bCs w:val="0"/>
          <w:color w:val="222222"/>
          <w:sz w:val="27"/>
          <w:szCs w:val="27"/>
        </w:rPr>
      </w:pPr>
      <w:r w:rsidRPr="00785C88">
        <w:rPr>
          <w:rFonts w:ascii="Times New Roman" w:hAnsi="Times New Roman" w:cs="Times New Roman"/>
          <w:bCs w:val="0"/>
          <w:color w:val="222222"/>
        </w:rPr>
        <w:t>Conclusions</w:t>
      </w:r>
    </w:p>
    <w:p w:rsidR="00785C88" w:rsidRPr="00785C88" w:rsidRDefault="00785C88" w:rsidP="00785C88">
      <w:pPr>
        <w:pStyle w:val="NormalWeb"/>
        <w:shd w:val="clear" w:color="auto" w:fill="FCFCFC"/>
        <w:spacing w:before="0" w:beforeAutospacing="0" w:after="360" w:afterAutospacing="0"/>
        <w:rPr>
          <w:color w:val="333333"/>
          <w:sz w:val="29"/>
          <w:szCs w:val="29"/>
        </w:rPr>
      </w:pPr>
      <w:r w:rsidRPr="00785C88">
        <w:rPr>
          <w:color w:val="333333"/>
          <w:sz w:val="29"/>
          <w:szCs w:val="29"/>
        </w:rPr>
        <w:t xml:space="preserve">Using the connectivity method, 12 genes were considered as hub genes. Survival analysis showed worse OS value for SFN, DSP, and PHGDH. </w:t>
      </w:r>
      <w:r w:rsidRPr="00785C88">
        <w:rPr>
          <w:color w:val="333333"/>
          <w:sz w:val="29"/>
          <w:szCs w:val="29"/>
        </w:rPr>
        <w:lastRenderedPageBreak/>
        <w:t xml:space="preserve">Outcomes indicate that </w:t>
      </w:r>
      <w:proofErr w:type="spellStart"/>
      <w:r w:rsidRPr="00785C88">
        <w:rPr>
          <w:color w:val="333333"/>
          <w:sz w:val="29"/>
          <w:szCs w:val="29"/>
        </w:rPr>
        <w:t>Stratifin</w:t>
      </w:r>
      <w:proofErr w:type="spellEnd"/>
      <w:r w:rsidRPr="00785C88">
        <w:rPr>
          <w:color w:val="333333"/>
          <w:sz w:val="29"/>
          <w:szCs w:val="29"/>
        </w:rPr>
        <w:t xml:space="preserve"> may play a crucial role in the development of NSCLC.</w:t>
      </w:r>
    </w:p>
    <w:p w:rsidR="008F4C74" w:rsidRPr="00785C88" w:rsidRDefault="008F4C74" w:rsidP="008F4C74">
      <w:pPr>
        <w:jc w:val="both"/>
        <w:rPr>
          <w:rFonts w:ascii="Times New Roman" w:hAnsi="Times New Roman" w:cs="Times New Roman"/>
          <w:b/>
          <w:bCs/>
          <w:color w:val="4C4C4C"/>
          <w:sz w:val="28"/>
          <w:szCs w:val="28"/>
          <w:shd w:val="clear" w:color="auto" w:fill="FFFFFF"/>
        </w:rPr>
      </w:pPr>
      <w:r w:rsidRPr="00785C88">
        <w:rPr>
          <w:rFonts w:ascii="Times New Roman" w:hAnsi="Times New Roman" w:cs="Times New Roman"/>
          <w:b/>
          <w:bCs/>
          <w:color w:val="4C4C4C"/>
          <w:sz w:val="28"/>
          <w:szCs w:val="28"/>
          <w:shd w:val="clear" w:color="auto" w:fill="FFFFFF"/>
        </w:rPr>
        <w:t>Conference / Journal Link:</w:t>
      </w:r>
    </w:p>
    <w:bookmarkStart w:id="0" w:name="cj_link"/>
    <w:p w:rsidR="00785C88" w:rsidRPr="00785C88" w:rsidRDefault="00785C88" w:rsidP="008F4C74">
      <w:pPr>
        <w:jc w:val="both"/>
        <w:rPr>
          <w:rFonts w:ascii="Times New Roman" w:hAnsi="Times New Roman" w:cs="Times New Roman"/>
        </w:rPr>
      </w:pPr>
      <w:r w:rsidRPr="00785C88">
        <w:rPr>
          <w:rFonts w:ascii="Times New Roman" w:hAnsi="Times New Roman" w:cs="Times New Roman"/>
        </w:rPr>
        <w:fldChar w:fldCharType="begin"/>
      </w:r>
      <w:r w:rsidRPr="00785C88">
        <w:rPr>
          <w:rFonts w:ascii="Times New Roman" w:hAnsi="Times New Roman" w:cs="Times New Roman"/>
        </w:rPr>
        <w:instrText xml:space="preserve"> HYPERLINK "https://link.springer.com/article/10.1186/s43141-021-00134-1" \t "_blank" </w:instrText>
      </w:r>
      <w:r w:rsidRPr="00785C88">
        <w:rPr>
          <w:rFonts w:ascii="Times New Roman" w:hAnsi="Times New Roman" w:cs="Times New Roman"/>
        </w:rPr>
        <w:fldChar w:fldCharType="separate"/>
      </w:r>
      <w:r w:rsidRPr="00785C88">
        <w:rPr>
          <w:rStyle w:val="Hyperlink"/>
          <w:rFonts w:ascii="Times New Roman" w:hAnsi="Times New Roman" w:cs="Times New Roman"/>
          <w:color w:val="424242"/>
          <w:sz w:val="20"/>
          <w:szCs w:val="20"/>
          <w:shd w:val="clear" w:color="auto" w:fill="FFFFFF"/>
        </w:rPr>
        <w:t>https://link.springer.com/article/10.1186/s43141-021-00134-1</w:t>
      </w:r>
      <w:r w:rsidRPr="00785C88">
        <w:rPr>
          <w:rFonts w:ascii="Times New Roman" w:hAnsi="Times New Roman" w:cs="Times New Roman"/>
        </w:rPr>
        <w:fldChar w:fldCharType="end"/>
      </w:r>
      <w:bookmarkEnd w:id="0"/>
    </w:p>
    <w:p w:rsidR="008F4C74" w:rsidRPr="00785C88" w:rsidRDefault="008F4C74" w:rsidP="008F4C74">
      <w:pPr>
        <w:jc w:val="both"/>
        <w:rPr>
          <w:rFonts w:ascii="Times New Roman" w:hAnsi="Times New Roman" w:cs="Times New Roman"/>
          <w:sz w:val="24"/>
          <w:szCs w:val="24"/>
        </w:rPr>
      </w:pPr>
      <w:r w:rsidRPr="00785C88">
        <w:rPr>
          <w:rFonts w:ascii="Times New Roman" w:hAnsi="Times New Roman" w:cs="Times New Roman"/>
          <w:sz w:val="28"/>
          <w:szCs w:val="28"/>
        </w:rPr>
        <w:t xml:space="preserve">DOI: </w:t>
      </w:r>
      <w:r w:rsidRPr="00785C88">
        <w:rPr>
          <w:rFonts w:ascii="Times New Roman" w:hAnsi="Times New Roman" w:cs="Times New Roman"/>
          <w:color w:val="000000"/>
          <w:sz w:val="28"/>
          <w:szCs w:val="28"/>
          <w:shd w:val="clear" w:color="auto" w:fill="FFFFFF"/>
        </w:rPr>
        <w:t> </w:t>
      </w:r>
      <w:hyperlink r:id="rId9" w:history="1">
        <w:r w:rsidR="00785C88" w:rsidRPr="00785C88">
          <w:rPr>
            <w:rStyle w:val="Hyperlink"/>
            <w:rFonts w:ascii="Times New Roman" w:hAnsi="Times New Roman" w:cs="Times New Roman"/>
            <w:color w:val="004B83"/>
            <w:shd w:val="clear" w:color="auto" w:fill="FCFCFC"/>
          </w:rPr>
          <w:t>https://doi.org/10.1186/s43141-021-00134-1</w:t>
        </w:r>
      </w:hyperlink>
    </w:p>
    <w:sectPr w:rsidR="008F4C74" w:rsidRPr="00785C88" w:rsidSect="00C7331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59097F"/>
    <w:multiLevelType w:val="multilevel"/>
    <w:tmpl w:val="3C421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8F4C74"/>
    <w:rsid w:val="004630A7"/>
    <w:rsid w:val="00495E79"/>
    <w:rsid w:val="00713107"/>
    <w:rsid w:val="00785C88"/>
    <w:rsid w:val="008F4C74"/>
    <w:rsid w:val="00C733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311"/>
  </w:style>
  <w:style w:type="paragraph" w:styleId="Heading1">
    <w:name w:val="heading 1"/>
    <w:basedOn w:val="Normal"/>
    <w:link w:val="Heading1Char"/>
    <w:uiPriority w:val="9"/>
    <w:qFormat/>
    <w:rsid w:val="008F4C7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785C8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4C74"/>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8F4C74"/>
    <w:rPr>
      <w:color w:val="0000FF"/>
      <w:u w:val="single"/>
    </w:rPr>
  </w:style>
  <w:style w:type="character" w:customStyle="1" w:styleId="Heading3Char">
    <w:name w:val="Heading 3 Char"/>
    <w:basedOn w:val="DefaultParagraphFont"/>
    <w:link w:val="Heading3"/>
    <w:uiPriority w:val="9"/>
    <w:semiHidden/>
    <w:rsid w:val="00785C88"/>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785C8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98182751">
      <w:bodyDiv w:val="1"/>
      <w:marLeft w:val="0"/>
      <w:marRight w:val="0"/>
      <w:marTop w:val="0"/>
      <w:marBottom w:val="0"/>
      <w:divBdr>
        <w:top w:val="none" w:sz="0" w:space="0" w:color="auto"/>
        <w:left w:val="none" w:sz="0" w:space="0" w:color="auto"/>
        <w:bottom w:val="none" w:sz="0" w:space="0" w:color="auto"/>
        <w:right w:val="none" w:sz="0" w:space="0" w:color="auto"/>
      </w:divBdr>
    </w:div>
    <w:div w:id="332227024">
      <w:bodyDiv w:val="1"/>
      <w:marLeft w:val="0"/>
      <w:marRight w:val="0"/>
      <w:marTop w:val="0"/>
      <w:marBottom w:val="0"/>
      <w:divBdr>
        <w:top w:val="none" w:sz="0" w:space="0" w:color="auto"/>
        <w:left w:val="none" w:sz="0" w:space="0" w:color="auto"/>
        <w:bottom w:val="none" w:sz="0" w:space="0" w:color="auto"/>
        <w:right w:val="none" w:sz="0" w:space="0" w:color="auto"/>
      </w:divBdr>
    </w:div>
    <w:div w:id="1435445147">
      <w:bodyDiv w:val="1"/>
      <w:marLeft w:val="0"/>
      <w:marRight w:val="0"/>
      <w:marTop w:val="0"/>
      <w:marBottom w:val="0"/>
      <w:divBdr>
        <w:top w:val="none" w:sz="0" w:space="0" w:color="auto"/>
        <w:left w:val="none" w:sz="0" w:space="0" w:color="auto"/>
        <w:bottom w:val="none" w:sz="0" w:space="0" w:color="auto"/>
        <w:right w:val="none" w:sz="0" w:space="0" w:color="auto"/>
      </w:divBdr>
    </w:div>
    <w:div w:id="1968003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186/s43141-021-00134-1" TargetMode="External"/><Relationship Id="rId3" Type="http://schemas.openxmlformats.org/officeDocument/2006/relationships/settings" Target="settings.xml"/><Relationship Id="rId7" Type="http://schemas.openxmlformats.org/officeDocument/2006/relationships/hyperlink" Target="https://link.springer.com/article/10.1186/s43141-021-00134-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article/10.1186/s43141-021-00134-1" TargetMode="External"/><Relationship Id="rId11" Type="http://schemas.openxmlformats.org/officeDocument/2006/relationships/theme" Target="theme/theme1.xml"/><Relationship Id="rId5" Type="http://schemas.openxmlformats.org/officeDocument/2006/relationships/hyperlink" Target="https://link.springer.com/article/10.1186/s43141-021-00134-1"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186/s43141-021-0013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424</Words>
  <Characters>2420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etherweb</Company>
  <LinksUpToDate>false</LinksUpToDate>
  <CharactersWithSpaces>2839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Tawaf</dc:creator>
  <cp:lastModifiedBy>Tawaf</cp:lastModifiedBy>
  <cp:revision>2</cp:revision>
  <dcterms:created xsi:type="dcterms:W3CDTF">2021-07-24T06:27:00Z</dcterms:created>
  <dcterms:modified xsi:type="dcterms:W3CDTF">2021-07-24T06:27:00Z</dcterms:modified>
</cp:coreProperties>
</file>