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F6E23" w14:textId="6F687FE3" w:rsidR="00061E00" w:rsidRPr="00061E00" w:rsidRDefault="00061E00">
      <w:pPr>
        <w:rPr>
          <w:rFonts w:ascii="Arial" w:hAnsi="Arial" w:cs="Arial"/>
          <w:b/>
          <w:bCs/>
          <w:sz w:val="38"/>
          <w:szCs w:val="38"/>
        </w:rPr>
      </w:pPr>
      <w:r>
        <w:rPr>
          <w:rFonts w:ascii="Arial" w:hAnsi="Arial" w:cs="Arial"/>
          <w:b/>
          <w:bCs/>
          <w:sz w:val="38"/>
          <w:szCs w:val="38"/>
        </w:rPr>
        <w:t xml:space="preserve">In Vitro Anthelmintic Activity Ethanolic Leaves Extract of </w:t>
      </w:r>
      <w:proofErr w:type="spellStart"/>
      <w:r>
        <w:rPr>
          <w:rFonts w:ascii="Arial" w:hAnsi="Arial" w:cs="Arial"/>
          <w:b/>
          <w:bCs/>
          <w:sz w:val="38"/>
          <w:szCs w:val="38"/>
        </w:rPr>
        <w:t>Gynura</w:t>
      </w:r>
      <w:proofErr w:type="spellEnd"/>
      <w:r>
        <w:rPr>
          <w:rFonts w:ascii="Arial" w:hAnsi="Arial" w:cs="Arial"/>
          <w:b/>
          <w:bCs/>
          <w:sz w:val="38"/>
          <w:szCs w:val="38"/>
        </w:rPr>
        <w:t xml:space="preserve"> Procumbens, a Prospective Medicinal Plant</w:t>
      </w:r>
    </w:p>
    <w:p w14:paraId="048B3E98" w14:textId="77777777" w:rsidR="00F136F5" w:rsidRPr="00061E00" w:rsidRDefault="00F136F5">
      <w:pPr>
        <w:rPr>
          <w:rFonts w:ascii="Arial" w:hAnsi="Arial" w:cs="Arial"/>
          <w:color w:val="2F5496" w:themeColor="accent1" w:themeShade="BF"/>
          <w:szCs w:val="22"/>
        </w:rPr>
      </w:pPr>
      <w:r w:rsidRPr="00061E00">
        <w:rPr>
          <w:rFonts w:ascii="Arial" w:hAnsi="Arial" w:cs="Arial"/>
          <w:color w:val="2F5496" w:themeColor="accent1" w:themeShade="BF"/>
          <w:szCs w:val="22"/>
        </w:rPr>
        <w:t>SM</w:t>
      </w:r>
      <w:r w:rsidRPr="00061E00">
        <w:rPr>
          <w:rFonts w:ascii="Arial" w:hAnsi="Arial" w:cs="Arial"/>
          <w:color w:val="2F5496" w:themeColor="accent1" w:themeShade="BF"/>
          <w:szCs w:val="22"/>
        </w:rPr>
        <w:t xml:space="preserve"> </w:t>
      </w:r>
      <w:proofErr w:type="spellStart"/>
      <w:r w:rsidRPr="00061E00">
        <w:rPr>
          <w:rFonts w:ascii="Arial" w:hAnsi="Arial" w:cs="Arial"/>
          <w:color w:val="2F5496" w:themeColor="accent1" w:themeShade="BF"/>
          <w:szCs w:val="22"/>
        </w:rPr>
        <w:t>Shaheen</w:t>
      </w:r>
      <w:proofErr w:type="spellEnd"/>
      <w:r w:rsidRPr="00061E00">
        <w:rPr>
          <w:rFonts w:ascii="Arial" w:hAnsi="Arial" w:cs="Arial"/>
          <w:color w:val="2F5496" w:themeColor="accent1" w:themeShade="BF"/>
          <w:szCs w:val="22"/>
        </w:rPr>
        <w:t>,</w:t>
      </w:r>
      <w:r w:rsidRPr="00061E00">
        <w:rPr>
          <w:rFonts w:ascii="Arial" w:hAnsi="Arial" w:cs="Arial"/>
          <w:color w:val="2F5496" w:themeColor="accent1" w:themeShade="BF"/>
          <w:szCs w:val="22"/>
        </w:rPr>
        <w:t xml:space="preserve"> Harun-Or</w:t>
      </w:r>
      <w:r w:rsidRPr="00061E00">
        <w:rPr>
          <w:rFonts w:ascii="Arial" w:hAnsi="Arial" w:cs="Arial"/>
          <w:color w:val="2F5496" w:themeColor="accent1" w:themeShade="BF"/>
          <w:szCs w:val="22"/>
        </w:rPr>
        <w:t xml:space="preserve"> </w:t>
      </w:r>
      <w:r w:rsidRPr="00061E00">
        <w:rPr>
          <w:rFonts w:ascii="Arial" w:hAnsi="Arial" w:cs="Arial"/>
          <w:color w:val="2F5496" w:themeColor="accent1" w:themeShade="BF"/>
          <w:szCs w:val="22"/>
        </w:rPr>
        <w:t>Rashid</w:t>
      </w:r>
      <w:r w:rsidRPr="00061E00">
        <w:rPr>
          <w:rFonts w:ascii="Arial" w:hAnsi="Arial" w:cs="Arial"/>
          <w:color w:val="2F5496" w:themeColor="accent1" w:themeShade="BF"/>
          <w:szCs w:val="22"/>
        </w:rPr>
        <w:t>,</w:t>
      </w:r>
      <w:r w:rsidRPr="00061E00">
        <w:rPr>
          <w:rFonts w:ascii="Arial" w:hAnsi="Arial" w:cs="Arial"/>
          <w:color w:val="2F5496" w:themeColor="accent1" w:themeShade="BF"/>
          <w:szCs w:val="22"/>
        </w:rPr>
        <w:t xml:space="preserve"> Haque</w:t>
      </w:r>
      <w:r w:rsidRPr="00061E00">
        <w:rPr>
          <w:rFonts w:ascii="Arial" w:hAnsi="Arial" w:cs="Arial"/>
          <w:color w:val="2F5496" w:themeColor="accent1" w:themeShade="BF"/>
          <w:szCs w:val="22"/>
        </w:rPr>
        <w:t xml:space="preserve"> </w:t>
      </w:r>
      <w:proofErr w:type="spellStart"/>
      <w:r w:rsidRPr="00061E00">
        <w:rPr>
          <w:rFonts w:ascii="Arial" w:hAnsi="Arial" w:cs="Arial"/>
          <w:color w:val="2F5496" w:themeColor="accent1" w:themeShade="BF"/>
          <w:szCs w:val="22"/>
        </w:rPr>
        <w:t>Anamul</w:t>
      </w:r>
      <w:proofErr w:type="spellEnd"/>
      <w:r w:rsidRPr="00061E00">
        <w:rPr>
          <w:rFonts w:ascii="Arial" w:hAnsi="Arial" w:cs="Arial"/>
          <w:color w:val="2F5496" w:themeColor="accent1" w:themeShade="BF"/>
          <w:szCs w:val="22"/>
        </w:rPr>
        <w:t>,</w:t>
      </w:r>
      <w:r w:rsidRPr="00061E00">
        <w:rPr>
          <w:rFonts w:ascii="Arial" w:hAnsi="Arial" w:cs="Arial"/>
          <w:color w:val="2F5496" w:themeColor="accent1" w:themeShade="BF"/>
          <w:szCs w:val="22"/>
        </w:rPr>
        <w:t xml:space="preserve"> W.</w:t>
      </w:r>
      <w:r w:rsidRPr="00061E00">
        <w:rPr>
          <w:rFonts w:ascii="Arial" w:hAnsi="Arial" w:cs="Arial"/>
          <w:color w:val="2F5496" w:themeColor="accent1" w:themeShade="BF"/>
          <w:szCs w:val="22"/>
        </w:rPr>
        <w:t xml:space="preserve"> </w:t>
      </w:r>
      <w:r w:rsidRPr="00061E00">
        <w:rPr>
          <w:rFonts w:ascii="Arial" w:hAnsi="Arial" w:cs="Arial"/>
          <w:color w:val="2F5496" w:themeColor="accent1" w:themeShade="BF"/>
          <w:szCs w:val="22"/>
        </w:rPr>
        <w:t>Ferdous</w:t>
      </w:r>
    </w:p>
    <w:p w14:paraId="3A4ACABC" w14:textId="7F211B99" w:rsidR="00F136F5" w:rsidRPr="00061E00" w:rsidRDefault="00F136F5">
      <w:pPr>
        <w:rPr>
          <w:rFonts w:ascii="Arial" w:hAnsi="Arial" w:cs="Arial"/>
          <w:b/>
          <w:bCs/>
          <w:sz w:val="28"/>
        </w:rPr>
      </w:pPr>
      <w:r w:rsidRPr="00061E00">
        <w:rPr>
          <w:rFonts w:ascii="Arial" w:hAnsi="Arial" w:cs="Arial"/>
          <w:b/>
          <w:bCs/>
          <w:sz w:val="28"/>
        </w:rPr>
        <w:t>Abstract</w:t>
      </w:r>
      <w:r w:rsidR="00061E00" w:rsidRPr="00061E00">
        <w:rPr>
          <w:rFonts w:ascii="Arial" w:hAnsi="Arial" w:cs="Arial"/>
          <w:b/>
          <w:bCs/>
          <w:sz w:val="28"/>
        </w:rPr>
        <w:t>:</w:t>
      </w:r>
    </w:p>
    <w:p w14:paraId="06947E97" w14:textId="50EA532F" w:rsidR="00F136F5" w:rsidRPr="00F136F5" w:rsidRDefault="00061E00">
      <w:pPr>
        <w:rPr>
          <w:rFonts w:ascii="Arial" w:hAnsi="Arial" w:cs="Arial"/>
          <w:szCs w:val="22"/>
        </w:rPr>
      </w:pPr>
      <w:r w:rsidRPr="00F136F5">
        <w:rPr>
          <w:rFonts w:ascii="Arial" w:hAnsi="Arial" w:cs="Arial"/>
          <w:szCs w:val="22"/>
        </w:rPr>
        <w:t>Anthelmintic</w:t>
      </w:r>
      <w:r w:rsidR="00F136F5" w:rsidRPr="00F136F5">
        <w:rPr>
          <w:rFonts w:ascii="Arial" w:hAnsi="Arial" w:cs="Arial"/>
          <w:szCs w:val="22"/>
        </w:rPr>
        <w:t xml:space="preserve"> activity of crude </w:t>
      </w:r>
      <w:proofErr w:type="spellStart"/>
      <w:r w:rsidR="00F136F5" w:rsidRPr="00F136F5">
        <w:rPr>
          <w:rFonts w:ascii="Arial" w:hAnsi="Arial" w:cs="Arial"/>
          <w:szCs w:val="22"/>
        </w:rPr>
        <w:t>gynura</w:t>
      </w:r>
      <w:proofErr w:type="spellEnd"/>
      <w:r w:rsidR="00F136F5" w:rsidRPr="00F136F5">
        <w:rPr>
          <w:rFonts w:ascii="Arial" w:hAnsi="Arial" w:cs="Arial"/>
          <w:szCs w:val="22"/>
        </w:rPr>
        <w:t xml:space="preserve"> procumbens leaves extract was evaluated using adult </w:t>
      </w:r>
      <w:proofErr w:type="spellStart"/>
      <w:r w:rsidR="00F136F5" w:rsidRPr="00F136F5">
        <w:rPr>
          <w:rFonts w:ascii="Arial" w:hAnsi="Arial" w:cs="Arial"/>
          <w:szCs w:val="22"/>
        </w:rPr>
        <w:t>earthwarms</w:t>
      </w:r>
      <w:proofErr w:type="spellEnd"/>
      <w:r w:rsidR="00F136F5" w:rsidRPr="00F136F5">
        <w:rPr>
          <w:rFonts w:ascii="Arial" w:hAnsi="Arial" w:cs="Arial"/>
          <w:szCs w:val="22"/>
        </w:rPr>
        <w:t xml:space="preserve">. </w:t>
      </w:r>
      <w:proofErr w:type="spellStart"/>
      <w:r w:rsidR="00F136F5" w:rsidRPr="00F136F5">
        <w:rPr>
          <w:rFonts w:ascii="Arial" w:hAnsi="Arial" w:cs="Arial"/>
          <w:szCs w:val="22"/>
        </w:rPr>
        <w:t>Gynura</w:t>
      </w:r>
      <w:proofErr w:type="spellEnd"/>
      <w:r w:rsidR="00F136F5" w:rsidRPr="00F136F5">
        <w:rPr>
          <w:rFonts w:ascii="Arial" w:hAnsi="Arial" w:cs="Arial"/>
          <w:szCs w:val="22"/>
        </w:rPr>
        <w:t xml:space="preserve"> procumbens (</w:t>
      </w:r>
      <w:proofErr w:type="spellStart"/>
      <w:r w:rsidR="00F136F5" w:rsidRPr="00F136F5">
        <w:rPr>
          <w:rFonts w:ascii="Arial" w:hAnsi="Arial" w:cs="Arial"/>
          <w:szCs w:val="22"/>
        </w:rPr>
        <w:t>Lour</w:t>
      </w:r>
      <w:proofErr w:type="spellEnd"/>
      <w:r w:rsidR="00F136F5" w:rsidRPr="00F136F5">
        <w:rPr>
          <w:rFonts w:ascii="Arial" w:hAnsi="Arial" w:cs="Arial"/>
          <w:szCs w:val="22"/>
        </w:rPr>
        <w:t xml:space="preserve">.) </w:t>
      </w:r>
      <w:proofErr w:type="spellStart"/>
      <w:r w:rsidR="00F136F5" w:rsidRPr="00F136F5">
        <w:rPr>
          <w:rFonts w:ascii="Arial" w:hAnsi="Arial" w:cs="Arial"/>
          <w:szCs w:val="22"/>
        </w:rPr>
        <w:t>Merr</w:t>
      </w:r>
      <w:proofErr w:type="spellEnd"/>
      <w:r w:rsidR="00F136F5" w:rsidRPr="00F136F5">
        <w:rPr>
          <w:rFonts w:ascii="Arial" w:hAnsi="Arial" w:cs="Arial"/>
          <w:szCs w:val="22"/>
        </w:rPr>
        <w:t xml:space="preserve">. (Family Asteraceae) is a </w:t>
      </w:r>
      <w:proofErr w:type="gramStart"/>
      <w:r w:rsidR="00F136F5" w:rsidRPr="00F136F5">
        <w:rPr>
          <w:rFonts w:ascii="Arial" w:hAnsi="Arial" w:cs="Arial"/>
          <w:szCs w:val="22"/>
        </w:rPr>
        <w:t>medicinal plants</w:t>
      </w:r>
      <w:proofErr w:type="gramEnd"/>
      <w:r w:rsidR="00F136F5" w:rsidRPr="00F136F5">
        <w:rPr>
          <w:rFonts w:ascii="Arial" w:hAnsi="Arial" w:cs="Arial"/>
          <w:szCs w:val="22"/>
        </w:rPr>
        <w:t xml:space="preserve"> often found in tropical Asian countries such as China, Thailand, Indonesia, Malaysia, Vietnam. Traditionally, it is widely used in a wide variety of countries to treat a wide variety of health disorders such as kidney discomfort, rheumatism, diabetes mellitus, constipation and hypertension. On the basis of traditional uses of G. procumbens plant’s </w:t>
      </w:r>
      <w:proofErr w:type="gramStart"/>
      <w:r w:rsidR="00F136F5" w:rsidRPr="00F136F5">
        <w:rPr>
          <w:rFonts w:ascii="Arial" w:hAnsi="Arial" w:cs="Arial"/>
          <w:szCs w:val="22"/>
        </w:rPr>
        <w:t>leaves ,</w:t>
      </w:r>
      <w:proofErr w:type="gramEnd"/>
      <w:r w:rsidR="00F136F5" w:rsidRPr="00F136F5">
        <w:rPr>
          <w:rFonts w:ascii="Arial" w:hAnsi="Arial" w:cs="Arial"/>
          <w:szCs w:val="22"/>
        </w:rPr>
        <w:t xml:space="preserve"> it seems to possess high therapeutic effect for treatment of various diseases making it a target for pharmacological studies aiming to validate and provide scientific evidence for the traditional claims of its efficacy. For anthelmintic activity standard </w:t>
      </w:r>
      <w:proofErr w:type="spellStart"/>
      <w:r w:rsidR="00F136F5" w:rsidRPr="00F136F5">
        <w:rPr>
          <w:rFonts w:ascii="Arial" w:hAnsi="Arial" w:cs="Arial"/>
          <w:szCs w:val="22"/>
        </w:rPr>
        <w:t>albandazole</w:t>
      </w:r>
      <w:proofErr w:type="spellEnd"/>
      <w:r w:rsidR="00F136F5" w:rsidRPr="00F136F5">
        <w:rPr>
          <w:rFonts w:ascii="Arial" w:hAnsi="Arial" w:cs="Arial"/>
          <w:szCs w:val="22"/>
        </w:rPr>
        <w:t xml:space="preserve"> preparation 15mg/ml showed paralysis time 11.8 and death time 20.6. The extract of G. Procumbens 25mg/ml (paralysis time 36.4 and death time 52.4), 50mg/</w:t>
      </w:r>
      <w:proofErr w:type="gramStart"/>
      <w:r w:rsidR="00F136F5" w:rsidRPr="00F136F5">
        <w:rPr>
          <w:rFonts w:ascii="Arial" w:hAnsi="Arial" w:cs="Arial"/>
          <w:szCs w:val="22"/>
        </w:rPr>
        <w:t>ml(</w:t>
      </w:r>
      <w:proofErr w:type="gramEnd"/>
      <w:r w:rsidR="00F136F5" w:rsidRPr="00F136F5">
        <w:rPr>
          <w:rFonts w:ascii="Arial" w:hAnsi="Arial" w:cs="Arial"/>
          <w:szCs w:val="22"/>
        </w:rPr>
        <w:t>paralysis time 22 and death time 41) and 100mg/ml (paralysis time 16 and death time 26). The results of present study specify that the ethanolic extract significantly indicate paralysis and also caused death of worms in dose dependent manner.</w:t>
      </w:r>
    </w:p>
    <w:p w14:paraId="0ABF212C" w14:textId="42B84FEC" w:rsidR="00F136F5" w:rsidRDefault="00F136F5">
      <w:pPr>
        <w:rPr>
          <w:rFonts w:ascii="Arial" w:hAnsi="Arial" w:cs="Arial"/>
          <w:b/>
          <w:bCs/>
          <w:color w:val="4C4C4C"/>
          <w:szCs w:val="22"/>
          <w:shd w:val="clear" w:color="auto" w:fill="FFFFFF"/>
        </w:rPr>
      </w:pPr>
      <w:r w:rsidRPr="00F136F5">
        <w:rPr>
          <w:rFonts w:ascii="Arial" w:hAnsi="Arial" w:cs="Arial"/>
          <w:b/>
          <w:bCs/>
          <w:color w:val="4C4C4C"/>
          <w:szCs w:val="22"/>
          <w:shd w:val="clear" w:color="auto" w:fill="FFFFFF"/>
        </w:rPr>
        <w:t>Conference / Journal Link</w:t>
      </w:r>
      <w:r w:rsidRPr="00F136F5">
        <w:rPr>
          <w:rFonts w:ascii="Arial" w:hAnsi="Arial" w:cs="Arial"/>
          <w:b/>
          <w:bCs/>
          <w:color w:val="4C4C4C"/>
          <w:szCs w:val="22"/>
          <w:shd w:val="clear" w:color="auto" w:fill="FFFFFF"/>
        </w:rPr>
        <w:t>:</w:t>
      </w:r>
      <w:r w:rsidR="00061E00">
        <w:rPr>
          <w:rFonts w:ascii="Arial" w:hAnsi="Arial" w:cs="Arial"/>
          <w:b/>
          <w:bCs/>
          <w:color w:val="4C4C4C"/>
          <w:szCs w:val="22"/>
          <w:shd w:val="clear" w:color="auto" w:fill="FFFFFF"/>
        </w:rPr>
        <w:t xml:space="preserve"> </w:t>
      </w:r>
      <w:hyperlink r:id="rId4" w:history="1">
        <w:r w:rsidR="00061E00" w:rsidRPr="00677A30">
          <w:rPr>
            <w:rStyle w:val="Hyperlink"/>
            <w:rFonts w:ascii="Arial" w:hAnsi="Arial" w:cs="Arial"/>
            <w:b/>
            <w:bCs/>
            <w:szCs w:val="22"/>
            <w:shd w:val="clear" w:color="auto" w:fill="FFFFFF"/>
          </w:rPr>
          <w:t>https://pharmacologyonline.silae.it/files/archives/2019/vol1/PhOL_2019_1_A019_Shaheen.pdf</w:t>
        </w:r>
      </w:hyperlink>
    </w:p>
    <w:p w14:paraId="3AE575F9" w14:textId="77777777" w:rsidR="00061E00" w:rsidRPr="00F136F5" w:rsidRDefault="00061E00">
      <w:pPr>
        <w:rPr>
          <w:rFonts w:ascii="Helvetica" w:hAnsi="Helvetica" w:cs="Helvetica"/>
          <w:b/>
          <w:bCs/>
          <w:color w:val="4C4C4C"/>
          <w:sz w:val="20"/>
          <w:szCs w:val="20"/>
          <w:shd w:val="clear" w:color="auto" w:fill="FFFFFF"/>
        </w:rPr>
      </w:pPr>
    </w:p>
    <w:sectPr w:rsidR="00061E00" w:rsidRPr="00F136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zMbE0Nzc1t7C0MDVV0lEKTi0uzszPAykwrAUAbmvzGiwAAAA="/>
  </w:docVars>
  <w:rsids>
    <w:rsidRoot w:val="00F136F5"/>
    <w:rsid w:val="00061E00"/>
    <w:rsid w:val="00507823"/>
    <w:rsid w:val="00F1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CCE83"/>
  <w15:chartTrackingRefBased/>
  <w15:docId w15:val="{7D57370B-09D4-4B48-B98F-5B7F0FA8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36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3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harmacologyonline.silae.it/files/archives/2019/vol1/PhOL_2019_1_A019_Shahe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Hasnaine Siddique</dc:creator>
  <cp:keywords/>
  <dc:description/>
  <cp:lastModifiedBy>Hasnaine Siddique</cp:lastModifiedBy>
  <cp:revision>1</cp:revision>
  <dcterms:created xsi:type="dcterms:W3CDTF">2021-08-05T13:49:00Z</dcterms:created>
  <dcterms:modified xsi:type="dcterms:W3CDTF">2021-08-05T14:03:00Z</dcterms:modified>
</cp:coreProperties>
</file>