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B1A0B" w14:textId="67726606" w:rsidR="00D41284" w:rsidRPr="00D41284" w:rsidRDefault="00D41284">
      <w:pPr>
        <w:rPr>
          <w:rFonts w:ascii="Arial" w:hAnsi="Arial" w:cs="Arial"/>
          <w:b/>
          <w:bCs/>
          <w:sz w:val="36"/>
          <w:szCs w:val="36"/>
        </w:rPr>
      </w:pPr>
      <w:r>
        <w:rPr>
          <w:rFonts w:ascii="Arial" w:hAnsi="Arial" w:cs="Arial"/>
          <w:b/>
          <w:bCs/>
          <w:sz w:val="36"/>
          <w:szCs w:val="36"/>
        </w:rPr>
        <w:t>In-vitro Study of Formulated Paracetamol Plus Caffeine Tablet with Different Brands Available in Bangladesh</w:t>
      </w:r>
    </w:p>
    <w:p w14:paraId="61F447C1" w14:textId="11130A82" w:rsidR="00D41284" w:rsidRPr="00D41284" w:rsidRDefault="00D41284">
      <w:pPr>
        <w:rPr>
          <w:rFonts w:ascii="Arial" w:hAnsi="Arial" w:cs="Arial"/>
          <w:color w:val="2F5496" w:themeColor="accent1" w:themeShade="BF"/>
        </w:rPr>
      </w:pPr>
      <w:r w:rsidRPr="00D41284">
        <w:rPr>
          <w:rFonts w:ascii="Arial" w:hAnsi="Arial" w:cs="Arial"/>
          <w:color w:val="2F5496" w:themeColor="accent1" w:themeShade="BF"/>
        </w:rPr>
        <w:t xml:space="preserve">Md. </w:t>
      </w:r>
      <w:proofErr w:type="spellStart"/>
      <w:r w:rsidRPr="00D41284">
        <w:rPr>
          <w:rFonts w:ascii="Arial" w:hAnsi="Arial" w:cs="Arial"/>
          <w:color w:val="2F5496" w:themeColor="accent1" w:themeShade="BF"/>
        </w:rPr>
        <w:t>Mizanur</w:t>
      </w:r>
      <w:proofErr w:type="spellEnd"/>
      <w:r w:rsidRPr="00D41284">
        <w:rPr>
          <w:rFonts w:ascii="Arial" w:hAnsi="Arial" w:cs="Arial"/>
          <w:color w:val="2F5496" w:themeColor="accent1" w:themeShade="BF"/>
        </w:rPr>
        <w:t xml:space="preserve"> Rahman, Md. </w:t>
      </w:r>
      <w:proofErr w:type="spellStart"/>
      <w:r w:rsidRPr="00D41284">
        <w:rPr>
          <w:rFonts w:ascii="Arial" w:hAnsi="Arial" w:cs="Arial"/>
          <w:color w:val="2F5496" w:themeColor="accent1" w:themeShade="BF"/>
        </w:rPr>
        <w:t>Tuhin</w:t>
      </w:r>
      <w:proofErr w:type="spellEnd"/>
      <w:r w:rsidRPr="00D41284">
        <w:rPr>
          <w:rFonts w:ascii="Arial" w:hAnsi="Arial" w:cs="Arial"/>
          <w:color w:val="2F5496" w:themeColor="accent1" w:themeShade="BF"/>
        </w:rPr>
        <w:t xml:space="preserve"> </w:t>
      </w:r>
      <w:proofErr w:type="spellStart"/>
      <w:r w:rsidRPr="00D41284">
        <w:rPr>
          <w:rFonts w:ascii="Arial" w:hAnsi="Arial" w:cs="Arial"/>
          <w:color w:val="2F5496" w:themeColor="accent1" w:themeShade="BF"/>
        </w:rPr>
        <w:t>Akther</w:t>
      </w:r>
      <w:proofErr w:type="spellEnd"/>
      <w:r w:rsidRPr="00D41284">
        <w:rPr>
          <w:rFonts w:ascii="Arial" w:hAnsi="Arial" w:cs="Arial"/>
          <w:color w:val="2F5496" w:themeColor="accent1" w:themeShade="BF"/>
        </w:rPr>
        <w:t xml:space="preserve">, Sara </w:t>
      </w:r>
      <w:proofErr w:type="spellStart"/>
      <w:r w:rsidRPr="00D41284">
        <w:rPr>
          <w:rFonts w:ascii="Arial" w:hAnsi="Arial" w:cs="Arial"/>
          <w:color w:val="2F5496" w:themeColor="accent1" w:themeShade="BF"/>
        </w:rPr>
        <w:t>Jaman</w:t>
      </w:r>
      <w:proofErr w:type="spellEnd"/>
      <w:r w:rsidRPr="00D41284">
        <w:rPr>
          <w:rFonts w:ascii="Arial" w:hAnsi="Arial" w:cs="Arial"/>
          <w:color w:val="2F5496" w:themeColor="accent1" w:themeShade="BF"/>
        </w:rPr>
        <w:t xml:space="preserve"> Talukdar, </w:t>
      </w:r>
      <w:proofErr w:type="spellStart"/>
      <w:r w:rsidRPr="00D41284">
        <w:rPr>
          <w:rFonts w:ascii="Arial" w:hAnsi="Arial" w:cs="Arial"/>
          <w:color w:val="2F5496" w:themeColor="accent1" w:themeShade="BF"/>
        </w:rPr>
        <w:t>Tahmina</w:t>
      </w:r>
      <w:proofErr w:type="spellEnd"/>
      <w:r w:rsidRPr="00D41284">
        <w:rPr>
          <w:rFonts w:ascii="Arial" w:hAnsi="Arial" w:cs="Arial"/>
          <w:color w:val="2F5496" w:themeColor="accent1" w:themeShade="BF"/>
        </w:rPr>
        <w:t xml:space="preserve"> </w:t>
      </w:r>
      <w:proofErr w:type="spellStart"/>
      <w:r w:rsidRPr="00D41284">
        <w:rPr>
          <w:rFonts w:ascii="Arial" w:hAnsi="Arial" w:cs="Arial"/>
          <w:color w:val="2F5496" w:themeColor="accent1" w:themeShade="BF"/>
        </w:rPr>
        <w:t>Afroz</w:t>
      </w:r>
      <w:proofErr w:type="spellEnd"/>
      <w:r w:rsidRPr="00D41284">
        <w:rPr>
          <w:rFonts w:ascii="Arial" w:hAnsi="Arial" w:cs="Arial"/>
          <w:color w:val="2F5496" w:themeColor="accent1" w:themeShade="BF"/>
        </w:rPr>
        <w:t>,</w:t>
      </w:r>
      <w:r w:rsidRPr="00D41284">
        <w:rPr>
          <w:rFonts w:ascii="Arial" w:hAnsi="Arial" w:cs="Arial"/>
          <w:color w:val="2F5496" w:themeColor="accent1" w:themeShade="BF"/>
        </w:rPr>
        <w:t xml:space="preserve"> </w:t>
      </w:r>
      <w:r w:rsidRPr="00D41284">
        <w:rPr>
          <w:rFonts w:ascii="Arial" w:hAnsi="Arial" w:cs="Arial"/>
          <w:color w:val="2F5496" w:themeColor="accent1" w:themeShade="BF"/>
        </w:rPr>
        <w:t>A.K Azad</w:t>
      </w:r>
    </w:p>
    <w:p w14:paraId="610D5223" w14:textId="510A9F1C" w:rsidR="00D41284" w:rsidRPr="00D41284" w:rsidRDefault="00D41284">
      <w:pPr>
        <w:rPr>
          <w:rFonts w:ascii="Arial" w:hAnsi="Arial" w:cs="Arial"/>
          <w:b/>
          <w:bCs/>
          <w:sz w:val="28"/>
        </w:rPr>
      </w:pPr>
      <w:r w:rsidRPr="00D41284">
        <w:rPr>
          <w:rFonts w:ascii="Arial" w:hAnsi="Arial" w:cs="Arial"/>
          <w:b/>
          <w:bCs/>
          <w:sz w:val="28"/>
        </w:rPr>
        <w:t>Abstract</w:t>
      </w:r>
      <w:r w:rsidRPr="00D41284">
        <w:rPr>
          <w:rFonts w:ascii="Arial" w:hAnsi="Arial" w:cs="Arial"/>
          <w:b/>
          <w:bCs/>
          <w:sz w:val="28"/>
        </w:rPr>
        <w:t>:</w:t>
      </w:r>
    </w:p>
    <w:p w14:paraId="14008548" w14:textId="73135A40" w:rsidR="00D41284" w:rsidRPr="00D41284" w:rsidRDefault="00D41284">
      <w:pPr>
        <w:rPr>
          <w:rFonts w:ascii="Arial" w:hAnsi="Arial" w:cs="Arial"/>
        </w:rPr>
      </w:pPr>
      <w:r w:rsidRPr="00D41284">
        <w:rPr>
          <w:rFonts w:ascii="Arial" w:hAnsi="Arial" w:cs="Arial"/>
        </w:rPr>
        <w:t xml:space="preserve">This study aimed to formulate paracetamol with caffeine tablets and comparing them with four local marketed </w:t>
      </w:r>
      <w:r w:rsidRPr="00D41284">
        <w:rPr>
          <w:rFonts w:ascii="Arial" w:hAnsi="Arial" w:cs="Arial"/>
        </w:rPr>
        <w:t>paracetamols</w:t>
      </w:r>
      <w:r w:rsidRPr="00D41284">
        <w:rPr>
          <w:rFonts w:ascii="Arial" w:hAnsi="Arial" w:cs="Arial"/>
        </w:rPr>
        <w:t xml:space="preserve"> with caffeine coated tablets. Different batches numbers selected the samples randomly and the physicochemical experiments were done according to monographs. The tablets were prepared by using wet granulation method. All the coated tablets passed weight variation test as the percentage of weight variation was within USP limits of ± 5% of the average weight. The chemical assay test of all the tablets showed that none had potency less than the required specifications of USP. The in vitro dissolution test results were found within the BP recommended limits for paracetamol 500 mg &amp; caffeine 65mg film coated tablets. The comparative in-vitro study of FP+C with four different brands showed that FP+C has almost comparable characteristics with these brands. This study also proved the physicochemical equivalency of the four different brands. If any one brand is not available in the market then other three brands can be taken in place of that unavailable brand.</w:t>
      </w:r>
    </w:p>
    <w:p w14:paraId="366A1050" w14:textId="5E4E8C07" w:rsidR="00D41284" w:rsidRDefault="00D41284">
      <w:pPr>
        <w:rPr>
          <w:rFonts w:ascii="Helvetica" w:hAnsi="Helvetica" w:cs="Helvetica"/>
          <w:b/>
          <w:bCs/>
          <w:color w:val="4C4C4C"/>
          <w:sz w:val="20"/>
          <w:szCs w:val="20"/>
          <w:shd w:val="clear" w:color="auto" w:fill="FFFFFF"/>
        </w:rPr>
      </w:pPr>
      <w:r w:rsidRPr="00D41284">
        <w:rPr>
          <w:rFonts w:ascii="Helvetica" w:hAnsi="Helvetica" w:cs="Helvetica"/>
          <w:b/>
          <w:bCs/>
          <w:color w:val="4C4C4C"/>
          <w:szCs w:val="22"/>
          <w:shd w:val="clear" w:color="auto" w:fill="FFFFFF"/>
        </w:rPr>
        <w:t>Conference / Journal Link</w:t>
      </w:r>
      <w:r w:rsidRPr="00D41284">
        <w:rPr>
          <w:rFonts w:ascii="Helvetica" w:hAnsi="Helvetica" w:cs="Helvetica"/>
          <w:b/>
          <w:bCs/>
          <w:color w:val="4C4C4C"/>
          <w:szCs w:val="22"/>
          <w:shd w:val="clear" w:color="auto" w:fill="FFFFFF"/>
        </w:rPr>
        <w:t>:</w:t>
      </w:r>
      <w:r>
        <w:rPr>
          <w:rFonts w:ascii="Helvetica" w:hAnsi="Helvetica" w:cs="Helvetica"/>
          <w:b/>
          <w:bCs/>
          <w:color w:val="4C4C4C"/>
          <w:szCs w:val="22"/>
          <w:shd w:val="clear" w:color="auto" w:fill="FFFFFF"/>
        </w:rPr>
        <w:t xml:space="preserve"> </w:t>
      </w:r>
      <w:hyperlink r:id="rId4" w:history="1">
        <w:r w:rsidRPr="00001649">
          <w:rPr>
            <w:rStyle w:val="Hyperlink"/>
            <w:rFonts w:ascii="Helvetica" w:hAnsi="Helvetica" w:cs="Helvetica"/>
            <w:b/>
            <w:bCs/>
            <w:sz w:val="20"/>
            <w:szCs w:val="20"/>
            <w:shd w:val="clear" w:color="auto" w:fill="FFFFFF"/>
          </w:rPr>
          <w:t>https://pharmacologyonline.silae.it/files/newsletter/2019/vol2/PhOL_2019_2_NL009_Rahman.pdf</w:t>
        </w:r>
      </w:hyperlink>
    </w:p>
    <w:p w14:paraId="10A67D72" w14:textId="77777777" w:rsidR="00D41284" w:rsidRPr="00D41284" w:rsidRDefault="00D41284">
      <w:pPr>
        <w:rPr>
          <w:rFonts w:ascii="Helvetica" w:hAnsi="Helvetica" w:cs="Helvetica"/>
          <w:b/>
          <w:bCs/>
          <w:color w:val="4C4C4C"/>
          <w:sz w:val="20"/>
          <w:szCs w:val="20"/>
          <w:shd w:val="clear" w:color="auto" w:fill="FFFFFF"/>
        </w:rPr>
      </w:pPr>
    </w:p>
    <w:sectPr w:rsidR="00D41284" w:rsidRPr="00D41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zNTY3MTY3MDc2sDRV0lEKTi0uzszPAykwrAUAwq6YeSwAAAA="/>
  </w:docVars>
  <w:rsids>
    <w:rsidRoot w:val="00D41284"/>
    <w:rsid w:val="00381F1C"/>
    <w:rsid w:val="00D4128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9249"/>
  <w15:chartTrackingRefBased/>
  <w15:docId w15:val="{93CD7314-C546-4F56-9DDC-FA686709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284"/>
    <w:rPr>
      <w:color w:val="0563C1" w:themeColor="hyperlink"/>
      <w:u w:val="single"/>
    </w:rPr>
  </w:style>
  <w:style w:type="character" w:styleId="UnresolvedMention">
    <w:name w:val="Unresolved Mention"/>
    <w:basedOn w:val="DefaultParagraphFont"/>
    <w:uiPriority w:val="99"/>
    <w:semiHidden/>
    <w:unhideWhenUsed/>
    <w:rsid w:val="00D41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newsletter/2019/vol2/PhOL_2019_2_NL009_Rahm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226</Words>
  <Characters>1289</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2021-08-05T16:15:00Z</dcterms:created>
  <dcterms:modified xsi:type="dcterms:W3CDTF">2021-08-05T16:22:00Z</dcterms:modified>
</cp:coreProperties>
</file>