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3E2027" w14:textId="060B103C" w:rsidR="00F14AB2" w:rsidRPr="000F58B6" w:rsidRDefault="00F14AB2" w:rsidP="00F14AB2">
      <w:pPr>
        <w:rPr>
          <w:rFonts w:ascii="Arial" w:hAnsi="Arial" w:cs="Arial"/>
          <w:b/>
          <w:sz w:val="38"/>
          <w:szCs w:val="38"/>
        </w:rPr>
      </w:pPr>
      <w:bookmarkStart w:id="0" w:name="_GoBack"/>
      <w:r w:rsidRPr="000F58B6">
        <w:rPr>
          <w:rFonts w:ascii="Arial" w:hAnsi="Arial" w:cs="Arial"/>
          <w:b/>
          <w:sz w:val="38"/>
          <w:szCs w:val="38"/>
        </w:rPr>
        <w:t>Ligand-based Virtual Screening, Consensus Molecular Docking, Multi-target Analysis and Comprehensive ADMET Profiling and MD Stimulation to Find Out Noteworthy Tyrosine Kinase Inhibitor with Better Efficacy and Accuracy</w:t>
      </w:r>
    </w:p>
    <w:bookmarkEnd w:id="0"/>
    <w:p w14:paraId="224C207F" w14:textId="77777777" w:rsidR="00F14AB2" w:rsidRPr="000F58B6" w:rsidRDefault="00F14AB2" w:rsidP="00F14AB2">
      <w:pPr>
        <w:rPr>
          <w:rFonts w:ascii="Arial" w:hAnsi="Arial" w:cs="Arial"/>
          <w:color w:val="2F5496" w:themeColor="accent1" w:themeShade="BF"/>
        </w:rPr>
      </w:pPr>
      <w:r w:rsidRPr="000F58B6">
        <w:rPr>
          <w:rFonts w:ascii="Arial" w:hAnsi="Arial" w:cs="Arial"/>
          <w:color w:val="2F5496" w:themeColor="accent1" w:themeShade="BF"/>
        </w:rPr>
        <w:fldChar w:fldCharType="begin"/>
      </w:r>
      <w:r w:rsidRPr="000F58B6">
        <w:rPr>
          <w:rFonts w:ascii="Arial" w:hAnsi="Arial" w:cs="Arial"/>
          <w:color w:val="2F5496" w:themeColor="accent1" w:themeShade="BF"/>
        </w:rPr>
        <w:instrText xml:space="preserve"> HYPERLINK "https://link.springer.com/article/10.1007/s13596-019-00406-9" \l "auth-Arifur-Rahman" </w:instrText>
      </w:r>
      <w:r w:rsidRPr="000F58B6">
        <w:rPr>
          <w:rFonts w:ascii="Arial" w:hAnsi="Arial" w:cs="Arial"/>
          <w:color w:val="2F5496" w:themeColor="accent1" w:themeShade="BF"/>
        </w:rPr>
        <w:fldChar w:fldCharType="separate"/>
      </w:r>
      <w:proofErr w:type="spellStart"/>
      <w:r w:rsidRPr="000F58B6">
        <w:rPr>
          <w:rStyle w:val="Hyperlink"/>
          <w:rFonts w:ascii="Arial" w:hAnsi="Arial" w:cs="Arial"/>
          <w:color w:val="2F5496" w:themeColor="accent1" w:themeShade="BF"/>
          <w:u w:val="none"/>
        </w:rPr>
        <w:t>Arifur</w:t>
      </w:r>
      <w:proofErr w:type="spellEnd"/>
      <w:r w:rsidRPr="000F58B6">
        <w:rPr>
          <w:rStyle w:val="Hyperlink"/>
          <w:rFonts w:ascii="Arial" w:hAnsi="Arial" w:cs="Arial"/>
          <w:color w:val="2F5496" w:themeColor="accent1" w:themeShade="BF"/>
          <w:u w:val="none"/>
        </w:rPr>
        <w:t xml:space="preserve"> Rahman</w:t>
      </w:r>
      <w:r w:rsidRPr="000F58B6">
        <w:rPr>
          <w:rFonts w:ascii="Arial" w:hAnsi="Arial" w:cs="Arial"/>
          <w:color w:val="2F5496" w:themeColor="accent1" w:themeShade="BF"/>
        </w:rPr>
        <w:fldChar w:fldCharType="end"/>
      </w:r>
      <w:r w:rsidRPr="000F58B6">
        <w:rPr>
          <w:rFonts w:ascii="Arial" w:hAnsi="Arial" w:cs="Arial"/>
          <w:color w:val="2F5496" w:themeColor="accent1" w:themeShade="BF"/>
        </w:rPr>
        <w:t>, </w:t>
      </w:r>
      <w:hyperlink r:id="rId5" w:anchor="auth-Nazmul_Hasan-Naheed" w:history="1">
        <w:r w:rsidRPr="000F58B6">
          <w:rPr>
            <w:rStyle w:val="Hyperlink"/>
            <w:rFonts w:ascii="Arial" w:hAnsi="Arial" w:cs="Arial"/>
            <w:color w:val="2F5496" w:themeColor="accent1" w:themeShade="BF"/>
            <w:u w:val="none"/>
          </w:rPr>
          <w:t xml:space="preserve">Nazmul Hasan </w:t>
        </w:r>
        <w:proofErr w:type="spellStart"/>
        <w:r w:rsidRPr="000F58B6">
          <w:rPr>
            <w:rStyle w:val="Hyperlink"/>
            <w:rFonts w:ascii="Arial" w:hAnsi="Arial" w:cs="Arial"/>
            <w:color w:val="2F5496" w:themeColor="accent1" w:themeShade="BF"/>
            <w:u w:val="none"/>
          </w:rPr>
          <w:t>Naheed</w:t>
        </w:r>
        <w:proofErr w:type="spellEnd"/>
      </w:hyperlink>
      <w:r w:rsidRPr="000F58B6">
        <w:rPr>
          <w:rFonts w:ascii="Arial" w:hAnsi="Arial" w:cs="Arial"/>
          <w:color w:val="2F5496" w:themeColor="accent1" w:themeShade="BF"/>
        </w:rPr>
        <w:t>, </w:t>
      </w:r>
      <w:proofErr w:type="spellStart"/>
      <w:r w:rsidRPr="000F58B6">
        <w:rPr>
          <w:rFonts w:ascii="Arial" w:hAnsi="Arial" w:cs="Arial"/>
          <w:color w:val="2F5496" w:themeColor="accent1" w:themeShade="BF"/>
        </w:rPr>
        <w:fldChar w:fldCharType="begin"/>
      </w:r>
      <w:r w:rsidRPr="000F58B6">
        <w:rPr>
          <w:rFonts w:ascii="Arial" w:hAnsi="Arial" w:cs="Arial"/>
          <w:color w:val="2F5496" w:themeColor="accent1" w:themeShade="BF"/>
        </w:rPr>
        <w:instrText xml:space="preserve"> HYPERLINK "https://link.springer.com/article/10.1007/s13596-019-00406-9" \l "auth-Sabreena_Chowdhury-Raka" </w:instrText>
      </w:r>
      <w:r w:rsidRPr="000F58B6">
        <w:rPr>
          <w:rFonts w:ascii="Arial" w:hAnsi="Arial" w:cs="Arial"/>
          <w:color w:val="2F5496" w:themeColor="accent1" w:themeShade="BF"/>
        </w:rPr>
        <w:fldChar w:fldCharType="separate"/>
      </w:r>
      <w:r w:rsidRPr="000F58B6">
        <w:rPr>
          <w:rStyle w:val="Hyperlink"/>
          <w:rFonts w:ascii="Arial" w:hAnsi="Arial" w:cs="Arial"/>
          <w:color w:val="2F5496" w:themeColor="accent1" w:themeShade="BF"/>
          <w:u w:val="none"/>
        </w:rPr>
        <w:t>Sabreena</w:t>
      </w:r>
      <w:proofErr w:type="spellEnd"/>
      <w:r w:rsidRPr="000F58B6">
        <w:rPr>
          <w:rStyle w:val="Hyperlink"/>
          <w:rFonts w:ascii="Arial" w:hAnsi="Arial" w:cs="Arial"/>
          <w:color w:val="2F5496" w:themeColor="accent1" w:themeShade="BF"/>
          <w:u w:val="none"/>
        </w:rPr>
        <w:t xml:space="preserve"> Chowdhury </w:t>
      </w:r>
      <w:proofErr w:type="spellStart"/>
      <w:r w:rsidRPr="000F58B6">
        <w:rPr>
          <w:rStyle w:val="Hyperlink"/>
          <w:rFonts w:ascii="Arial" w:hAnsi="Arial" w:cs="Arial"/>
          <w:color w:val="2F5496" w:themeColor="accent1" w:themeShade="BF"/>
          <w:u w:val="none"/>
        </w:rPr>
        <w:t>Raka</w:t>
      </w:r>
      <w:proofErr w:type="spellEnd"/>
      <w:r w:rsidRPr="000F58B6">
        <w:rPr>
          <w:rFonts w:ascii="Arial" w:hAnsi="Arial" w:cs="Arial"/>
          <w:color w:val="2F5496" w:themeColor="accent1" w:themeShade="BF"/>
        </w:rPr>
        <w:fldChar w:fldCharType="end"/>
      </w:r>
      <w:r w:rsidRPr="000F58B6">
        <w:rPr>
          <w:rFonts w:ascii="Arial" w:hAnsi="Arial" w:cs="Arial"/>
          <w:color w:val="2F5496" w:themeColor="accent1" w:themeShade="BF"/>
        </w:rPr>
        <w:t xml:space="preserve">, </w:t>
      </w:r>
      <w:hyperlink r:id="rId6" w:anchor="auth-Nazmul-Qais" w:history="1">
        <w:r w:rsidRPr="000F58B6">
          <w:rPr>
            <w:rStyle w:val="Hyperlink"/>
            <w:rFonts w:ascii="Arial" w:hAnsi="Arial" w:cs="Arial"/>
            <w:color w:val="2F5496" w:themeColor="accent1" w:themeShade="BF"/>
            <w:u w:val="none"/>
          </w:rPr>
          <w:t xml:space="preserve">Nazmul </w:t>
        </w:r>
        <w:proofErr w:type="spellStart"/>
        <w:r w:rsidRPr="000F58B6">
          <w:rPr>
            <w:rStyle w:val="Hyperlink"/>
            <w:rFonts w:ascii="Arial" w:hAnsi="Arial" w:cs="Arial"/>
            <w:color w:val="2F5496" w:themeColor="accent1" w:themeShade="BF"/>
            <w:u w:val="none"/>
          </w:rPr>
          <w:t>Qais</w:t>
        </w:r>
        <w:proofErr w:type="spellEnd"/>
      </w:hyperlink>
      <w:r w:rsidRPr="000F58B6">
        <w:rPr>
          <w:rFonts w:ascii="Arial" w:hAnsi="Arial" w:cs="Arial"/>
          <w:color w:val="2F5496" w:themeColor="accent1" w:themeShade="BF"/>
        </w:rPr>
        <w:t xml:space="preserve">, </w:t>
      </w:r>
      <w:hyperlink r:id="rId7" w:anchor="auth-A__Z__M__Ruhul-Momen" w:history="1">
        <w:r w:rsidRPr="000F58B6">
          <w:rPr>
            <w:rStyle w:val="Hyperlink"/>
            <w:rFonts w:ascii="Arial" w:hAnsi="Arial" w:cs="Arial"/>
            <w:color w:val="2F5496" w:themeColor="accent1" w:themeShade="BF"/>
            <w:u w:val="none"/>
          </w:rPr>
          <w:t xml:space="preserve">A. Z. M. Ruhul </w:t>
        </w:r>
        <w:proofErr w:type="spellStart"/>
        <w:r w:rsidRPr="000F58B6">
          <w:rPr>
            <w:rStyle w:val="Hyperlink"/>
            <w:rFonts w:ascii="Arial" w:hAnsi="Arial" w:cs="Arial"/>
            <w:color w:val="2F5496" w:themeColor="accent1" w:themeShade="BF"/>
            <w:u w:val="none"/>
          </w:rPr>
          <w:t>Momen</w:t>
        </w:r>
        <w:proofErr w:type="spellEnd"/>
      </w:hyperlink>
    </w:p>
    <w:p w14:paraId="7217BE8C" w14:textId="77777777" w:rsidR="00F14AB2" w:rsidRPr="000F58B6" w:rsidRDefault="00F14AB2" w:rsidP="00F14AB2">
      <w:pPr>
        <w:rPr>
          <w:rFonts w:ascii="Arial" w:hAnsi="Arial" w:cs="Arial"/>
          <w:b/>
          <w:sz w:val="28"/>
          <w:szCs w:val="28"/>
        </w:rPr>
      </w:pPr>
      <w:r w:rsidRPr="000F58B6">
        <w:rPr>
          <w:rFonts w:ascii="Arial" w:hAnsi="Arial" w:cs="Arial"/>
          <w:b/>
          <w:sz w:val="28"/>
          <w:szCs w:val="28"/>
        </w:rPr>
        <w:t>Abstract:</w:t>
      </w:r>
    </w:p>
    <w:p w14:paraId="0103C703" w14:textId="00F92BF3" w:rsidR="00F14AB2" w:rsidRPr="000F58B6" w:rsidRDefault="00F14AB2" w:rsidP="00F14AB2">
      <w:pPr>
        <w:rPr>
          <w:rFonts w:ascii="Arial" w:hAnsi="Arial" w:cs="Arial"/>
        </w:rPr>
      </w:pPr>
      <w:r w:rsidRPr="000F58B6">
        <w:rPr>
          <w:rFonts w:ascii="Arial" w:hAnsi="Arial" w:cs="Arial"/>
        </w:rPr>
        <w:t>Inhibition of BCR–ABL tyrosine kinase plays a crucial role in the management of chronic myelogenous leukemia (CML). The suppression of CML is getting harder because of a distinct pattern of resistance. Developing new types of ABL tyrosine kinase inhibitors along with ABL2, CSF1R, KIT, LCK, PDGFRA, and PDGFRB inhibitors is the main objective of this study that may overcome the drug resistance issue. The current study has been conducted using a kinase database containing 177,000 bioactive molecules, the top 135 molecules were selected with the best docking score and subjected to comprehensive ADMET profiling, multi-target analysis. Based on consensus molecular docking score (</w:t>
      </w:r>
      <w:proofErr w:type="spellStart"/>
      <w:r w:rsidRPr="000F58B6">
        <w:rPr>
          <w:rFonts w:ascii="Arial" w:hAnsi="Arial" w:cs="Arial"/>
        </w:rPr>
        <w:t>AutoDock</w:t>
      </w:r>
      <w:proofErr w:type="spellEnd"/>
      <w:r w:rsidRPr="000F58B6">
        <w:rPr>
          <w:rFonts w:ascii="Arial" w:hAnsi="Arial" w:cs="Arial"/>
        </w:rPr>
        <w:t xml:space="preserve">, Chimera, Achilles, and </w:t>
      </w:r>
      <w:proofErr w:type="spellStart"/>
      <w:r w:rsidRPr="000F58B6">
        <w:rPr>
          <w:rFonts w:ascii="Arial" w:hAnsi="Arial" w:cs="Arial"/>
        </w:rPr>
        <w:t>Mcule</w:t>
      </w:r>
      <w:proofErr w:type="spellEnd"/>
      <w:r w:rsidRPr="000F58B6">
        <w:rPr>
          <w:rFonts w:ascii="Arial" w:hAnsi="Arial" w:cs="Arial"/>
        </w:rPr>
        <w:t xml:space="preserve">), 22 molecules have been screened out which later undertaken for ADME/T profiling. After profiling of ADME/T data, selected molecules subjected to docking with multiple targets. Finally, molecular dynamics simulations had performed to screen the binding accuracy of the four lead molecules with ABL1. MD simulations of the desired complex (ABL1, ABL2, CSF1R, KIT, LCK, PDGFRA, and PDGFRB, among them ABL1 was the prime target) performed and found that PCID 10181160 and PCID 72724706 are the most promising inhibitors comparing to imatinib. These lead molecules are the potential CML inhibitors that could resolve </w:t>
      </w:r>
      <w:proofErr w:type="gramStart"/>
      <w:r w:rsidRPr="000F58B6">
        <w:rPr>
          <w:rFonts w:ascii="Arial" w:hAnsi="Arial" w:cs="Arial"/>
        </w:rPr>
        <w:t>the  resistance</w:t>
      </w:r>
      <w:proofErr w:type="gramEnd"/>
      <w:r w:rsidRPr="000F58B6">
        <w:rPr>
          <w:rFonts w:ascii="Arial" w:hAnsi="Arial" w:cs="Arial"/>
        </w:rPr>
        <w:t xml:space="preserve"> pattern. Further chemical synthesis, wet lab analysis, and experimental validation deserve the utmost attention.</w:t>
      </w:r>
    </w:p>
    <w:p w14:paraId="7A8FD62E" w14:textId="0D2450EC" w:rsidR="00F14AB2" w:rsidRDefault="00F14AB2" w:rsidP="00F14AB2">
      <w:r w:rsidRPr="000F58B6">
        <w:rPr>
          <w:rFonts w:ascii="Arial" w:hAnsi="Arial" w:cs="Arial"/>
          <w:b/>
        </w:rPr>
        <w:t>Conference / Journal Link:</w:t>
      </w:r>
      <w:r w:rsidRPr="00F14AB2">
        <w:t xml:space="preserve"> </w:t>
      </w:r>
      <w:bookmarkStart w:id="1" w:name="cj_link"/>
      <w:r w:rsidRPr="00F14AB2">
        <w:fldChar w:fldCharType="begin"/>
      </w:r>
      <w:r w:rsidRPr="00F14AB2">
        <w:instrText xml:space="preserve"> HYPERLINK "https://link.springer.com/article/10.1007/s13596-019-00406-9" \t "_blank" </w:instrText>
      </w:r>
      <w:r w:rsidRPr="00F14AB2">
        <w:fldChar w:fldCharType="separate"/>
      </w:r>
      <w:r w:rsidRPr="00F14AB2">
        <w:rPr>
          <w:rStyle w:val="Hyperlink"/>
        </w:rPr>
        <w:t>https://link.springer.com/article/10.1007/s13596-019-00406-9</w:t>
      </w:r>
      <w:r w:rsidRPr="00F14AB2">
        <w:fldChar w:fldCharType="end"/>
      </w:r>
      <w:bookmarkEnd w:id="1"/>
    </w:p>
    <w:p w14:paraId="45412F85" w14:textId="5D8027AE" w:rsidR="000F58B6" w:rsidRPr="00F14AB2" w:rsidRDefault="000F58B6" w:rsidP="00F14AB2">
      <w:pPr>
        <w:rPr>
          <w:rFonts w:ascii="Segoe UI" w:hAnsi="Segoe UI" w:cs="Segoe UI"/>
        </w:rPr>
      </w:pPr>
      <w:r w:rsidRPr="000F58B6">
        <w:rPr>
          <w:rFonts w:ascii="Arial" w:hAnsi="Arial" w:cs="Arial"/>
          <w:b/>
          <w:color w:val="333333"/>
          <w:shd w:val="clear" w:color="auto" w:fill="FCFCFC"/>
        </w:rPr>
        <w:t>DOI</w:t>
      </w:r>
      <w:r w:rsidRPr="000F58B6">
        <w:rPr>
          <w:rFonts w:ascii="Arial" w:hAnsi="Arial" w:cs="Arial"/>
          <w:b/>
          <w:color w:val="333333"/>
          <w:shd w:val="clear" w:color="auto" w:fill="FCFCFC"/>
        </w:rPr>
        <w:t>:</w:t>
      </w:r>
      <w:r>
        <w:rPr>
          <w:rFonts w:ascii="Segoe UI" w:hAnsi="Segoe UI" w:cs="Segoe UI"/>
          <w:color w:val="333333"/>
          <w:shd w:val="clear" w:color="auto" w:fill="FCFCFC"/>
        </w:rPr>
        <w:t xml:space="preserve"> </w:t>
      </w:r>
      <w:hyperlink r:id="rId8" w:history="1">
        <w:r>
          <w:rPr>
            <w:rStyle w:val="Hyperlink"/>
            <w:rFonts w:ascii="Segoe UI" w:hAnsi="Segoe UI" w:cs="Segoe UI"/>
            <w:color w:val="0061A9"/>
            <w:shd w:val="clear" w:color="auto" w:fill="FCFCFC"/>
          </w:rPr>
          <w:t>https://doi.org/10.1007/s13596-019-00406-9</w:t>
        </w:r>
      </w:hyperlink>
    </w:p>
    <w:p w14:paraId="18AF4467" w14:textId="77777777" w:rsidR="00F14AB2" w:rsidRPr="00F14AB2" w:rsidRDefault="00F14AB2" w:rsidP="00F14AB2"/>
    <w:p w14:paraId="7B388157" w14:textId="77777777" w:rsidR="008C7E1F" w:rsidRPr="00F14AB2" w:rsidRDefault="008C7E1F" w:rsidP="00F14AB2"/>
    <w:sectPr w:rsidR="008C7E1F" w:rsidRPr="00F14AB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EA76B3E"/>
    <w:multiLevelType w:val="multilevel"/>
    <w:tmpl w:val="D2AA63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4AB2"/>
    <w:rsid w:val="000F58B6"/>
    <w:rsid w:val="008C7E1F"/>
    <w:rsid w:val="00F14A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482014"/>
  <w15:chartTrackingRefBased/>
  <w15:docId w15:val="{C60A53AD-3A53-4387-A7AC-AA0AA4BECE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F14AB2"/>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F14AB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14AB2"/>
    <w:rPr>
      <w:rFonts w:ascii="Times New Roman" w:eastAsia="Times New Roman" w:hAnsi="Times New Roman" w:cs="Times New Roman"/>
      <w:b/>
      <w:bCs/>
      <w:kern w:val="36"/>
      <w:sz w:val="48"/>
      <w:szCs w:val="48"/>
    </w:rPr>
  </w:style>
  <w:style w:type="paragraph" w:customStyle="1" w:styleId="c-article-author-listitem">
    <w:name w:val="c-article-author-list__item"/>
    <w:basedOn w:val="Normal"/>
    <w:rsid w:val="00F14AB2"/>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F14AB2"/>
    <w:rPr>
      <w:color w:val="0000FF"/>
      <w:u w:val="single"/>
    </w:rPr>
  </w:style>
  <w:style w:type="character" w:customStyle="1" w:styleId="Heading2Char">
    <w:name w:val="Heading 2 Char"/>
    <w:basedOn w:val="DefaultParagraphFont"/>
    <w:link w:val="Heading2"/>
    <w:uiPriority w:val="9"/>
    <w:rsid w:val="00F14AB2"/>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45423758">
      <w:bodyDiv w:val="1"/>
      <w:marLeft w:val="0"/>
      <w:marRight w:val="0"/>
      <w:marTop w:val="0"/>
      <w:marBottom w:val="0"/>
      <w:divBdr>
        <w:top w:val="none" w:sz="0" w:space="0" w:color="auto"/>
        <w:left w:val="none" w:sz="0" w:space="0" w:color="auto"/>
        <w:bottom w:val="none" w:sz="0" w:space="0" w:color="auto"/>
        <w:right w:val="none" w:sz="0" w:space="0" w:color="auto"/>
      </w:divBdr>
    </w:div>
    <w:div w:id="1249385722">
      <w:bodyDiv w:val="1"/>
      <w:marLeft w:val="0"/>
      <w:marRight w:val="0"/>
      <w:marTop w:val="0"/>
      <w:marBottom w:val="0"/>
      <w:divBdr>
        <w:top w:val="none" w:sz="0" w:space="0" w:color="auto"/>
        <w:left w:val="none" w:sz="0" w:space="0" w:color="auto"/>
        <w:bottom w:val="none" w:sz="0" w:space="0" w:color="auto"/>
        <w:right w:val="none" w:sz="0" w:space="0" w:color="auto"/>
      </w:divBdr>
    </w:div>
    <w:div w:id="2040620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07/s13596-019-00406-9" TargetMode="External"/><Relationship Id="rId3" Type="http://schemas.openxmlformats.org/officeDocument/2006/relationships/settings" Target="settings.xml"/><Relationship Id="rId7" Type="http://schemas.openxmlformats.org/officeDocument/2006/relationships/hyperlink" Target="https://link.springer.com/article/10.1007/s13596-019-00406-9"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ink.springer.com/article/10.1007/s13596-019-00406-9" TargetMode="External"/><Relationship Id="rId5" Type="http://schemas.openxmlformats.org/officeDocument/2006/relationships/hyperlink" Target="https://link.springer.com/article/10.1007/s13596-019-00406-9"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1</Pages>
  <Words>388</Words>
  <Characters>2212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Hasnaine Siddique</dc:creator>
  <cp:keywords/>
  <dc:description/>
  <cp:lastModifiedBy>Hasnaine Siddique</cp:lastModifiedBy>
  <cp:revision>1</cp:revision>
  <dcterms:created xsi:type="dcterms:W3CDTF">2021-08-09T19:26:00Z</dcterms:created>
  <dcterms:modified xsi:type="dcterms:W3CDTF">2021-08-09T19:44:00Z</dcterms:modified>
</cp:coreProperties>
</file>