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078" w:rsidRPr="00447078" w:rsidRDefault="00447078" w:rsidP="00447078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Natural Convective Heat Transfer in a Square Enclosure Utilizing Magnetic N</w:t>
      </w:r>
      <w:r w:rsidRPr="00447078">
        <w:rPr>
          <w:rFonts w:ascii="Times New Roman" w:hAnsi="Times New Roman" w:cs="Times New Roman"/>
          <w:b/>
          <w:sz w:val="44"/>
          <w:szCs w:val="44"/>
        </w:rPr>
        <w:t>anoparticles</w:t>
      </w:r>
    </w:p>
    <w:bookmarkStart w:id="1" w:name="bau1"/>
    <w:bookmarkEnd w:id="0"/>
    <w:p w:rsidR="001E5823" w:rsidRPr="00447078" w:rsidRDefault="00447078" w:rsidP="00447078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"https://www.sciencedirect.com/science/article/pii/S2212540X19300331" \l "!" </w:instrText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44707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Latifa</w:t>
      </w:r>
      <w:proofErr w:type="spellEnd"/>
      <w:r w:rsidRPr="0044707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M. Al-</w:t>
      </w:r>
      <w:proofErr w:type="spellStart"/>
      <w:r w:rsidRPr="0044707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Balushi</w:t>
      </w:r>
      <w:proofErr w:type="spellEnd"/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2" w:name="bau2"/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"https://www.sciencedirect.com/science/article/pii/S2212540X19300331" \l "!" </w:instrText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44707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M.J. Uddin</w:t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2"/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3" w:name="bau3"/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"https://www.sciencedirect.com/science/article/pii/S2212540X19300331" \l "!" </w:instrText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44707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M.M. Rahman</w:t>
      </w:r>
      <w:r w:rsidRPr="0044707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3"/>
    </w:p>
    <w:p w:rsidR="00447078" w:rsidRPr="00447078" w:rsidRDefault="00447078" w:rsidP="004470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7078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447078" w:rsidRPr="00447078" w:rsidRDefault="00447078" w:rsidP="00447078">
      <w:pPr>
        <w:jc w:val="both"/>
        <w:rPr>
          <w:rFonts w:ascii="Times New Roman" w:hAnsi="Times New Roman" w:cs="Times New Roman"/>
          <w:sz w:val="24"/>
          <w:szCs w:val="24"/>
        </w:rPr>
      </w:pPr>
      <w:r w:rsidRPr="00447078">
        <w:rPr>
          <w:rFonts w:ascii="Times New Roman" w:hAnsi="Times New Roman" w:cs="Times New Roman"/>
          <w:sz w:val="24"/>
          <w:szCs w:val="24"/>
        </w:rPr>
        <w:t>In the present paper, unsteady natural convective heat transfer flow inside a square enclosure filled with 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fldChar w:fldCharType="begin"/>
      </w:r>
      <w:r w:rsidRPr="00447078">
        <w:rPr>
          <w:rFonts w:ascii="Times New Roman" w:hAnsi="Times New Roman" w:cs="Times New Roman"/>
          <w:sz w:val="24"/>
          <w:szCs w:val="24"/>
        </w:rPr>
        <w:instrText xml:space="preserve"> HYPERLINK "https://www.sciencedirect.com/topics/engineering/nanofluids" \o "Learn more about nanofluids from ScienceDirect's AI-generated Topic Pages" </w:instrText>
      </w:r>
      <w:r w:rsidRPr="00447078">
        <w:rPr>
          <w:rFonts w:ascii="Times New Roman" w:hAnsi="Times New Roman" w:cs="Times New Roman"/>
          <w:sz w:val="24"/>
          <w:szCs w:val="24"/>
        </w:rPr>
        <w:fldChar w:fldCharType="separate"/>
      </w:r>
      <w:r w:rsidRPr="00447078">
        <w:rPr>
          <w:rStyle w:val="Hyperlink"/>
          <w:rFonts w:ascii="Times New Roman" w:hAnsi="Times New Roman" w:cs="Times New Roman"/>
          <w:sz w:val="24"/>
          <w:szCs w:val="24"/>
          <w:u w:val="none"/>
        </w:rPr>
        <w:t>nanofluids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fldChar w:fldCharType="end"/>
      </w:r>
      <w:r w:rsidRPr="00447078">
        <w:rPr>
          <w:rFonts w:ascii="Times New Roman" w:hAnsi="Times New Roman" w:cs="Times New Roman"/>
          <w:sz w:val="24"/>
          <w:szCs w:val="24"/>
        </w:rPr>
        <w:t> containing </w:t>
      </w:r>
      <w:hyperlink r:id="rId4" w:tooltip="Learn more about magnetic nanoparticles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magnetic nanoparticles</w:t>
        </w:r>
      </w:hyperlink>
      <w:r w:rsidRPr="00447078">
        <w:rPr>
          <w:rFonts w:ascii="Times New Roman" w:hAnsi="Times New Roman" w:cs="Times New Roman"/>
          <w:sz w:val="24"/>
          <w:szCs w:val="24"/>
        </w:rPr>
        <w:t xml:space="preserve"> using nonhomogeneous dynamic model is investigated numerically. The horizontal top wall of the enclosure is considered a colder wall and the bottom wall is maintained at uniform temperature whereas two other vertical walls of the cavity are thermally insulated. The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Galerkin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 xml:space="preserve"> weighted residual </w:t>
      </w:r>
      <w:hyperlink r:id="rId5" w:tooltip="Learn more about finite element method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finite element method</w:t>
        </w:r>
      </w:hyperlink>
      <w:r w:rsidRPr="00447078">
        <w:rPr>
          <w:rFonts w:ascii="Times New Roman" w:hAnsi="Times New Roman" w:cs="Times New Roman"/>
          <w:sz w:val="24"/>
          <w:szCs w:val="24"/>
        </w:rPr>
        <w:t> has been used to solve the governing non-dimensional </w:t>
      </w:r>
      <w:hyperlink r:id="rId6" w:tooltip="Learn more about partial differential equations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partial differential equations</w:t>
        </w:r>
      </w:hyperlink>
      <w:r w:rsidRPr="00447078">
        <w:rPr>
          <w:rFonts w:ascii="Times New Roman" w:hAnsi="Times New Roman" w:cs="Times New Roman"/>
          <w:sz w:val="24"/>
          <w:szCs w:val="24"/>
        </w:rPr>
        <w:t xml:space="preserve">. In numerical simulations, four types of nanoparticles such as magnetite (Fe3O4), cobalt ferrite (CoFe2O4),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Mn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>-Zn ferrite (Mn-ZnFe2O4), and silicon dioxide (SiO2), and three types of base fluids such as water (H2O), </w:t>
      </w:r>
      <w:hyperlink r:id="rId7" w:tooltip="Learn more about engine oil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engine oil</w:t>
        </w:r>
      </w:hyperlink>
      <w:r w:rsidRPr="00447078">
        <w:rPr>
          <w:rFonts w:ascii="Times New Roman" w:hAnsi="Times New Roman" w:cs="Times New Roman"/>
          <w:sz w:val="24"/>
          <w:szCs w:val="24"/>
        </w:rPr>
        <w:t> (EO) and kerosene (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>) have been considered. Comparisons with </w:t>
      </w:r>
      <w:hyperlink r:id="rId8" w:tooltip="Learn more about previously published work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previously published work</w:t>
        </w:r>
      </w:hyperlink>
      <w:r w:rsidRPr="00447078">
        <w:rPr>
          <w:rFonts w:ascii="Times New Roman" w:hAnsi="Times New Roman" w:cs="Times New Roman"/>
          <w:sz w:val="24"/>
          <w:szCs w:val="24"/>
        </w:rPr>
        <w:t> are performed and excellent agreement is obtained. The effects of various model parameters such as thermal </w:t>
      </w:r>
      <w:hyperlink r:id="rId9" w:tooltip="Learn more about Rayleigh number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Rayleigh number</w:t>
        </w:r>
      </w:hyperlink>
      <w:r w:rsidRPr="00447078">
        <w:rPr>
          <w:rFonts w:ascii="Times New Roman" w:hAnsi="Times New Roman" w:cs="Times New Roman"/>
          <w:sz w:val="24"/>
          <w:szCs w:val="24"/>
        </w:rPr>
        <w:t>, nanoparticles volume fraction and nanoparticles shape factor are studied. The results show that the </w:t>
      </w:r>
      <w:hyperlink r:id="rId10" w:tooltip="Learn more about average Nusselt number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 xml:space="preserve">average </w:t>
        </w:r>
        <w:proofErr w:type="spellStart"/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Nusselt</w:t>
        </w:r>
        <w:proofErr w:type="spellEnd"/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 xml:space="preserve"> number</w:t>
        </w:r>
      </w:hyperlink>
      <w:r w:rsidRPr="00447078">
        <w:rPr>
          <w:rFonts w:ascii="Times New Roman" w:hAnsi="Times New Roman" w:cs="Times New Roman"/>
          <w:sz w:val="24"/>
          <w:szCs w:val="24"/>
        </w:rPr>
        <w:t xml:space="preserve"> increases as the thermal Rayleigh number and nanoparticles volume fraction intensify. The results indicate that the average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Nusselt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 xml:space="preserve"> numbers are higher for the blade shape of nanoparticles. Kerosene-based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 xml:space="preserve"> exhibit higher </w:t>
      </w:r>
      <w:hyperlink r:id="rId11" w:tooltip="Learn more about heat transfer rate from ScienceDirect's AI-generated Topic Pages" w:history="1">
        <w:r w:rsidRPr="0044707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heat transfer rate</w:t>
        </w:r>
      </w:hyperlink>
      <w:r w:rsidRPr="00447078">
        <w:rPr>
          <w:rFonts w:ascii="Times New Roman" w:hAnsi="Times New Roman" w:cs="Times New Roman"/>
          <w:sz w:val="24"/>
          <w:szCs w:val="24"/>
        </w:rPr>
        <w:t>. Mn-ZnFe2O4-kerosene 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fldChar w:fldCharType="begin"/>
      </w:r>
      <w:r w:rsidRPr="00447078">
        <w:rPr>
          <w:rFonts w:ascii="Times New Roman" w:hAnsi="Times New Roman" w:cs="Times New Roman"/>
          <w:sz w:val="24"/>
          <w:szCs w:val="24"/>
        </w:rPr>
        <w:instrText xml:space="preserve"> HYPERLINK "https://www.sciencedirect.com/topics/engineering/nanofluid" \o "Learn more about nanofluid from ScienceDirect's AI-generated Topic Pages" </w:instrText>
      </w:r>
      <w:r w:rsidRPr="00447078">
        <w:rPr>
          <w:rFonts w:ascii="Times New Roman" w:hAnsi="Times New Roman" w:cs="Times New Roman"/>
          <w:sz w:val="24"/>
          <w:szCs w:val="24"/>
        </w:rPr>
        <w:fldChar w:fldCharType="separate"/>
      </w:r>
      <w:r w:rsidRPr="00447078">
        <w:rPr>
          <w:rStyle w:val="Hyperlink"/>
          <w:rFonts w:ascii="Times New Roman" w:hAnsi="Times New Roman" w:cs="Times New Roman"/>
          <w:sz w:val="24"/>
          <w:szCs w:val="24"/>
          <w:u w:val="none"/>
        </w:rPr>
        <w:t>nanofluid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fldChar w:fldCharType="end"/>
      </w:r>
      <w:r w:rsidRPr="00447078">
        <w:rPr>
          <w:rFonts w:ascii="Times New Roman" w:hAnsi="Times New Roman" w:cs="Times New Roman"/>
          <w:sz w:val="24"/>
          <w:szCs w:val="24"/>
        </w:rPr>
        <w:t xml:space="preserve"> has a higher average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Nusselt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 xml:space="preserve"> number than that of other 11 types of </w:t>
      </w:r>
      <w:proofErr w:type="spellStart"/>
      <w:r w:rsidRPr="00447078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447078">
        <w:rPr>
          <w:rFonts w:ascii="Times New Roman" w:hAnsi="Times New Roman" w:cs="Times New Roman"/>
          <w:sz w:val="24"/>
          <w:szCs w:val="24"/>
        </w:rPr>
        <w:t xml:space="preserve"> which are studied in the present analysis.</w:t>
      </w:r>
    </w:p>
    <w:p w:rsidR="00447078" w:rsidRDefault="00447078" w:rsidP="00447078">
      <w:pPr>
        <w:spacing w:after="0" w:line="276" w:lineRule="auto"/>
      </w:pPr>
      <w:r w:rsidRPr="00447078">
        <w:rPr>
          <w:rFonts w:ascii="Times New Roman" w:hAnsi="Times New Roman" w:cs="Times New Roman"/>
          <w:b/>
          <w:sz w:val="24"/>
          <w:szCs w:val="24"/>
        </w:rPr>
        <w:t>Conference / Journal Link:</w:t>
      </w:r>
      <w:r w:rsidRPr="00447078">
        <w:t xml:space="preserve"> </w:t>
      </w:r>
    </w:p>
    <w:p w:rsidR="00447078" w:rsidRPr="00447078" w:rsidRDefault="00447078" w:rsidP="00447078">
      <w:hyperlink r:id="rId12" w:history="1">
        <w:r w:rsidRPr="00447078">
          <w:rPr>
            <w:rStyle w:val="Hyperlink"/>
          </w:rPr>
          <w:t>https://www.sciencedirect.com/science/article/pii/S2212540X19300331</w:t>
        </w:r>
      </w:hyperlink>
    </w:p>
    <w:p w:rsidR="00447078" w:rsidRDefault="00447078" w:rsidP="00447078">
      <w:pPr>
        <w:spacing w:after="0" w:line="276" w:lineRule="auto"/>
      </w:pPr>
      <w:r w:rsidRPr="00447078">
        <w:rPr>
          <w:rFonts w:ascii="Times New Roman" w:hAnsi="Times New Roman" w:cs="Times New Roman"/>
          <w:b/>
          <w:sz w:val="24"/>
          <w:szCs w:val="24"/>
        </w:rPr>
        <w:t xml:space="preserve">DOI: </w:t>
      </w:r>
    </w:p>
    <w:p w:rsidR="00447078" w:rsidRDefault="00447078" w:rsidP="00447078">
      <w:hyperlink r:id="rId13" w:tgtFrame="_blank" w:tooltip="Persistent link using digital object identifier" w:history="1">
        <w:r w:rsidRPr="00447078">
          <w:rPr>
            <w:rStyle w:val="Hyperlink"/>
          </w:rPr>
          <w:t>https://doi.org/10.1016/j.jppr.2018.07.009</w:t>
        </w:r>
      </w:hyperlink>
    </w:p>
    <w:sectPr w:rsidR="00447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078"/>
    <w:rsid w:val="001E5823"/>
    <w:rsid w:val="0044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057E72-C77C-4061-90F5-0FAF4767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47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0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0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447078"/>
  </w:style>
  <w:style w:type="character" w:customStyle="1" w:styleId="text">
    <w:name w:val="text"/>
    <w:basedOn w:val="DefaultParagraphFont"/>
    <w:rsid w:val="00447078"/>
  </w:style>
  <w:style w:type="character" w:customStyle="1" w:styleId="author-ref">
    <w:name w:val="author-ref"/>
    <w:basedOn w:val="DefaultParagraphFont"/>
    <w:rsid w:val="00447078"/>
  </w:style>
  <w:style w:type="character" w:customStyle="1" w:styleId="Heading2Char">
    <w:name w:val="Heading 2 Char"/>
    <w:basedOn w:val="DefaultParagraphFont"/>
    <w:link w:val="Heading2"/>
    <w:uiPriority w:val="9"/>
    <w:semiHidden/>
    <w:rsid w:val="004470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470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previously-published-work" TargetMode="External"/><Relationship Id="rId13" Type="http://schemas.openxmlformats.org/officeDocument/2006/relationships/hyperlink" Target="https://doi.org/10.1016/j.jppr.2018.07.0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diesel-engines" TargetMode="External"/><Relationship Id="rId12" Type="http://schemas.openxmlformats.org/officeDocument/2006/relationships/hyperlink" Target="https://www.sciencedirect.com/science/article/pii/S2212540X193003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partial-differential-equation" TargetMode="External"/><Relationship Id="rId11" Type="http://schemas.openxmlformats.org/officeDocument/2006/relationships/hyperlink" Target="https://www.sciencedirect.com/topics/engineering/heat-transfer-rate" TargetMode="External"/><Relationship Id="rId5" Type="http://schemas.openxmlformats.org/officeDocument/2006/relationships/hyperlink" Target="https://www.sciencedirect.com/topics/engineering/finite-element-metho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topics/engineering/average-nusselt-number" TargetMode="External"/><Relationship Id="rId4" Type="http://schemas.openxmlformats.org/officeDocument/2006/relationships/hyperlink" Target="https://www.sciencedirect.com/topics/engineering/magnetic-nanoparticles" TargetMode="External"/><Relationship Id="rId9" Type="http://schemas.openxmlformats.org/officeDocument/2006/relationships/hyperlink" Target="https://www.sciencedirect.com/topics/engineering/rayleigh-numb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2021-08-21T09:37:00Z</dcterms:created>
  <dcterms:modified xsi:type="dcterms:W3CDTF">2021-08-21T09:47:00Z</dcterms:modified>
</cp:coreProperties>
</file>