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1AE" w:rsidRPr="00875278" w:rsidRDefault="00BC12F5">
      <w:pPr>
        <w:rPr>
          <w:rFonts w:ascii="Times New Roman" w:hAnsi="Times New Roman" w:cs="Times New Roman"/>
          <w:color w:val="4C4C4C"/>
          <w:sz w:val="44"/>
          <w:szCs w:val="44"/>
          <w:shd w:val="clear" w:color="auto" w:fill="FFFFFF"/>
        </w:rPr>
      </w:pPr>
      <w:r w:rsidRPr="00875278">
        <w:rPr>
          <w:rFonts w:ascii="Times New Roman" w:hAnsi="Times New Roman" w:cs="Times New Roman"/>
          <w:color w:val="4C4C4C"/>
          <w:sz w:val="44"/>
          <w:szCs w:val="44"/>
          <w:shd w:val="clear" w:color="auto" w:fill="FFFFFF"/>
        </w:rPr>
        <w:t>Pharmacological Screening of in Vitro Activity of Methanol Extract of Nagalinga F</w:t>
      </w:r>
      <w:r w:rsidRPr="00875278">
        <w:rPr>
          <w:rFonts w:ascii="Times New Roman" w:hAnsi="Times New Roman" w:cs="Times New Roman"/>
          <w:color w:val="4C4C4C"/>
          <w:sz w:val="44"/>
          <w:szCs w:val="44"/>
          <w:shd w:val="clear" w:color="auto" w:fill="FFFFFF"/>
        </w:rPr>
        <w:t>lower</w:t>
      </w:r>
    </w:p>
    <w:p w:rsidR="00BC12F5" w:rsidRPr="00BC12F5" w:rsidRDefault="00BC12F5">
      <w:pPr>
        <w:rPr>
          <w:rFonts w:ascii="Times New Roman" w:hAnsi="Times New Roman" w:cs="Times New Roman"/>
          <w:color w:val="4C4C4C"/>
          <w:sz w:val="24"/>
          <w:szCs w:val="24"/>
          <w:shd w:val="clear" w:color="auto" w:fill="FFFFFF"/>
        </w:rPr>
      </w:pPr>
    </w:p>
    <w:p w:rsidR="00BC12F5" w:rsidRPr="00BC12F5" w:rsidRDefault="00BC12F5">
      <w:pPr>
        <w:rPr>
          <w:rFonts w:ascii="Times New Roman" w:hAnsi="Times New Roman" w:cs="Times New Roman"/>
          <w:sz w:val="24"/>
          <w:szCs w:val="24"/>
        </w:rPr>
      </w:pPr>
      <w:r w:rsidRPr="00BC12F5">
        <w:rPr>
          <w:rFonts w:ascii="Times New Roman" w:hAnsi="Times New Roman" w:cs="Times New Roman"/>
          <w:sz w:val="24"/>
          <w:szCs w:val="24"/>
        </w:rPr>
        <w:t>Fatema Tuz Johara</w:t>
      </w:r>
      <w:r w:rsidRPr="00BC12F5">
        <w:rPr>
          <w:rFonts w:ascii="Times New Roman" w:hAnsi="Times New Roman" w:cs="Times New Roman"/>
          <w:sz w:val="24"/>
          <w:szCs w:val="24"/>
        </w:rPr>
        <w:t xml:space="preserve">, </w:t>
      </w:r>
      <w:r w:rsidRPr="00BC12F5">
        <w:rPr>
          <w:rFonts w:ascii="Times New Roman" w:hAnsi="Times New Roman" w:cs="Times New Roman"/>
          <w:sz w:val="24"/>
          <w:szCs w:val="24"/>
        </w:rPr>
        <w:t>Farjana Islam Aovi</w:t>
      </w:r>
      <w:bookmarkStart w:id="0" w:name="_GoBack"/>
      <w:bookmarkEnd w:id="0"/>
    </w:p>
    <w:p w:rsidR="00BC12F5" w:rsidRPr="00BC12F5" w:rsidRDefault="00BC12F5">
      <w:pPr>
        <w:rPr>
          <w:rFonts w:ascii="Times New Roman" w:hAnsi="Times New Roman" w:cs="Times New Roman"/>
          <w:sz w:val="24"/>
          <w:szCs w:val="24"/>
        </w:rPr>
      </w:pPr>
    </w:p>
    <w:p w:rsidR="00BC12F5" w:rsidRPr="00BC12F5" w:rsidRDefault="00BC12F5">
      <w:pPr>
        <w:rPr>
          <w:rFonts w:ascii="Times New Roman" w:hAnsi="Times New Roman" w:cs="Times New Roman"/>
          <w:sz w:val="24"/>
          <w:szCs w:val="24"/>
        </w:rPr>
      </w:pPr>
      <w:r w:rsidRPr="00BC12F5">
        <w:rPr>
          <w:rFonts w:ascii="Times New Roman" w:hAnsi="Times New Roman" w:cs="Times New Roman"/>
          <w:sz w:val="24"/>
          <w:szCs w:val="24"/>
        </w:rPr>
        <w:t xml:space="preserve">Abstract </w:t>
      </w:r>
    </w:p>
    <w:p w:rsidR="00BC12F5" w:rsidRPr="00BC12F5" w:rsidRDefault="00BC12F5" w:rsidP="00BC12F5">
      <w:pPr>
        <w:jc w:val="both"/>
        <w:rPr>
          <w:rFonts w:ascii="Times New Roman" w:hAnsi="Times New Roman" w:cs="Times New Roman"/>
          <w:sz w:val="24"/>
          <w:szCs w:val="24"/>
        </w:rPr>
      </w:pPr>
      <w:r w:rsidRPr="00BC12F5">
        <w:rPr>
          <w:rFonts w:ascii="Times New Roman" w:hAnsi="Times New Roman" w:cs="Times New Roman"/>
          <w:sz w:val="24"/>
          <w:szCs w:val="24"/>
        </w:rPr>
        <w:t xml:space="preserve">The aim of the present study was to investigate the presence of phytochemical constituents and presence of some potent pharmacological activity of Couroupita guianensis. The extract was prepared from the flowering part of the plant. Methanolic extract of the dry pulverized flowers of C.guianensis was obtained by the soxhlet cold extraction method. The flower extract was subjected to an initial phytochemical screening by standard methods. Phytochemical analysis revealed the presence of flower extracts. Antioxidant properties were evaluated of methanolic e alkaloids, Phenols, tannins, saponins, terpenes and gums extracted using DPPH free radical scanning models. Antioxidant effect was observed with IC50 (262.18 </w:t>
      </w:r>
      <w:proofErr w:type="spellStart"/>
      <w:r w:rsidRPr="00BC12F5">
        <w:rPr>
          <w:rFonts w:ascii="Times New Roman" w:hAnsi="Times New Roman" w:cs="Times New Roman"/>
          <w:sz w:val="24"/>
          <w:szCs w:val="24"/>
        </w:rPr>
        <w:t>μg</w:t>
      </w:r>
      <w:proofErr w:type="spellEnd"/>
      <w:r w:rsidRPr="00BC12F5">
        <w:rPr>
          <w:rFonts w:ascii="Times New Roman" w:hAnsi="Times New Roman" w:cs="Times New Roman"/>
          <w:sz w:val="24"/>
          <w:szCs w:val="24"/>
        </w:rPr>
        <w:t xml:space="preserve"> / ml), which is comparable to the ascorbic acid with IC50 value (170.54μg / ml). Ex-vivo Cardioprotective activity was determined by clot disruption method, and showed % clot lysis of methanol shows (25.58%), and standard streptokinase shows (87.58%) as positive control respectively.On the anthelmintic side there are paralyzed and dead worms through methanol extract where as standard albendazole showed paralyzed and dead worms.Anthelmintic activity test shows a potent activity. </w:t>
      </w:r>
    </w:p>
    <w:p w:rsidR="00BC12F5" w:rsidRPr="00BC12F5" w:rsidRDefault="00BC12F5">
      <w:pPr>
        <w:rPr>
          <w:rFonts w:ascii="Times New Roman" w:hAnsi="Times New Roman" w:cs="Times New Roman"/>
          <w:sz w:val="24"/>
          <w:szCs w:val="24"/>
        </w:rPr>
      </w:pPr>
    </w:p>
    <w:p w:rsidR="00BC12F5" w:rsidRPr="00BC12F5" w:rsidRDefault="00BC12F5">
      <w:pPr>
        <w:rPr>
          <w:rFonts w:ascii="Times New Roman" w:hAnsi="Times New Roman" w:cs="Times New Roman"/>
          <w:b/>
          <w:bCs/>
          <w:color w:val="4C4C4C"/>
          <w:sz w:val="24"/>
          <w:szCs w:val="24"/>
          <w:shd w:val="clear" w:color="auto" w:fill="FFFFFF"/>
        </w:rPr>
      </w:pPr>
      <w:r w:rsidRPr="00BC12F5">
        <w:rPr>
          <w:rFonts w:ascii="Times New Roman" w:hAnsi="Times New Roman" w:cs="Times New Roman"/>
          <w:b/>
          <w:bCs/>
          <w:color w:val="4C4C4C"/>
          <w:sz w:val="24"/>
          <w:szCs w:val="24"/>
          <w:shd w:val="clear" w:color="auto" w:fill="FFFFFF"/>
        </w:rPr>
        <w:t>Conference / Journal Link</w:t>
      </w:r>
      <w:r w:rsidRPr="00BC12F5">
        <w:rPr>
          <w:rFonts w:ascii="Times New Roman" w:hAnsi="Times New Roman" w:cs="Times New Roman"/>
          <w:b/>
          <w:bCs/>
          <w:color w:val="4C4C4C"/>
          <w:sz w:val="24"/>
          <w:szCs w:val="24"/>
          <w:shd w:val="clear" w:color="auto" w:fill="FFFFFF"/>
        </w:rPr>
        <w:t>:</w:t>
      </w:r>
    </w:p>
    <w:bookmarkStart w:id="1" w:name="cj_link"/>
    <w:p w:rsidR="00BC12F5" w:rsidRPr="00BC12F5" w:rsidRDefault="00BC12F5">
      <w:pPr>
        <w:rPr>
          <w:rFonts w:ascii="Times New Roman" w:hAnsi="Times New Roman" w:cs="Times New Roman"/>
          <w:sz w:val="24"/>
          <w:szCs w:val="24"/>
        </w:rPr>
      </w:pPr>
      <w:r w:rsidRPr="00BC12F5">
        <w:rPr>
          <w:rFonts w:ascii="Times New Roman" w:hAnsi="Times New Roman" w:cs="Times New Roman"/>
          <w:sz w:val="24"/>
          <w:szCs w:val="24"/>
        </w:rPr>
        <w:fldChar w:fldCharType="begin"/>
      </w:r>
      <w:r w:rsidRPr="00BC12F5">
        <w:rPr>
          <w:rFonts w:ascii="Times New Roman" w:hAnsi="Times New Roman" w:cs="Times New Roman"/>
          <w:sz w:val="24"/>
          <w:szCs w:val="24"/>
        </w:rPr>
        <w:instrText xml:space="preserve"> HYPERLINK "https://pharmacologyonline.silae.it/files/archives/2020/vol2/PhOL_2020_2_A005_Johara.pdf" \t "_blank" </w:instrText>
      </w:r>
      <w:r w:rsidRPr="00BC12F5">
        <w:rPr>
          <w:rFonts w:ascii="Times New Roman" w:hAnsi="Times New Roman" w:cs="Times New Roman"/>
          <w:sz w:val="24"/>
          <w:szCs w:val="24"/>
        </w:rPr>
        <w:fldChar w:fldCharType="separate"/>
      </w:r>
      <w:r w:rsidRPr="00BC12F5">
        <w:rPr>
          <w:rStyle w:val="Hyperlink"/>
          <w:rFonts w:ascii="Times New Roman" w:hAnsi="Times New Roman" w:cs="Times New Roman"/>
          <w:color w:val="424242"/>
          <w:sz w:val="24"/>
          <w:szCs w:val="24"/>
          <w:u w:val="none"/>
          <w:shd w:val="clear" w:color="auto" w:fill="FFFFFF"/>
        </w:rPr>
        <w:t>https://pharmacologyonline.silae.it/files/archives/2020/vol2/PhOL_2020_2_A005_Johara.pdf</w:t>
      </w:r>
      <w:r w:rsidRPr="00BC12F5">
        <w:rPr>
          <w:rFonts w:ascii="Times New Roman" w:hAnsi="Times New Roman" w:cs="Times New Roman"/>
          <w:sz w:val="24"/>
          <w:szCs w:val="24"/>
        </w:rPr>
        <w:fldChar w:fldCharType="end"/>
      </w:r>
      <w:bookmarkEnd w:id="1"/>
    </w:p>
    <w:sectPr w:rsidR="00BC12F5" w:rsidRPr="00BC12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2F5"/>
    <w:rsid w:val="001631AE"/>
    <w:rsid w:val="00875278"/>
    <w:rsid w:val="00BC12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CBC65-37D4-44AB-AF5B-7F0AF343B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12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2021-08-24T09:57:00Z</dcterms:created>
  <dcterms:modified xsi:type="dcterms:W3CDTF">2021-08-24T10:17:00Z</dcterms:modified>
</cp:coreProperties>
</file>