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1AA" w:rsidRPr="000F31AA" w:rsidRDefault="000F31AA" w:rsidP="000F31AA">
      <w:pPr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r>
        <w:rPr>
          <w:rFonts w:ascii="Times New Roman" w:hAnsi="Times New Roman" w:cs="Times New Roman"/>
          <w:b/>
          <w:sz w:val="44"/>
          <w:szCs w:val="44"/>
        </w:rPr>
        <w:t>Numerical Demonstration of Hexagonal-shaped Dual-core-based Photonic Crystal Fiber for a Wide Telecommunication W</w:t>
      </w:r>
      <w:r w:rsidRPr="000F31AA">
        <w:rPr>
          <w:rFonts w:ascii="Times New Roman" w:hAnsi="Times New Roman" w:cs="Times New Roman"/>
          <w:b/>
          <w:sz w:val="44"/>
          <w:szCs w:val="44"/>
        </w:rPr>
        <w:t>indow</w:t>
      </w:r>
    </w:p>
    <w:bookmarkEnd w:id="0"/>
    <w:p w:rsidR="00147A4D" w:rsidRPr="000F31AA" w:rsidRDefault="000F31AA" w:rsidP="000F31AA">
      <w:pPr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"https://link.springer.com/article/10.1007/s10825-019-01403-6" \l "auth-Md__Asaduzzaman-Jabin" </w:instrText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0F31A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Md. Asaduzzaman Jabin</w:t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hyperlink r:id="rId5" w:anchor="auth-Md__Zamiya_Zaman-Tanmay" w:history="1">
        <w:r w:rsidRPr="000F31A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Md. </w:t>
        </w:r>
        <w:proofErr w:type="spellStart"/>
        <w:r w:rsidRPr="000F31A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Zamiya</w:t>
        </w:r>
        <w:proofErr w:type="spellEnd"/>
        <w:r w:rsidRPr="000F31A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</w:t>
        </w:r>
        <w:proofErr w:type="spellStart"/>
        <w:r w:rsidRPr="000F31A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Zaman</w:t>
        </w:r>
        <w:proofErr w:type="spellEnd"/>
        <w:r w:rsidRPr="000F31A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</w:t>
        </w:r>
        <w:proofErr w:type="spellStart"/>
        <w:r w:rsidRPr="000F31A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Tanmay</w:t>
        </w:r>
        <w:proofErr w:type="spellEnd"/>
      </w:hyperlink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proofErr w:type="spellStart"/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"https://link.springer.com/article/10.1007/s10825-019-01403-6" \l "auth-Foyj_Ullah-Khan" </w:instrText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0F31A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Foyj</w:t>
      </w:r>
      <w:proofErr w:type="spellEnd"/>
      <w:r w:rsidRPr="000F31A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</w:t>
      </w:r>
      <w:proofErr w:type="spellStart"/>
      <w:r w:rsidRPr="000F31A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Ullah</w:t>
      </w:r>
      <w:proofErr w:type="spellEnd"/>
      <w:r w:rsidRPr="000F31A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Khan</w:t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proofErr w:type="spellStart"/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"https://link.springer.com/article/10.1007/s10825-019-01403-6" \l "auth-Yunus-Ahmed" </w:instrText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0F31A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Yunus</w:t>
      </w:r>
      <w:proofErr w:type="spellEnd"/>
      <w:r w:rsidRPr="000F31A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Ahmed</w:t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hyperlink r:id="rId6" w:anchor="auth-Md__Juwel-Rana" w:history="1">
        <w:r w:rsidRPr="000F31A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Md. </w:t>
        </w:r>
        <w:proofErr w:type="spellStart"/>
        <w:r w:rsidRPr="000F31A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Juwel</w:t>
        </w:r>
        <w:proofErr w:type="spellEnd"/>
        <w:r w:rsidRPr="000F31A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</w:t>
        </w:r>
        <w:proofErr w:type="spellStart"/>
        <w:r w:rsidRPr="000F31A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Rana</w:t>
        </w:r>
        <w:proofErr w:type="spellEnd"/>
      </w:hyperlink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proofErr w:type="spellStart"/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"https://link.springer.com/article/10.1007/s10825-019-01403-6" \l "auth-Mahmudul-Hasan" </w:instrText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0F31A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Mahmudul</w:t>
      </w:r>
      <w:proofErr w:type="spellEnd"/>
      <w:r w:rsidRPr="000F31A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</w:t>
      </w:r>
      <w:proofErr w:type="spellStart"/>
      <w:r w:rsidRPr="000F31A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Hasan</w:t>
      </w:r>
      <w:proofErr w:type="spellEnd"/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proofErr w:type="spellStart"/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"https://link.springer.com/article/10.1007/s10825-019-01403-6" \l "auth-Shafikul-Islam" </w:instrText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0F31A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Shafikul</w:t>
      </w:r>
      <w:proofErr w:type="spellEnd"/>
      <w:r w:rsidRPr="000F31A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Islam</w:t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proofErr w:type="spellStart"/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"https://link.springer.com/article/10.1007/s10825-019-01403-6" \l "auth-Moktarul-Islam" </w:instrText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0F31A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Moktarul</w:t>
      </w:r>
      <w:proofErr w:type="spellEnd"/>
      <w:r w:rsidRPr="000F31A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Islam</w:t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proofErr w:type="spellStart"/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"https://link.springer.com/article/10.1007/s10825-019-01403-6" \l "auth-Bikash_Kumar-Paul" </w:instrText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0F31A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Bikash</w:t>
      </w:r>
      <w:proofErr w:type="spellEnd"/>
      <w:r w:rsidRPr="000F31A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Kumar Paul</w:t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proofErr w:type="spellStart"/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"https://link.springer.com/article/10.1007/s10825-019-01403-6" \l "auth-Dhasarathan-Vigneswaran" </w:instrText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0F31A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Dhasarathan</w:t>
      </w:r>
      <w:proofErr w:type="spellEnd"/>
      <w:r w:rsidRPr="000F31A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</w:t>
      </w:r>
      <w:proofErr w:type="spellStart"/>
      <w:r w:rsidRPr="000F31A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Vigneswaran</w:t>
      </w:r>
      <w:proofErr w:type="spellEnd"/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 w:rsidRPr="000F31A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hyperlink r:id="rId7" w:anchor="auth-Kawsar-Ahmed" w:history="1">
        <w:proofErr w:type="spellStart"/>
        <w:r w:rsidRPr="000F31A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Kawsar</w:t>
        </w:r>
        <w:proofErr w:type="spellEnd"/>
        <w:r w:rsidRPr="000F31A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Ahmed</w:t>
        </w:r>
      </w:hyperlink>
    </w:p>
    <w:p w:rsidR="000F31AA" w:rsidRPr="000F31AA" w:rsidRDefault="000F31AA" w:rsidP="000F31AA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F31AA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0F31AA" w:rsidRPr="000F31AA" w:rsidRDefault="000F31AA" w:rsidP="000F31AA">
      <w:pPr>
        <w:jc w:val="both"/>
        <w:rPr>
          <w:rFonts w:ascii="Times New Roman" w:hAnsi="Times New Roman" w:cs="Times New Roman"/>
          <w:sz w:val="24"/>
          <w:szCs w:val="24"/>
        </w:rPr>
      </w:pPr>
      <w:r w:rsidRPr="000F31AA">
        <w:rPr>
          <w:rFonts w:ascii="Times New Roman" w:hAnsi="Times New Roman" w:cs="Times New Roman"/>
          <w:sz w:val="24"/>
          <w:szCs w:val="24"/>
        </w:rPr>
        <w:t>This paper proposes a novel hexagonal-shaped dual-core photonic crystal fiber (HX-PCF) for a wide telecom window. We test different optical parameters including birefringence (Bi), power fraction (</w:t>
      </w:r>
      <w:proofErr w:type="spellStart"/>
      <w:r w:rsidRPr="000F31AA">
        <w:rPr>
          <w:rFonts w:ascii="Times New Roman" w:hAnsi="Times New Roman" w:cs="Times New Roman"/>
          <w:sz w:val="24"/>
          <w:szCs w:val="24"/>
        </w:rPr>
        <w:t>η′η</w:t>
      </w:r>
      <w:proofErr w:type="spellEnd"/>
      <w:r w:rsidRPr="000F31AA">
        <w:rPr>
          <w:rFonts w:ascii="Times New Roman" w:hAnsi="Times New Roman" w:cs="Times New Roman"/>
          <w:sz w:val="24"/>
          <w:szCs w:val="24"/>
        </w:rPr>
        <w:t>′), effective area (</w:t>
      </w:r>
      <w:proofErr w:type="spellStart"/>
      <w:r w:rsidRPr="000F31AA">
        <w:rPr>
          <w:rFonts w:ascii="Times New Roman" w:hAnsi="Times New Roman" w:cs="Times New Roman"/>
          <w:sz w:val="24"/>
          <w:szCs w:val="24"/>
        </w:rPr>
        <w:t>Aeff</w:t>
      </w:r>
      <w:proofErr w:type="spellEnd"/>
      <w:r w:rsidRPr="000F31AA">
        <w:rPr>
          <w:rFonts w:ascii="Times New Roman" w:hAnsi="Times New Roman" w:cs="Times New Roman"/>
          <w:sz w:val="24"/>
          <w:szCs w:val="24"/>
        </w:rPr>
        <w:t>), numerical aperture (NA), nonlinear coefficient (</w:t>
      </w:r>
      <w:proofErr w:type="spellStart"/>
      <w:r w:rsidRPr="000F31AA">
        <w:rPr>
          <w:rFonts w:ascii="Times New Roman" w:hAnsi="Times New Roman" w:cs="Times New Roman"/>
          <w:sz w:val="24"/>
          <w:szCs w:val="24"/>
        </w:rPr>
        <w:t>γγ</w:t>
      </w:r>
      <w:proofErr w:type="spellEnd"/>
      <w:r w:rsidRPr="000F31AA">
        <w:rPr>
          <w:rFonts w:ascii="Times New Roman" w:hAnsi="Times New Roman" w:cs="Times New Roman"/>
          <w:sz w:val="24"/>
          <w:szCs w:val="24"/>
        </w:rPr>
        <w:t>), v-parameter, chromatic dispersion (β2β2), transmittance) (</w:t>
      </w:r>
      <w:proofErr w:type="spellStart"/>
      <w:r w:rsidRPr="000F31AA">
        <w:rPr>
          <w:rFonts w:ascii="Times New Roman" w:hAnsi="Times New Roman" w:cs="Times New Roman"/>
          <w:sz w:val="24"/>
          <w:szCs w:val="24"/>
        </w:rPr>
        <w:t>TxTx</w:t>
      </w:r>
      <w:proofErr w:type="spellEnd"/>
      <w:r w:rsidRPr="000F31AA">
        <w:rPr>
          <w:rFonts w:ascii="Times New Roman" w:hAnsi="Times New Roman" w:cs="Times New Roman"/>
          <w:sz w:val="24"/>
          <w:szCs w:val="24"/>
        </w:rPr>
        <w:t>), and relative sensitivity (</w:t>
      </w:r>
      <w:proofErr w:type="spellStart"/>
      <w:r w:rsidRPr="000F31AA">
        <w:rPr>
          <w:rFonts w:ascii="Times New Roman" w:hAnsi="Times New Roman" w:cs="Times New Roman"/>
          <w:sz w:val="24"/>
          <w:szCs w:val="24"/>
        </w:rPr>
        <w:t>RsRs</w:t>
      </w:r>
      <w:proofErr w:type="spellEnd"/>
      <w:r w:rsidRPr="000F31AA">
        <w:rPr>
          <w:rFonts w:ascii="Times New Roman" w:hAnsi="Times New Roman" w:cs="Times New Roman"/>
          <w:sz w:val="24"/>
          <w:szCs w:val="24"/>
        </w:rPr>
        <w:t>) and loss profiles including effective material loss, confinement loss (αcαc), scattering loss (α</w:t>
      </w:r>
      <w:proofErr w:type="spellStart"/>
      <w:r w:rsidRPr="000F31AA">
        <w:rPr>
          <w:rFonts w:ascii="Times New Roman" w:hAnsi="Times New Roman" w:cs="Times New Roman"/>
          <w:sz w:val="24"/>
          <w:szCs w:val="24"/>
        </w:rPr>
        <w:t>sc</w:t>
      </w:r>
      <w:proofErr w:type="spellEnd"/>
      <w:r w:rsidRPr="000F31AA">
        <w:rPr>
          <w:rFonts w:ascii="Times New Roman" w:hAnsi="Times New Roman" w:cs="Times New Roman"/>
          <w:sz w:val="24"/>
          <w:szCs w:val="24"/>
        </w:rPr>
        <w:t>αsc), and bending loss (α</w:t>
      </w:r>
      <w:proofErr w:type="spellStart"/>
      <w:r w:rsidRPr="000F31AA">
        <w:rPr>
          <w:rFonts w:ascii="Times New Roman" w:hAnsi="Times New Roman" w:cs="Times New Roman"/>
          <w:sz w:val="24"/>
          <w:szCs w:val="24"/>
        </w:rPr>
        <w:t>bl</w:t>
      </w:r>
      <w:proofErr w:type="spellEnd"/>
      <w:r w:rsidRPr="000F31AA">
        <w:rPr>
          <w:rFonts w:ascii="Times New Roman" w:hAnsi="Times New Roman" w:cs="Times New Roman"/>
          <w:sz w:val="24"/>
          <w:szCs w:val="24"/>
        </w:rPr>
        <w:t>αbl) compared with the most recent models. In addition, the finite element method is employed on wavelength-division multiplexing with 310,534 mesh elements over a wide telecom window wavelength range of 1500–3000 nm and porosity of 30–60%. The proposed HX-PCF displays outstanding performance for these parameters. The optimal key performance indicator profiles are 2.2 × 10−3, 99.79%, 1.69 × 10−11 m2, 0.99, 0.203 m−1, 10−9 dB/m, 18.5 × 10−3 dB/m, 10−8 dB/m, 9.1 × 1010 W−1 km−1, 185 </w:t>
      </w:r>
      <w:proofErr w:type="spellStart"/>
      <w:r w:rsidRPr="000F31AA">
        <w:rPr>
          <w:rFonts w:ascii="Times New Roman" w:hAnsi="Times New Roman" w:cs="Times New Roman"/>
          <w:sz w:val="24"/>
          <w:szCs w:val="24"/>
        </w:rPr>
        <w:t>ps</w:t>
      </w:r>
      <w:proofErr w:type="spellEnd"/>
      <w:proofErr w:type="gramStart"/>
      <w:r w:rsidRPr="000F31AA">
        <w:rPr>
          <w:rFonts w:ascii="Times New Roman" w:hAnsi="Times New Roman" w:cs="Times New Roman"/>
          <w:sz w:val="24"/>
          <w:szCs w:val="24"/>
        </w:rPr>
        <w:t>/(</w:t>
      </w:r>
      <w:proofErr w:type="gramEnd"/>
      <w:r w:rsidRPr="000F31AA">
        <w:rPr>
          <w:rFonts w:ascii="Times New Roman" w:hAnsi="Times New Roman" w:cs="Times New Roman"/>
          <w:sz w:val="24"/>
          <w:szCs w:val="24"/>
        </w:rPr>
        <w:t>nm.km), −240 dB, and 41.75%, respectively, for the corresponding optical parameters of Bi, </w:t>
      </w:r>
      <w:proofErr w:type="spellStart"/>
      <w:r w:rsidRPr="000F31AA">
        <w:rPr>
          <w:rFonts w:ascii="Times New Roman" w:hAnsi="Times New Roman" w:cs="Times New Roman"/>
          <w:sz w:val="24"/>
          <w:szCs w:val="24"/>
        </w:rPr>
        <w:t>η′η</w:t>
      </w:r>
      <w:proofErr w:type="spellEnd"/>
      <w:r w:rsidRPr="000F31AA">
        <w:rPr>
          <w:rFonts w:ascii="Times New Roman" w:hAnsi="Times New Roman" w:cs="Times New Roman"/>
          <w:sz w:val="24"/>
          <w:szCs w:val="24"/>
        </w:rPr>
        <w:t>′, </w:t>
      </w:r>
      <w:proofErr w:type="spellStart"/>
      <w:r w:rsidRPr="000F31AA">
        <w:rPr>
          <w:rFonts w:ascii="Times New Roman" w:hAnsi="Times New Roman" w:cs="Times New Roman"/>
          <w:sz w:val="24"/>
          <w:szCs w:val="24"/>
        </w:rPr>
        <w:t>Aeff</w:t>
      </w:r>
      <w:proofErr w:type="spellEnd"/>
      <w:r w:rsidRPr="000F31AA">
        <w:rPr>
          <w:rFonts w:ascii="Times New Roman" w:hAnsi="Times New Roman" w:cs="Times New Roman"/>
          <w:sz w:val="24"/>
          <w:szCs w:val="24"/>
        </w:rPr>
        <w:t>, NA, αEMLαEML, αcαc, α</w:t>
      </w:r>
      <w:proofErr w:type="spellStart"/>
      <w:r w:rsidRPr="000F31AA">
        <w:rPr>
          <w:rFonts w:ascii="Times New Roman" w:hAnsi="Times New Roman" w:cs="Times New Roman"/>
          <w:sz w:val="24"/>
          <w:szCs w:val="24"/>
        </w:rPr>
        <w:t>sc</w:t>
      </w:r>
      <w:proofErr w:type="spellEnd"/>
      <w:r w:rsidRPr="000F31AA">
        <w:rPr>
          <w:rFonts w:ascii="Times New Roman" w:hAnsi="Times New Roman" w:cs="Times New Roman"/>
          <w:sz w:val="24"/>
          <w:szCs w:val="24"/>
        </w:rPr>
        <w:t>αsc, αblαbl, γ,γ,β2β2, TxTx, and </w:t>
      </w:r>
      <w:proofErr w:type="spellStart"/>
      <w:r w:rsidRPr="000F31AA">
        <w:rPr>
          <w:rFonts w:ascii="Times New Roman" w:hAnsi="Times New Roman" w:cs="Times New Roman"/>
          <w:sz w:val="24"/>
          <w:szCs w:val="24"/>
        </w:rPr>
        <w:t>RsRs</w:t>
      </w:r>
      <w:proofErr w:type="spellEnd"/>
      <w:r w:rsidRPr="000F31AA">
        <w:rPr>
          <w:rFonts w:ascii="Times New Roman" w:hAnsi="Times New Roman" w:cs="Times New Roman"/>
          <w:sz w:val="24"/>
          <w:szCs w:val="24"/>
        </w:rPr>
        <w:t>. This fiber is more promising than any previous model, based on ultra-flattened dispersion, high nonlinearity, high NA, transmittance, and relative sensing, along with very low loss profiles. Moreover, it is shown to be a good candidate for telecommunication, optoelectronics, four-wave mixing, fiber loop mirroring, and other high-speed transmission media.</w:t>
      </w:r>
    </w:p>
    <w:p w:rsidR="000F31AA" w:rsidRDefault="000F31AA" w:rsidP="000F31A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31AA">
        <w:rPr>
          <w:rFonts w:ascii="Times New Roman" w:hAnsi="Times New Roman" w:cs="Times New Roman"/>
          <w:b/>
          <w:sz w:val="24"/>
          <w:szCs w:val="24"/>
        </w:rPr>
        <w:t>Conference / Journal Link:</w:t>
      </w:r>
      <w:r w:rsidRPr="000F31AA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cj_link"/>
    </w:p>
    <w:p w:rsidR="000F31AA" w:rsidRPr="000F31AA" w:rsidRDefault="000F31AA" w:rsidP="000F31AA">
      <w:pPr>
        <w:rPr>
          <w:rFonts w:ascii="Times New Roman" w:hAnsi="Times New Roman" w:cs="Times New Roman"/>
          <w:sz w:val="24"/>
          <w:szCs w:val="24"/>
        </w:rPr>
      </w:pPr>
      <w:hyperlink r:id="rId8" w:tgtFrame="_blank" w:history="1">
        <w:r w:rsidRPr="000F31AA">
          <w:rPr>
            <w:rStyle w:val="Hyperlink"/>
            <w:rFonts w:ascii="Times New Roman" w:hAnsi="Times New Roman" w:cs="Times New Roman"/>
            <w:sz w:val="24"/>
            <w:szCs w:val="24"/>
          </w:rPr>
          <w:t>https://link.springer.com/article/10.1007/s10825-019-01403-6</w:t>
        </w:r>
      </w:hyperlink>
      <w:bookmarkEnd w:id="1"/>
    </w:p>
    <w:p w:rsidR="000F31AA" w:rsidRDefault="000F31AA" w:rsidP="000F31A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F31AA">
        <w:rPr>
          <w:rFonts w:ascii="Times New Roman" w:hAnsi="Times New Roman" w:cs="Times New Roman"/>
          <w:b/>
          <w:sz w:val="24"/>
          <w:szCs w:val="24"/>
        </w:rPr>
        <w:t>DOI:</w:t>
      </w:r>
    </w:p>
    <w:p w:rsidR="000F31AA" w:rsidRPr="000F31AA" w:rsidRDefault="000F31AA" w:rsidP="000F31AA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Pr="000F31AA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https://doi.org/10.1007/s10825-019-01403-6</w:t>
        </w:r>
      </w:hyperlink>
    </w:p>
    <w:sectPr w:rsidR="000F31AA" w:rsidRPr="000F31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433073"/>
    <w:multiLevelType w:val="multilevel"/>
    <w:tmpl w:val="E39EE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F5E549A"/>
    <w:multiLevelType w:val="multilevel"/>
    <w:tmpl w:val="C8AC2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1AA"/>
    <w:rsid w:val="000F31AA"/>
    <w:rsid w:val="0014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4F8A0A-85DA-458D-9D41-3F05A2EC5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F31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31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31A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0F31AA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31A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mi">
    <w:name w:val="mi"/>
    <w:basedOn w:val="DefaultParagraphFont"/>
    <w:rsid w:val="000F31AA"/>
  </w:style>
  <w:style w:type="character" w:customStyle="1" w:styleId="mjxassistivemathml">
    <w:name w:val="mjx_assistive_mathml"/>
    <w:basedOn w:val="DefaultParagraphFont"/>
    <w:rsid w:val="000F31AA"/>
  </w:style>
  <w:style w:type="character" w:customStyle="1" w:styleId="mn">
    <w:name w:val="mn"/>
    <w:basedOn w:val="DefaultParagraphFont"/>
    <w:rsid w:val="000F31AA"/>
  </w:style>
  <w:style w:type="character" w:customStyle="1" w:styleId="mtext">
    <w:name w:val="mtext"/>
    <w:basedOn w:val="DefaultParagraphFont"/>
    <w:rsid w:val="000F31AA"/>
  </w:style>
  <w:style w:type="character" w:customStyle="1" w:styleId="mo">
    <w:name w:val="mo"/>
    <w:basedOn w:val="DefaultParagraphFont"/>
    <w:rsid w:val="000F31AA"/>
  </w:style>
  <w:style w:type="paragraph" w:styleId="NormalWeb">
    <w:name w:val="Normal (Web)"/>
    <w:basedOn w:val="Normal"/>
    <w:uiPriority w:val="99"/>
    <w:unhideWhenUsed/>
    <w:rsid w:val="000F3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-bibliographic-informationvalue">
    <w:name w:val="c-bibliographic-information__value"/>
    <w:basedOn w:val="DefaultParagraphFont"/>
    <w:rsid w:val="000F31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springer.com/article/10.1007/s10825-019-01403-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nk.springer.com/article/10.1007/s10825-019-01403-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nk.springer.com/article/10.1007/s10825-019-01403-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ink.springer.com/article/10.1007/s10825-019-01403-6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07/s10825-019-01403-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2021-08-26T09:44:00Z</dcterms:created>
  <dcterms:modified xsi:type="dcterms:W3CDTF">2021-08-26T09:54:00Z</dcterms:modified>
</cp:coreProperties>
</file>