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7FA" w:rsidRPr="001437FA" w:rsidRDefault="001437FA" w:rsidP="001437FA">
      <w:pPr>
        <w:jc w:val="both"/>
        <w:rPr>
          <w:rFonts w:ascii="Times New Roman" w:hAnsi="Times New Roman" w:cs="Times New Roman"/>
          <w:b/>
          <w:sz w:val="44"/>
          <w:szCs w:val="44"/>
        </w:rPr>
      </w:pPr>
      <w:bookmarkStart w:id="0" w:name="_GoBack"/>
      <w:r>
        <w:rPr>
          <w:rFonts w:ascii="Times New Roman" w:hAnsi="Times New Roman" w:cs="Times New Roman"/>
          <w:b/>
          <w:sz w:val="44"/>
          <w:szCs w:val="44"/>
        </w:rPr>
        <w:t>Optimization and Cost-benefit Assessment of Hybrid Power Systems for Off-grid Rural E</w:t>
      </w:r>
      <w:r w:rsidRPr="001437FA">
        <w:rPr>
          <w:rFonts w:ascii="Times New Roman" w:hAnsi="Times New Roman" w:cs="Times New Roman"/>
          <w:b/>
          <w:sz w:val="44"/>
          <w:szCs w:val="44"/>
        </w:rPr>
        <w:t>lectrification in Ethiopia</w:t>
      </w:r>
    </w:p>
    <w:bookmarkStart w:id="1" w:name="bau1"/>
    <w:bookmarkEnd w:id="0"/>
    <w:p w:rsidR="00392A24" w:rsidRPr="001437FA" w:rsidRDefault="001437FA" w:rsidP="001437FA">
      <w:pPr>
        <w:jc w:val="both"/>
        <w:rPr>
          <w:color w:val="2E74B5" w:themeColor="accent1" w:themeShade="BF"/>
        </w:rPr>
      </w:pPr>
      <w:r w:rsidRPr="001437FA">
        <w:rPr>
          <w:color w:val="2E74B5" w:themeColor="accent1" w:themeShade="BF"/>
        </w:rPr>
        <w:fldChar w:fldCharType="begin"/>
      </w:r>
      <w:r w:rsidRPr="001437FA">
        <w:rPr>
          <w:color w:val="2E74B5" w:themeColor="accent1" w:themeShade="BF"/>
        </w:rPr>
        <w:instrText xml:space="preserve"> HYPERLINK "https://www.sciencedirect.com/science/article/pii/S0360544219307285" \l "!" </w:instrText>
      </w:r>
      <w:r w:rsidRPr="001437FA">
        <w:rPr>
          <w:color w:val="2E74B5" w:themeColor="accent1" w:themeShade="BF"/>
        </w:rPr>
        <w:fldChar w:fldCharType="separate"/>
      </w:r>
      <w:proofErr w:type="spellStart"/>
      <w:r w:rsidRPr="001437FA">
        <w:rPr>
          <w:rStyle w:val="Hyperlink"/>
          <w:color w:val="2E74B5" w:themeColor="accent1" w:themeShade="BF"/>
          <w:u w:val="none"/>
        </w:rPr>
        <w:t>Kiflom</w:t>
      </w:r>
      <w:proofErr w:type="spellEnd"/>
      <w:r w:rsidRPr="001437FA">
        <w:rPr>
          <w:rStyle w:val="Hyperlink"/>
          <w:color w:val="2E74B5" w:themeColor="accent1" w:themeShade="BF"/>
          <w:u w:val="none"/>
        </w:rPr>
        <w:t xml:space="preserve"> </w:t>
      </w:r>
      <w:proofErr w:type="spellStart"/>
      <w:r w:rsidRPr="001437FA">
        <w:rPr>
          <w:rStyle w:val="Hyperlink"/>
          <w:color w:val="2E74B5" w:themeColor="accent1" w:themeShade="BF"/>
          <w:u w:val="none"/>
        </w:rPr>
        <w:t>Gebrehiwot</w:t>
      </w:r>
      <w:proofErr w:type="spellEnd"/>
      <w:r w:rsidRPr="001437FA">
        <w:rPr>
          <w:color w:val="2E74B5" w:themeColor="accent1" w:themeShade="BF"/>
        </w:rPr>
        <w:fldChar w:fldCharType="end"/>
      </w:r>
      <w:bookmarkEnd w:id="1"/>
      <w:r w:rsidRPr="001437FA">
        <w:rPr>
          <w:color w:val="2E74B5" w:themeColor="accent1" w:themeShade="BF"/>
        </w:rPr>
        <w:t xml:space="preserve">, </w:t>
      </w:r>
      <w:bookmarkStart w:id="2" w:name="bau2"/>
      <w:r w:rsidRPr="001437FA">
        <w:rPr>
          <w:color w:val="2E74B5" w:themeColor="accent1" w:themeShade="BF"/>
        </w:rPr>
        <w:fldChar w:fldCharType="begin"/>
      </w:r>
      <w:r w:rsidRPr="001437FA">
        <w:rPr>
          <w:color w:val="2E74B5" w:themeColor="accent1" w:themeShade="BF"/>
        </w:rPr>
        <w:instrText xml:space="preserve"> HYPERLINK "https://www.sciencedirect.com/science/article/pii/S0360544219307285" \l "!" </w:instrText>
      </w:r>
      <w:r w:rsidRPr="001437FA">
        <w:rPr>
          <w:color w:val="2E74B5" w:themeColor="accent1" w:themeShade="BF"/>
        </w:rPr>
        <w:fldChar w:fldCharType="separate"/>
      </w:r>
      <w:r w:rsidRPr="001437FA">
        <w:rPr>
          <w:rStyle w:val="Hyperlink"/>
          <w:color w:val="2E74B5" w:themeColor="accent1" w:themeShade="BF"/>
          <w:u w:val="none"/>
        </w:rPr>
        <w:t xml:space="preserve">Md. </w:t>
      </w:r>
      <w:proofErr w:type="spellStart"/>
      <w:r w:rsidRPr="001437FA">
        <w:rPr>
          <w:rStyle w:val="Hyperlink"/>
          <w:color w:val="2E74B5" w:themeColor="accent1" w:themeShade="BF"/>
          <w:u w:val="none"/>
        </w:rPr>
        <w:t>Alam</w:t>
      </w:r>
      <w:proofErr w:type="spellEnd"/>
      <w:r w:rsidRPr="001437FA">
        <w:rPr>
          <w:rStyle w:val="Hyperlink"/>
          <w:color w:val="2E74B5" w:themeColor="accent1" w:themeShade="BF"/>
          <w:u w:val="none"/>
        </w:rPr>
        <w:t xml:space="preserve"> Hossain </w:t>
      </w:r>
      <w:proofErr w:type="spellStart"/>
      <w:r w:rsidRPr="001437FA">
        <w:rPr>
          <w:rStyle w:val="Hyperlink"/>
          <w:color w:val="2E74B5" w:themeColor="accent1" w:themeShade="BF"/>
          <w:u w:val="none"/>
        </w:rPr>
        <w:t>Mondal</w:t>
      </w:r>
      <w:proofErr w:type="spellEnd"/>
      <w:r w:rsidRPr="001437FA">
        <w:rPr>
          <w:color w:val="2E74B5" w:themeColor="accent1" w:themeShade="BF"/>
        </w:rPr>
        <w:fldChar w:fldCharType="end"/>
      </w:r>
      <w:bookmarkEnd w:id="2"/>
      <w:r w:rsidRPr="001437FA">
        <w:rPr>
          <w:color w:val="2E74B5" w:themeColor="accent1" w:themeShade="BF"/>
        </w:rPr>
        <w:t xml:space="preserve">, </w:t>
      </w:r>
      <w:bookmarkStart w:id="3" w:name="bau3"/>
      <w:r w:rsidRPr="001437FA">
        <w:rPr>
          <w:color w:val="2E74B5" w:themeColor="accent1" w:themeShade="BF"/>
        </w:rPr>
        <w:fldChar w:fldCharType="begin"/>
      </w:r>
      <w:r w:rsidRPr="001437FA">
        <w:rPr>
          <w:color w:val="2E74B5" w:themeColor="accent1" w:themeShade="BF"/>
        </w:rPr>
        <w:instrText xml:space="preserve"> HYPERLINK "https://www.sciencedirect.com/science/article/pii/S0360544219307285" \l "!" </w:instrText>
      </w:r>
      <w:r w:rsidRPr="001437FA">
        <w:rPr>
          <w:color w:val="2E74B5" w:themeColor="accent1" w:themeShade="BF"/>
        </w:rPr>
        <w:fldChar w:fldCharType="separate"/>
      </w:r>
      <w:r w:rsidRPr="001437FA">
        <w:rPr>
          <w:rStyle w:val="Hyperlink"/>
          <w:color w:val="2E74B5" w:themeColor="accent1" w:themeShade="BF"/>
          <w:u w:val="none"/>
        </w:rPr>
        <w:t xml:space="preserve">Claudia </w:t>
      </w:r>
      <w:proofErr w:type="spellStart"/>
      <w:r w:rsidRPr="001437FA">
        <w:rPr>
          <w:rStyle w:val="Hyperlink"/>
          <w:color w:val="2E74B5" w:themeColor="accent1" w:themeShade="BF"/>
          <w:u w:val="none"/>
        </w:rPr>
        <w:t>Ringler</w:t>
      </w:r>
      <w:proofErr w:type="spellEnd"/>
      <w:r w:rsidRPr="001437FA">
        <w:rPr>
          <w:color w:val="2E74B5" w:themeColor="accent1" w:themeShade="BF"/>
        </w:rPr>
        <w:fldChar w:fldCharType="end"/>
      </w:r>
      <w:bookmarkEnd w:id="3"/>
      <w:r w:rsidRPr="001437FA">
        <w:rPr>
          <w:color w:val="2E74B5" w:themeColor="accent1" w:themeShade="BF"/>
        </w:rPr>
        <w:t xml:space="preserve">, </w:t>
      </w:r>
      <w:bookmarkStart w:id="4" w:name="bau4"/>
      <w:r w:rsidRPr="001437FA">
        <w:rPr>
          <w:color w:val="2E74B5" w:themeColor="accent1" w:themeShade="BF"/>
        </w:rPr>
        <w:fldChar w:fldCharType="begin"/>
      </w:r>
      <w:r w:rsidRPr="001437FA">
        <w:rPr>
          <w:color w:val="2E74B5" w:themeColor="accent1" w:themeShade="BF"/>
        </w:rPr>
        <w:instrText xml:space="preserve"> HYPERLINK "https://www.sciencedirect.com/science/article/pii/S0360544219307285" \l "!" </w:instrText>
      </w:r>
      <w:r w:rsidRPr="001437FA">
        <w:rPr>
          <w:color w:val="2E74B5" w:themeColor="accent1" w:themeShade="BF"/>
        </w:rPr>
        <w:fldChar w:fldCharType="separate"/>
      </w:r>
      <w:proofErr w:type="spellStart"/>
      <w:r w:rsidRPr="001437FA">
        <w:rPr>
          <w:rStyle w:val="Hyperlink"/>
          <w:color w:val="2E74B5" w:themeColor="accent1" w:themeShade="BF"/>
          <w:u w:val="none"/>
        </w:rPr>
        <w:t>Abiti</w:t>
      </w:r>
      <w:proofErr w:type="spellEnd"/>
      <w:r w:rsidRPr="001437FA">
        <w:rPr>
          <w:rStyle w:val="Hyperlink"/>
          <w:color w:val="2E74B5" w:themeColor="accent1" w:themeShade="BF"/>
          <w:u w:val="none"/>
        </w:rPr>
        <w:t xml:space="preserve"> </w:t>
      </w:r>
      <w:proofErr w:type="spellStart"/>
      <w:r w:rsidRPr="001437FA">
        <w:rPr>
          <w:rStyle w:val="Hyperlink"/>
          <w:color w:val="2E74B5" w:themeColor="accent1" w:themeShade="BF"/>
          <w:u w:val="none"/>
        </w:rPr>
        <w:t>Getaneh</w:t>
      </w:r>
      <w:proofErr w:type="spellEnd"/>
      <w:r w:rsidRPr="001437FA">
        <w:rPr>
          <w:rStyle w:val="Hyperlink"/>
          <w:color w:val="2E74B5" w:themeColor="accent1" w:themeShade="BF"/>
          <w:u w:val="none"/>
        </w:rPr>
        <w:t xml:space="preserve"> </w:t>
      </w:r>
      <w:proofErr w:type="spellStart"/>
      <w:r w:rsidRPr="001437FA">
        <w:rPr>
          <w:rStyle w:val="Hyperlink"/>
          <w:color w:val="2E74B5" w:themeColor="accent1" w:themeShade="BF"/>
          <w:u w:val="none"/>
        </w:rPr>
        <w:t>Gebremeskel</w:t>
      </w:r>
      <w:proofErr w:type="spellEnd"/>
      <w:r w:rsidRPr="001437FA">
        <w:rPr>
          <w:color w:val="2E74B5" w:themeColor="accent1" w:themeShade="BF"/>
        </w:rPr>
        <w:fldChar w:fldCharType="end"/>
      </w:r>
      <w:bookmarkEnd w:id="4"/>
    </w:p>
    <w:p w:rsidR="001437FA" w:rsidRPr="001437FA" w:rsidRDefault="001437FA" w:rsidP="001437FA">
      <w:pPr>
        <w:spacing w:after="0" w:line="276" w:lineRule="auto"/>
        <w:jc w:val="both"/>
        <w:rPr>
          <w:rFonts w:ascii="Times New Roman" w:hAnsi="Times New Roman" w:cs="Times New Roman"/>
          <w:b/>
          <w:sz w:val="24"/>
          <w:szCs w:val="24"/>
        </w:rPr>
      </w:pPr>
      <w:r w:rsidRPr="001437FA">
        <w:rPr>
          <w:rFonts w:ascii="Times New Roman" w:hAnsi="Times New Roman" w:cs="Times New Roman"/>
          <w:b/>
          <w:sz w:val="24"/>
          <w:szCs w:val="24"/>
        </w:rPr>
        <w:t>Abstract</w:t>
      </w:r>
      <w:r>
        <w:rPr>
          <w:rFonts w:ascii="Times New Roman" w:hAnsi="Times New Roman" w:cs="Times New Roman"/>
          <w:b/>
          <w:sz w:val="24"/>
          <w:szCs w:val="24"/>
        </w:rPr>
        <w:t>:</w:t>
      </w:r>
    </w:p>
    <w:p w:rsidR="001437FA" w:rsidRPr="001437FA" w:rsidRDefault="001437FA" w:rsidP="001437FA">
      <w:pPr>
        <w:jc w:val="both"/>
        <w:rPr>
          <w:rFonts w:ascii="Times New Roman" w:hAnsi="Times New Roman" w:cs="Times New Roman"/>
          <w:sz w:val="24"/>
          <w:szCs w:val="24"/>
        </w:rPr>
      </w:pPr>
      <w:r w:rsidRPr="001437FA">
        <w:rPr>
          <w:rFonts w:ascii="Times New Roman" w:hAnsi="Times New Roman" w:cs="Times New Roman"/>
          <w:sz w:val="24"/>
          <w:szCs w:val="24"/>
        </w:rPr>
        <w:t>Standalone solar </w:t>
      </w:r>
      <w:hyperlink r:id="rId4" w:tooltip="Learn more about photovoltaic from ScienceDirect's AI-generated Topic Pages" w:history="1">
        <w:r w:rsidRPr="001437FA">
          <w:rPr>
            <w:rStyle w:val="Hyperlink"/>
            <w:rFonts w:ascii="Times New Roman" w:hAnsi="Times New Roman" w:cs="Times New Roman"/>
            <w:sz w:val="24"/>
            <w:szCs w:val="24"/>
            <w:u w:val="none"/>
          </w:rPr>
          <w:t>photovoltaic</w:t>
        </w:r>
      </w:hyperlink>
      <w:r w:rsidRPr="001437FA">
        <w:rPr>
          <w:rFonts w:ascii="Times New Roman" w:hAnsi="Times New Roman" w:cs="Times New Roman"/>
          <w:sz w:val="24"/>
          <w:szCs w:val="24"/>
        </w:rPr>
        <w:t> systems are increasingly being distributed in Ethiopia, but these systems are sub-optimal due to their </w:t>
      </w:r>
      <w:hyperlink r:id="rId5" w:tooltip="Learn more about intermittent power from ScienceDirect's AI-generated Topic Pages" w:history="1">
        <w:r w:rsidRPr="001437FA">
          <w:rPr>
            <w:rStyle w:val="Hyperlink"/>
            <w:rFonts w:ascii="Times New Roman" w:hAnsi="Times New Roman" w:cs="Times New Roman"/>
            <w:sz w:val="24"/>
            <w:szCs w:val="24"/>
            <w:u w:val="none"/>
          </w:rPr>
          <w:t>intermittent power</w:t>
        </w:r>
      </w:hyperlink>
      <w:r w:rsidRPr="001437FA">
        <w:rPr>
          <w:rFonts w:ascii="Times New Roman" w:hAnsi="Times New Roman" w:cs="Times New Roman"/>
          <w:sz w:val="24"/>
          <w:szCs w:val="24"/>
        </w:rPr>
        <w:t> supply. A hybrid system that integrates and optimizes across solar photovoltaic and complementary energy sources, such as wind and diesel generation, can improve reliability, and reduce the unit cost of power production. This study assesses the potential of a hybrid system to electrify a remote rural village in Ethiopia. The Hybrid Optimization of Multiple Electric Renewables model is used to assess primary data, develop a load profile and identify the optimal least-cost system option for the village. A sensitivity analysis was performed to determine the effect of variations in solar radiation, wind speed, and diesel price on optimal system configurations. The results show that a hybrid system with a combination of photovoltaic array, </w:t>
      </w:r>
      <w:hyperlink r:id="rId6" w:tooltip="Learn more about wind turbine from ScienceDirect's AI-generated Topic Pages" w:history="1">
        <w:r w:rsidRPr="001437FA">
          <w:rPr>
            <w:rStyle w:val="Hyperlink"/>
            <w:rFonts w:ascii="Times New Roman" w:hAnsi="Times New Roman" w:cs="Times New Roman"/>
            <w:sz w:val="24"/>
            <w:szCs w:val="24"/>
            <w:u w:val="none"/>
          </w:rPr>
          <w:t>wind turbine</w:t>
        </w:r>
      </w:hyperlink>
      <w:r w:rsidRPr="001437FA">
        <w:rPr>
          <w:rFonts w:ascii="Times New Roman" w:hAnsi="Times New Roman" w:cs="Times New Roman"/>
          <w:sz w:val="24"/>
          <w:szCs w:val="24"/>
        </w:rPr>
        <w:t>, battery and diesel generator is the best option from an economic point of view. To meet the village's daily peak demand of 19.6 kW, </w:t>
      </w:r>
      <w:hyperlink r:id="rId7" w:tooltip="Learn more about energy generation from ScienceDirect's AI-generated Topic Pages" w:history="1">
        <w:r w:rsidRPr="001437FA">
          <w:rPr>
            <w:rStyle w:val="Hyperlink"/>
            <w:rFonts w:ascii="Times New Roman" w:hAnsi="Times New Roman" w:cs="Times New Roman"/>
            <w:sz w:val="24"/>
            <w:szCs w:val="24"/>
            <w:u w:val="none"/>
          </w:rPr>
          <w:t>energy generation</w:t>
        </w:r>
      </w:hyperlink>
      <w:r w:rsidRPr="001437FA">
        <w:rPr>
          <w:rFonts w:ascii="Times New Roman" w:hAnsi="Times New Roman" w:cs="Times New Roman"/>
          <w:sz w:val="24"/>
          <w:szCs w:val="24"/>
        </w:rPr>
        <w:t> cost is estimated at 0.207 dollars per </w:t>
      </w:r>
      <w:hyperlink r:id="rId8" w:tooltip="Learn more about kilowatt hour from ScienceDirect's AI-generated Topic Pages" w:history="1">
        <w:r w:rsidRPr="001437FA">
          <w:rPr>
            <w:rStyle w:val="Hyperlink"/>
            <w:rFonts w:ascii="Times New Roman" w:hAnsi="Times New Roman" w:cs="Times New Roman"/>
            <w:sz w:val="24"/>
            <w:szCs w:val="24"/>
            <w:u w:val="none"/>
          </w:rPr>
          <w:t>kilowatt hour</w:t>
        </w:r>
      </w:hyperlink>
      <w:r w:rsidRPr="001437FA">
        <w:rPr>
          <w:rFonts w:ascii="Times New Roman" w:hAnsi="Times New Roman" w:cs="Times New Roman"/>
          <w:sz w:val="24"/>
          <w:szCs w:val="24"/>
        </w:rPr>
        <w:t> and net present cost at 82,734 dollars. The optimal system allows for a reduction of 37.3 tons of carbon dioxide emissions per year compared with diesel-only electricity generation.</w:t>
      </w:r>
    </w:p>
    <w:p w:rsidR="001437FA" w:rsidRPr="001437FA" w:rsidRDefault="001437FA" w:rsidP="001437FA">
      <w:pPr>
        <w:spacing w:line="276" w:lineRule="auto"/>
        <w:rPr>
          <w:sz w:val="24"/>
          <w:szCs w:val="24"/>
        </w:rPr>
      </w:pPr>
      <w:r w:rsidRPr="001437FA">
        <w:rPr>
          <w:rFonts w:ascii="Times New Roman" w:hAnsi="Times New Roman" w:cs="Times New Roman"/>
          <w:b/>
          <w:sz w:val="24"/>
          <w:szCs w:val="24"/>
        </w:rPr>
        <w:t>Conference / Journal Link:</w:t>
      </w:r>
      <w:r w:rsidRPr="001437FA">
        <w:rPr>
          <w:sz w:val="24"/>
          <w:szCs w:val="24"/>
        </w:rPr>
        <w:t xml:space="preserve"> </w:t>
      </w:r>
      <w:hyperlink r:id="rId9" w:history="1">
        <w:r w:rsidRPr="001437FA">
          <w:rPr>
            <w:rStyle w:val="Hyperlink"/>
            <w:sz w:val="24"/>
            <w:szCs w:val="24"/>
          </w:rPr>
          <w:t>https://www.sciencedirect.com/science/article/pii/S0360544219307285</w:t>
        </w:r>
      </w:hyperlink>
    </w:p>
    <w:p w:rsidR="001437FA" w:rsidRDefault="001437FA" w:rsidP="001437FA">
      <w:pPr>
        <w:spacing w:after="0" w:line="276" w:lineRule="auto"/>
      </w:pPr>
      <w:r w:rsidRPr="001437FA">
        <w:rPr>
          <w:rFonts w:ascii="Times New Roman" w:hAnsi="Times New Roman" w:cs="Times New Roman"/>
          <w:b/>
          <w:sz w:val="24"/>
          <w:szCs w:val="24"/>
        </w:rPr>
        <w:t>DOI:</w:t>
      </w:r>
      <w:r w:rsidRPr="001437FA">
        <w:t xml:space="preserve"> </w:t>
      </w:r>
    </w:p>
    <w:p w:rsidR="001437FA" w:rsidRPr="001437FA" w:rsidRDefault="001437FA" w:rsidP="001437FA">
      <w:hyperlink r:id="rId10" w:tgtFrame="_blank" w:tooltip="Persistent link using digital object identifier" w:history="1">
        <w:r w:rsidRPr="001437FA">
          <w:rPr>
            <w:rStyle w:val="Hyperlink"/>
          </w:rPr>
          <w:t>https://doi.org/10.1016/j.energy.2019.04.095</w:t>
        </w:r>
      </w:hyperlink>
    </w:p>
    <w:sectPr w:rsidR="001437FA" w:rsidRPr="001437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7FA"/>
    <w:rsid w:val="001437FA"/>
    <w:rsid w:val="00392A24"/>
    <w:rsid w:val="00CF6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9D595-28BC-4DEA-9420-05341AC8C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437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1437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7FA"/>
    <w:rPr>
      <w:rFonts w:ascii="Times New Roman" w:eastAsia="Times New Roman" w:hAnsi="Times New Roman" w:cs="Times New Roman"/>
      <w:b/>
      <w:bCs/>
      <w:kern w:val="36"/>
      <w:sz w:val="48"/>
      <w:szCs w:val="48"/>
    </w:rPr>
  </w:style>
  <w:style w:type="character" w:customStyle="1" w:styleId="title-text">
    <w:name w:val="title-text"/>
    <w:basedOn w:val="DefaultParagraphFont"/>
    <w:rsid w:val="001437FA"/>
  </w:style>
  <w:style w:type="character" w:customStyle="1" w:styleId="text">
    <w:name w:val="text"/>
    <w:basedOn w:val="DefaultParagraphFont"/>
    <w:rsid w:val="001437FA"/>
  </w:style>
  <w:style w:type="character" w:customStyle="1" w:styleId="Heading2Char">
    <w:name w:val="Heading 2 Char"/>
    <w:basedOn w:val="DefaultParagraphFont"/>
    <w:link w:val="Heading2"/>
    <w:uiPriority w:val="9"/>
    <w:semiHidden/>
    <w:rsid w:val="001437F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437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908280">
      <w:bodyDiv w:val="1"/>
      <w:marLeft w:val="0"/>
      <w:marRight w:val="0"/>
      <w:marTop w:val="0"/>
      <w:marBottom w:val="0"/>
      <w:divBdr>
        <w:top w:val="none" w:sz="0" w:space="0" w:color="auto"/>
        <w:left w:val="none" w:sz="0" w:space="0" w:color="auto"/>
        <w:bottom w:val="none" w:sz="0" w:space="0" w:color="auto"/>
        <w:right w:val="none" w:sz="0" w:space="0" w:color="auto"/>
      </w:divBdr>
    </w:div>
    <w:div w:id="116143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ngineering/kilowatt-hour" TargetMode="External"/><Relationship Id="rId3" Type="http://schemas.openxmlformats.org/officeDocument/2006/relationships/webSettings" Target="webSettings.xml"/><Relationship Id="rId7" Type="http://schemas.openxmlformats.org/officeDocument/2006/relationships/hyperlink" Target="https://www.sciencedirect.com/topics/engineering/power-generatio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ngineering/wind-turbines" TargetMode="External"/><Relationship Id="rId11" Type="http://schemas.openxmlformats.org/officeDocument/2006/relationships/fontTable" Target="fontTable.xml"/><Relationship Id="rId5" Type="http://schemas.openxmlformats.org/officeDocument/2006/relationships/hyperlink" Target="https://www.sciencedirect.com/topics/engineering/intermittent-power" TargetMode="External"/><Relationship Id="rId10" Type="http://schemas.openxmlformats.org/officeDocument/2006/relationships/hyperlink" Target="https://doi.org/10.1016/j.energy.2019.04.095" TargetMode="External"/><Relationship Id="rId4" Type="http://schemas.openxmlformats.org/officeDocument/2006/relationships/hyperlink" Target="https://www.sciencedirect.com/topics/engineering/photovoltaics" TargetMode="External"/><Relationship Id="rId9" Type="http://schemas.openxmlformats.org/officeDocument/2006/relationships/hyperlink" Target="https://www.sciencedirect.com/science/article/pii/S0360544219307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cp:lastPrinted>2021-09-14T10:04:00Z</cp:lastPrinted>
  <dcterms:created xsi:type="dcterms:W3CDTF">2021-09-14T09:53:00Z</dcterms:created>
  <dcterms:modified xsi:type="dcterms:W3CDTF">2021-09-14T10:06:00Z</dcterms:modified>
</cp:coreProperties>
</file>