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B8A" w:rsidRPr="009B6D4F" w:rsidRDefault="009B6D4F" w:rsidP="00E44EC9">
      <w:pPr>
        <w:jc w:val="both"/>
        <w:rPr>
          <w:rFonts w:ascii="Times New Roman" w:hAnsi="Times New Roman" w:cs="Times New Roman"/>
          <w:b/>
          <w:sz w:val="44"/>
          <w:szCs w:val="44"/>
        </w:rPr>
      </w:pPr>
      <w:bookmarkStart w:id="0" w:name="_GoBack"/>
      <w:r w:rsidRPr="009B6D4F">
        <w:rPr>
          <w:rFonts w:ascii="Times New Roman" w:hAnsi="Times New Roman" w:cs="Times New Roman"/>
          <w:b/>
          <w:sz w:val="44"/>
          <w:szCs w:val="44"/>
        </w:rPr>
        <w:t xml:space="preserve">Physicochemical Properties Analysis of Marketed Amitriptyline </w:t>
      </w:r>
      <w:proofErr w:type="spellStart"/>
      <w:r w:rsidRPr="009B6D4F">
        <w:rPr>
          <w:rFonts w:ascii="Times New Roman" w:hAnsi="Times New Roman" w:cs="Times New Roman"/>
          <w:b/>
          <w:sz w:val="44"/>
          <w:szCs w:val="44"/>
        </w:rPr>
        <w:t>Hcl</w:t>
      </w:r>
      <w:proofErr w:type="spellEnd"/>
      <w:r w:rsidRPr="009B6D4F">
        <w:rPr>
          <w:rFonts w:ascii="Times New Roman" w:hAnsi="Times New Roman" w:cs="Times New Roman"/>
          <w:b/>
          <w:sz w:val="44"/>
          <w:szCs w:val="44"/>
        </w:rPr>
        <w:t xml:space="preserve"> Tablets Available in Bangladesh </w:t>
      </w:r>
    </w:p>
    <w:bookmarkEnd w:id="0"/>
    <w:p w:rsidR="009B6D4F" w:rsidRPr="009B6D4F" w:rsidRDefault="009B6D4F" w:rsidP="00E44EC9">
      <w:pPr>
        <w:jc w:val="both"/>
        <w:rPr>
          <w:rFonts w:ascii="Times New Roman" w:hAnsi="Times New Roman" w:cs="Times New Roman"/>
          <w:color w:val="2E74B5" w:themeColor="accent1" w:themeShade="BF"/>
          <w:sz w:val="24"/>
          <w:szCs w:val="24"/>
        </w:rPr>
      </w:pPr>
      <w:proofErr w:type="spellStart"/>
      <w:r w:rsidRPr="009B6D4F">
        <w:rPr>
          <w:rFonts w:ascii="Times New Roman" w:hAnsi="Times New Roman" w:cs="Times New Roman"/>
          <w:color w:val="2E74B5" w:themeColor="accent1" w:themeShade="BF"/>
          <w:sz w:val="24"/>
          <w:szCs w:val="24"/>
        </w:rPr>
        <w:t>Aditi</w:t>
      </w:r>
      <w:proofErr w:type="spellEnd"/>
      <w:r w:rsidRPr="009B6D4F">
        <w:rPr>
          <w:rFonts w:ascii="Times New Roman" w:hAnsi="Times New Roman" w:cs="Times New Roman"/>
          <w:color w:val="2E74B5" w:themeColor="accent1" w:themeShade="BF"/>
          <w:sz w:val="24"/>
          <w:szCs w:val="24"/>
        </w:rPr>
        <w:t xml:space="preserve"> </w:t>
      </w:r>
      <w:proofErr w:type="spellStart"/>
      <w:r w:rsidRPr="009B6D4F">
        <w:rPr>
          <w:rFonts w:ascii="Times New Roman" w:hAnsi="Times New Roman" w:cs="Times New Roman"/>
          <w:color w:val="2E74B5" w:themeColor="accent1" w:themeShade="BF"/>
          <w:sz w:val="24"/>
          <w:szCs w:val="24"/>
        </w:rPr>
        <w:t>Bhowmick</w:t>
      </w:r>
      <w:proofErr w:type="spellEnd"/>
      <w:r w:rsidRPr="009B6D4F">
        <w:rPr>
          <w:rFonts w:ascii="Times New Roman" w:hAnsi="Times New Roman" w:cs="Times New Roman"/>
          <w:color w:val="2E74B5" w:themeColor="accent1" w:themeShade="BF"/>
          <w:sz w:val="24"/>
          <w:szCs w:val="24"/>
        </w:rPr>
        <w:t xml:space="preserve">, </w:t>
      </w:r>
      <w:proofErr w:type="spellStart"/>
      <w:r w:rsidRPr="009B6D4F">
        <w:rPr>
          <w:rFonts w:ascii="Times New Roman" w:hAnsi="Times New Roman" w:cs="Times New Roman"/>
          <w:color w:val="2E74B5" w:themeColor="accent1" w:themeShade="BF"/>
          <w:sz w:val="24"/>
          <w:szCs w:val="24"/>
        </w:rPr>
        <w:t>Tushar</w:t>
      </w:r>
      <w:proofErr w:type="spellEnd"/>
      <w:r w:rsidRPr="009B6D4F">
        <w:rPr>
          <w:rFonts w:ascii="Times New Roman" w:hAnsi="Times New Roman" w:cs="Times New Roman"/>
          <w:color w:val="2E74B5" w:themeColor="accent1" w:themeShade="BF"/>
          <w:sz w:val="24"/>
          <w:szCs w:val="24"/>
        </w:rPr>
        <w:t xml:space="preserve"> </w:t>
      </w:r>
      <w:proofErr w:type="spellStart"/>
      <w:r w:rsidRPr="009B6D4F">
        <w:rPr>
          <w:rFonts w:ascii="Times New Roman" w:hAnsi="Times New Roman" w:cs="Times New Roman"/>
          <w:color w:val="2E74B5" w:themeColor="accent1" w:themeShade="BF"/>
          <w:sz w:val="24"/>
          <w:szCs w:val="24"/>
        </w:rPr>
        <w:t>Saha</w:t>
      </w:r>
      <w:proofErr w:type="spellEnd"/>
      <w:r w:rsidRPr="009B6D4F">
        <w:rPr>
          <w:rFonts w:ascii="Times New Roman" w:hAnsi="Times New Roman" w:cs="Times New Roman"/>
          <w:color w:val="2E74B5" w:themeColor="accent1" w:themeShade="BF"/>
          <w:sz w:val="24"/>
          <w:szCs w:val="24"/>
        </w:rPr>
        <w:t xml:space="preserve">, </w:t>
      </w:r>
      <w:proofErr w:type="spellStart"/>
      <w:r w:rsidRPr="009B6D4F">
        <w:rPr>
          <w:rFonts w:ascii="Times New Roman" w:hAnsi="Times New Roman" w:cs="Times New Roman"/>
          <w:color w:val="2E74B5" w:themeColor="accent1" w:themeShade="BF"/>
          <w:sz w:val="24"/>
          <w:szCs w:val="24"/>
        </w:rPr>
        <w:t>Shadhan</w:t>
      </w:r>
      <w:proofErr w:type="spellEnd"/>
      <w:r w:rsidRPr="009B6D4F">
        <w:rPr>
          <w:rFonts w:ascii="Times New Roman" w:hAnsi="Times New Roman" w:cs="Times New Roman"/>
          <w:color w:val="2E74B5" w:themeColor="accent1" w:themeShade="BF"/>
          <w:sz w:val="24"/>
          <w:szCs w:val="24"/>
        </w:rPr>
        <w:t xml:space="preserve"> Kumar </w:t>
      </w:r>
      <w:proofErr w:type="spellStart"/>
      <w:r w:rsidRPr="009B6D4F">
        <w:rPr>
          <w:rFonts w:ascii="Times New Roman" w:hAnsi="Times New Roman" w:cs="Times New Roman"/>
          <w:color w:val="2E74B5" w:themeColor="accent1" w:themeShade="BF"/>
          <w:sz w:val="24"/>
          <w:szCs w:val="24"/>
        </w:rPr>
        <w:t>Mondal</w:t>
      </w:r>
      <w:proofErr w:type="spellEnd"/>
      <w:r w:rsidRPr="009B6D4F">
        <w:rPr>
          <w:rFonts w:ascii="Times New Roman" w:hAnsi="Times New Roman" w:cs="Times New Roman"/>
          <w:color w:val="2E74B5" w:themeColor="accent1" w:themeShade="BF"/>
          <w:sz w:val="24"/>
          <w:szCs w:val="24"/>
        </w:rPr>
        <w:t xml:space="preserve">, Md. </w:t>
      </w:r>
      <w:proofErr w:type="spellStart"/>
      <w:r w:rsidRPr="009B6D4F">
        <w:rPr>
          <w:rFonts w:ascii="Times New Roman" w:hAnsi="Times New Roman" w:cs="Times New Roman"/>
          <w:color w:val="2E74B5" w:themeColor="accent1" w:themeShade="BF"/>
          <w:sz w:val="24"/>
          <w:szCs w:val="24"/>
        </w:rPr>
        <w:t>Shafiqul</w:t>
      </w:r>
      <w:proofErr w:type="spellEnd"/>
      <w:r w:rsidRPr="009B6D4F">
        <w:rPr>
          <w:rFonts w:ascii="Times New Roman" w:hAnsi="Times New Roman" w:cs="Times New Roman"/>
          <w:color w:val="2E74B5" w:themeColor="accent1" w:themeShade="BF"/>
          <w:sz w:val="24"/>
          <w:szCs w:val="24"/>
        </w:rPr>
        <w:t xml:space="preserve"> Islam </w:t>
      </w:r>
      <w:proofErr w:type="spellStart"/>
      <w:r w:rsidRPr="009B6D4F">
        <w:rPr>
          <w:rFonts w:ascii="Times New Roman" w:hAnsi="Times New Roman" w:cs="Times New Roman"/>
          <w:color w:val="2E74B5" w:themeColor="accent1" w:themeShade="BF"/>
          <w:sz w:val="24"/>
          <w:szCs w:val="24"/>
        </w:rPr>
        <w:t>Sovon</w:t>
      </w:r>
      <w:proofErr w:type="spellEnd"/>
      <w:r w:rsidRPr="009B6D4F">
        <w:rPr>
          <w:rFonts w:ascii="Times New Roman" w:hAnsi="Times New Roman" w:cs="Times New Roman"/>
          <w:color w:val="2E74B5" w:themeColor="accent1" w:themeShade="BF"/>
          <w:sz w:val="24"/>
          <w:szCs w:val="24"/>
        </w:rPr>
        <w:t xml:space="preserve">, </w:t>
      </w:r>
      <w:proofErr w:type="spellStart"/>
      <w:r w:rsidRPr="009B6D4F">
        <w:rPr>
          <w:rFonts w:ascii="Times New Roman" w:hAnsi="Times New Roman" w:cs="Times New Roman"/>
          <w:color w:val="2E74B5" w:themeColor="accent1" w:themeShade="BF"/>
          <w:sz w:val="24"/>
          <w:szCs w:val="24"/>
        </w:rPr>
        <w:t>Amran</w:t>
      </w:r>
      <w:proofErr w:type="spellEnd"/>
      <w:r w:rsidRPr="009B6D4F">
        <w:rPr>
          <w:rFonts w:ascii="Times New Roman" w:hAnsi="Times New Roman" w:cs="Times New Roman"/>
          <w:color w:val="2E74B5" w:themeColor="accent1" w:themeShade="BF"/>
          <w:sz w:val="24"/>
          <w:szCs w:val="24"/>
        </w:rPr>
        <w:t xml:space="preserve"> Khan, Zia Uddin </w:t>
      </w:r>
      <w:proofErr w:type="spellStart"/>
      <w:r w:rsidRPr="009B6D4F">
        <w:rPr>
          <w:rFonts w:ascii="Times New Roman" w:hAnsi="Times New Roman" w:cs="Times New Roman"/>
          <w:color w:val="2E74B5" w:themeColor="accent1" w:themeShade="BF"/>
          <w:sz w:val="24"/>
          <w:szCs w:val="24"/>
        </w:rPr>
        <w:t>Masum</w:t>
      </w:r>
      <w:proofErr w:type="spellEnd"/>
      <w:r w:rsidRPr="009B6D4F">
        <w:rPr>
          <w:rFonts w:ascii="Times New Roman" w:hAnsi="Times New Roman" w:cs="Times New Roman"/>
          <w:color w:val="2E74B5" w:themeColor="accent1" w:themeShade="BF"/>
          <w:sz w:val="24"/>
          <w:szCs w:val="24"/>
        </w:rPr>
        <w:t xml:space="preserve">, Md. </w:t>
      </w:r>
      <w:proofErr w:type="spellStart"/>
      <w:r w:rsidRPr="009B6D4F">
        <w:rPr>
          <w:rFonts w:ascii="Times New Roman" w:hAnsi="Times New Roman" w:cs="Times New Roman"/>
          <w:color w:val="2E74B5" w:themeColor="accent1" w:themeShade="BF"/>
          <w:sz w:val="24"/>
          <w:szCs w:val="24"/>
        </w:rPr>
        <w:t>Sakhawat</w:t>
      </w:r>
      <w:proofErr w:type="spellEnd"/>
      <w:r w:rsidRPr="009B6D4F">
        <w:rPr>
          <w:rFonts w:ascii="Times New Roman" w:hAnsi="Times New Roman" w:cs="Times New Roman"/>
          <w:color w:val="2E74B5" w:themeColor="accent1" w:themeShade="BF"/>
          <w:sz w:val="24"/>
          <w:szCs w:val="24"/>
        </w:rPr>
        <w:t xml:space="preserve"> Hossain</w:t>
      </w:r>
    </w:p>
    <w:p w:rsidR="009B6D4F" w:rsidRPr="009B6D4F" w:rsidRDefault="009B6D4F" w:rsidP="00E44EC9">
      <w:pPr>
        <w:spacing w:after="0" w:line="276" w:lineRule="auto"/>
        <w:jc w:val="both"/>
        <w:rPr>
          <w:rFonts w:ascii="Times New Roman" w:hAnsi="Times New Roman" w:cs="Times New Roman"/>
          <w:b/>
          <w:sz w:val="24"/>
          <w:szCs w:val="24"/>
        </w:rPr>
      </w:pPr>
      <w:r w:rsidRPr="009B6D4F">
        <w:rPr>
          <w:rFonts w:ascii="Times New Roman" w:hAnsi="Times New Roman" w:cs="Times New Roman"/>
          <w:b/>
          <w:sz w:val="24"/>
          <w:szCs w:val="24"/>
        </w:rPr>
        <w:t>Abstract:</w:t>
      </w:r>
    </w:p>
    <w:p w:rsidR="009B6D4F" w:rsidRPr="009B6D4F" w:rsidRDefault="009B6D4F" w:rsidP="00E44EC9">
      <w:pPr>
        <w:jc w:val="both"/>
        <w:rPr>
          <w:rFonts w:ascii="Times New Roman" w:hAnsi="Times New Roman" w:cs="Times New Roman"/>
          <w:sz w:val="24"/>
          <w:szCs w:val="24"/>
        </w:rPr>
      </w:pPr>
      <w:r w:rsidRPr="009B6D4F">
        <w:rPr>
          <w:rFonts w:ascii="Times New Roman" w:hAnsi="Times New Roman" w:cs="Times New Roman"/>
          <w:sz w:val="24"/>
          <w:szCs w:val="24"/>
        </w:rPr>
        <w:t xml:space="preserve">The aim of the present investigation was to analyze different physicochemical parameters of marketed Amitriptyline HCI tablets (10mg) available in Bangladesh. Five brands were chosen randomly and purchased from Dhaka city Bangladesh. Diameter, thickness, hardness, friability and disintegration time were performed as per USP monograph and found satisfactory result. In vitro dissolution study was conducted by using apparatus 1 and in 0.1 N </w:t>
      </w:r>
      <w:proofErr w:type="spellStart"/>
      <w:r w:rsidRPr="009B6D4F">
        <w:rPr>
          <w:rFonts w:ascii="Times New Roman" w:hAnsi="Times New Roman" w:cs="Times New Roman"/>
          <w:sz w:val="24"/>
          <w:szCs w:val="24"/>
        </w:rPr>
        <w:t>HCl</w:t>
      </w:r>
      <w:proofErr w:type="spellEnd"/>
      <w:r w:rsidRPr="009B6D4F">
        <w:rPr>
          <w:rFonts w:ascii="Times New Roman" w:hAnsi="Times New Roman" w:cs="Times New Roman"/>
          <w:sz w:val="24"/>
          <w:szCs w:val="24"/>
        </w:rPr>
        <w:t xml:space="preserve"> media. Four of the five brands successfully met the compendia requirements after 45 minutes where as one brand failed to meet the official monograph. From the investigation it is recommended that </w:t>
      </w:r>
      <w:proofErr w:type="spellStart"/>
      <w:r w:rsidRPr="009B6D4F">
        <w:rPr>
          <w:rFonts w:ascii="Times New Roman" w:hAnsi="Times New Roman" w:cs="Times New Roman"/>
          <w:sz w:val="24"/>
          <w:szCs w:val="24"/>
        </w:rPr>
        <w:t>pharmacovigilance</w:t>
      </w:r>
      <w:proofErr w:type="spellEnd"/>
      <w:r w:rsidRPr="009B6D4F">
        <w:rPr>
          <w:rFonts w:ascii="Times New Roman" w:hAnsi="Times New Roman" w:cs="Times New Roman"/>
          <w:sz w:val="24"/>
          <w:szCs w:val="24"/>
        </w:rPr>
        <w:t xml:space="preserve"> should be adopted strongly so as to ensure the quality of the product.</w:t>
      </w:r>
    </w:p>
    <w:p w:rsidR="009B6D4F" w:rsidRPr="009B6D4F" w:rsidRDefault="009B6D4F" w:rsidP="009B6D4F">
      <w:pPr>
        <w:rPr>
          <w:rFonts w:ascii="Times New Roman" w:hAnsi="Times New Roman" w:cs="Times New Roman"/>
          <w:sz w:val="24"/>
          <w:szCs w:val="24"/>
        </w:rPr>
      </w:pPr>
      <w:r w:rsidRPr="009B6D4F">
        <w:rPr>
          <w:rFonts w:ascii="Times New Roman" w:hAnsi="Times New Roman" w:cs="Times New Roman"/>
          <w:b/>
          <w:sz w:val="24"/>
          <w:szCs w:val="24"/>
        </w:rPr>
        <w:t>Conference / Journal Link:</w:t>
      </w:r>
      <w:r w:rsidR="00E44EC9">
        <w:rPr>
          <w:rFonts w:ascii="Times New Roman" w:hAnsi="Times New Roman" w:cs="Times New Roman"/>
          <w:sz w:val="24"/>
          <w:szCs w:val="24"/>
        </w:rPr>
        <w:t xml:space="preserve"> </w:t>
      </w:r>
      <w:hyperlink r:id="rId4" w:history="1">
        <w:r w:rsidRPr="009B6D4F">
          <w:rPr>
            <w:rStyle w:val="Hyperlink"/>
            <w:rFonts w:ascii="Times New Roman" w:hAnsi="Times New Roman" w:cs="Times New Roman"/>
            <w:sz w:val="24"/>
            <w:szCs w:val="24"/>
          </w:rPr>
          <w:t>https://pharmacologyonline.silae.it/files/archives/2019/vol3/PhOL_2019_3_A020_Aditi.pdf</w:t>
        </w:r>
      </w:hyperlink>
    </w:p>
    <w:sectPr w:rsidR="009B6D4F" w:rsidRPr="009B6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D4F"/>
    <w:rsid w:val="000B2B8A"/>
    <w:rsid w:val="009B6D4F"/>
    <w:rsid w:val="00E4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BAC60-14F7-4F3F-97D4-7374644D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D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3/PhOL_2019_3_A020_Adit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177</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2021-09-21T05:34:00Z</dcterms:created>
  <dcterms:modified xsi:type="dcterms:W3CDTF">2021-09-21T05:45:00Z</dcterms:modified>
</cp:coreProperties>
</file>