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D67" w:rsidRPr="00B54D67" w:rsidRDefault="00B54D67" w:rsidP="001B4DC9">
      <w:pPr>
        <w:jc w:val="both"/>
        <w:rPr>
          <w:rFonts w:ascii="Times New Roman" w:hAnsi="Times New Roman" w:cs="Times New Roman"/>
          <w:b/>
          <w:sz w:val="44"/>
          <w:szCs w:val="44"/>
        </w:rPr>
      </w:pPr>
      <w:r w:rsidRPr="00B54D67">
        <w:rPr>
          <w:rFonts w:ascii="Times New Roman" w:hAnsi="Times New Roman" w:cs="Times New Roman"/>
          <w:b/>
          <w:sz w:val="44"/>
          <w:szCs w:val="44"/>
        </w:rPr>
        <w:t xml:space="preserve">Phytochemical Investigation, Cytotoxic and Thrombolytic Activity of Acetone Extracts of </w:t>
      </w:r>
      <w:proofErr w:type="spellStart"/>
      <w:r w:rsidRPr="00B54D67">
        <w:rPr>
          <w:rFonts w:ascii="Times New Roman" w:hAnsi="Times New Roman" w:cs="Times New Roman"/>
          <w:b/>
          <w:sz w:val="44"/>
          <w:szCs w:val="44"/>
        </w:rPr>
        <w:t>Rhynchotechum</w:t>
      </w:r>
      <w:proofErr w:type="spellEnd"/>
      <w:r w:rsidRPr="00B54D67">
        <w:rPr>
          <w:rFonts w:ascii="Times New Roman" w:hAnsi="Times New Roman" w:cs="Times New Roman"/>
          <w:b/>
          <w:sz w:val="44"/>
          <w:szCs w:val="44"/>
        </w:rPr>
        <w:t xml:space="preserve"> </w:t>
      </w:r>
      <w:proofErr w:type="spellStart"/>
      <w:r w:rsidRPr="00B54D67">
        <w:rPr>
          <w:rFonts w:ascii="Times New Roman" w:hAnsi="Times New Roman" w:cs="Times New Roman"/>
          <w:b/>
          <w:sz w:val="44"/>
          <w:szCs w:val="44"/>
        </w:rPr>
        <w:t>Ellipticum</w:t>
      </w:r>
      <w:proofErr w:type="spellEnd"/>
      <w:r w:rsidRPr="00B54D67">
        <w:rPr>
          <w:rFonts w:ascii="Times New Roman" w:hAnsi="Times New Roman" w:cs="Times New Roman"/>
          <w:b/>
          <w:sz w:val="44"/>
          <w:szCs w:val="44"/>
        </w:rPr>
        <w:t xml:space="preserve"> (</w:t>
      </w:r>
      <w:proofErr w:type="spellStart"/>
      <w:r w:rsidRPr="00B54D67">
        <w:rPr>
          <w:rFonts w:ascii="Times New Roman" w:hAnsi="Times New Roman" w:cs="Times New Roman"/>
          <w:b/>
          <w:sz w:val="44"/>
          <w:szCs w:val="44"/>
        </w:rPr>
        <w:t>Gesneriaceae</w:t>
      </w:r>
      <w:proofErr w:type="spellEnd"/>
      <w:r w:rsidRPr="00B54D67">
        <w:rPr>
          <w:rFonts w:ascii="Times New Roman" w:hAnsi="Times New Roman" w:cs="Times New Roman"/>
          <w:b/>
          <w:sz w:val="44"/>
          <w:szCs w:val="44"/>
        </w:rPr>
        <w:t>)</w:t>
      </w:r>
    </w:p>
    <w:p w:rsidR="00B54D67" w:rsidRPr="00B54D67" w:rsidRDefault="001B4DC9" w:rsidP="001B4DC9">
      <w:pPr>
        <w:jc w:val="both"/>
        <w:rPr>
          <w:rFonts w:ascii="Times New Roman" w:hAnsi="Times New Roman" w:cs="Times New Roman"/>
          <w:color w:val="2E74B5" w:themeColor="accent1" w:themeShade="BF"/>
          <w:sz w:val="24"/>
          <w:szCs w:val="24"/>
        </w:rPr>
      </w:pPr>
      <w:r>
        <w:rPr>
          <w:rFonts w:ascii="Times New Roman" w:hAnsi="Times New Roman" w:cs="Times New Roman"/>
          <w:color w:val="2E74B5" w:themeColor="accent1" w:themeShade="BF"/>
          <w:sz w:val="24"/>
          <w:szCs w:val="24"/>
        </w:rPr>
        <w:t xml:space="preserve">Md. </w:t>
      </w:r>
      <w:proofErr w:type="spellStart"/>
      <w:r>
        <w:rPr>
          <w:rFonts w:ascii="Times New Roman" w:hAnsi="Times New Roman" w:cs="Times New Roman"/>
          <w:color w:val="2E74B5" w:themeColor="accent1" w:themeShade="BF"/>
          <w:sz w:val="24"/>
          <w:szCs w:val="24"/>
        </w:rPr>
        <w:t>Faysal</w:t>
      </w:r>
      <w:proofErr w:type="spellEnd"/>
      <w:r>
        <w:rPr>
          <w:rFonts w:ascii="Times New Roman" w:hAnsi="Times New Roman" w:cs="Times New Roman"/>
          <w:color w:val="2E74B5" w:themeColor="accent1" w:themeShade="BF"/>
          <w:sz w:val="24"/>
          <w:szCs w:val="24"/>
        </w:rPr>
        <w:t xml:space="preserve">, A.K. Azad, </w:t>
      </w:r>
      <w:proofErr w:type="spellStart"/>
      <w:r>
        <w:rPr>
          <w:rFonts w:ascii="Times New Roman" w:hAnsi="Times New Roman" w:cs="Times New Roman"/>
          <w:color w:val="2E74B5" w:themeColor="accent1" w:themeShade="BF"/>
          <w:sz w:val="24"/>
          <w:szCs w:val="24"/>
        </w:rPr>
        <w:t>Fahadul</w:t>
      </w:r>
      <w:proofErr w:type="spellEnd"/>
      <w:r>
        <w:rPr>
          <w:rFonts w:ascii="Times New Roman" w:hAnsi="Times New Roman" w:cs="Times New Roman"/>
          <w:color w:val="2E74B5" w:themeColor="accent1" w:themeShade="BF"/>
          <w:sz w:val="24"/>
          <w:szCs w:val="24"/>
        </w:rPr>
        <w:t xml:space="preserve"> Islam, </w:t>
      </w:r>
      <w:r w:rsidR="00B54D67" w:rsidRPr="00B54D67">
        <w:rPr>
          <w:rFonts w:ascii="Times New Roman" w:hAnsi="Times New Roman" w:cs="Times New Roman"/>
          <w:color w:val="2E74B5" w:themeColor="accent1" w:themeShade="BF"/>
          <w:sz w:val="24"/>
          <w:szCs w:val="24"/>
        </w:rPr>
        <w:t xml:space="preserve">Md. </w:t>
      </w:r>
      <w:proofErr w:type="spellStart"/>
      <w:r w:rsidR="00B54D67" w:rsidRPr="00B54D67">
        <w:rPr>
          <w:rFonts w:ascii="Times New Roman" w:hAnsi="Times New Roman" w:cs="Times New Roman"/>
          <w:color w:val="2E74B5" w:themeColor="accent1" w:themeShade="BF"/>
          <w:sz w:val="24"/>
          <w:szCs w:val="24"/>
        </w:rPr>
        <w:t>Mizanur</w:t>
      </w:r>
      <w:proofErr w:type="spellEnd"/>
      <w:r w:rsidR="00B54D67" w:rsidRPr="00B54D67">
        <w:rPr>
          <w:rFonts w:ascii="Times New Roman" w:hAnsi="Times New Roman" w:cs="Times New Roman"/>
          <w:color w:val="2E74B5" w:themeColor="accent1" w:themeShade="BF"/>
          <w:sz w:val="24"/>
          <w:szCs w:val="24"/>
        </w:rPr>
        <w:t xml:space="preserve"> Rahman, Md. </w:t>
      </w:r>
      <w:proofErr w:type="spellStart"/>
      <w:r w:rsidR="00B54D67" w:rsidRPr="00B54D67">
        <w:rPr>
          <w:rFonts w:ascii="Times New Roman" w:hAnsi="Times New Roman" w:cs="Times New Roman"/>
          <w:color w:val="2E74B5" w:themeColor="accent1" w:themeShade="BF"/>
          <w:sz w:val="24"/>
          <w:szCs w:val="24"/>
        </w:rPr>
        <w:t>Sarowar</w:t>
      </w:r>
      <w:proofErr w:type="spellEnd"/>
      <w:r w:rsidR="00B54D67" w:rsidRPr="00B54D67">
        <w:rPr>
          <w:rFonts w:ascii="Times New Roman" w:hAnsi="Times New Roman" w:cs="Times New Roman"/>
          <w:color w:val="2E74B5" w:themeColor="accent1" w:themeShade="BF"/>
          <w:sz w:val="24"/>
          <w:szCs w:val="24"/>
        </w:rPr>
        <w:t xml:space="preserve"> Hossain, Anwar </w:t>
      </w:r>
      <w:proofErr w:type="spellStart"/>
      <w:r w:rsidR="00B54D67" w:rsidRPr="00B54D67">
        <w:rPr>
          <w:rFonts w:ascii="Times New Roman" w:hAnsi="Times New Roman" w:cs="Times New Roman"/>
          <w:color w:val="2E74B5" w:themeColor="accent1" w:themeShade="BF"/>
          <w:sz w:val="24"/>
          <w:szCs w:val="24"/>
        </w:rPr>
        <w:t>Parvez</w:t>
      </w:r>
      <w:proofErr w:type="spellEnd"/>
      <w:r w:rsidR="00B54D67" w:rsidRPr="00B54D67">
        <w:rPr>
          <w:rFonts w:ascii="Times New Roman" w:hAnsi="Times New Roman" w:cs="Times New Roman"/>
          <w:color w:val="2E74B5" w:themeColor="accent1" w:themeShade="BF"/>
          <w:sz w:val="24"/>
          <w:szCs w:val="24"/>
        </w:rPr>
        <w:t xml:space="preserve">, Md. </w:t>
      </w:r>
      <w:proofErr w:type="spellStart"/>
      <w:r w:rsidR="00B54D67" w:rsidRPr="00B54D67">
        <w:rPr>
          <w:rFonts w:ascii="Times New Roman" w:hAnsi="Times New Roman" w:cs="Times New Roman"/>
          <w:color w:val="2E74B5" w:themeColor="accent1" w:themeShade="BF"/>
          <w:sz w:val="24"/>
          <w:szCs w:val="24"/>
        </w:rPr>
        <w:t>Zamshed</w:t>
      </w:r>
      <w:proofErr w:type="spellEnd"/>
      <w:r w:rsidR="00B54D67" w:rsidRPr="00B54D67">
        <w:rPr>
          <w:rFonts w:ascii="Times New Roman" w:hAnsi="Times New Roman" w:cs="Times New Roman"/>
          <w:color w:val="2E74B5" w:themeColor="accent1" w:themeShade="BF"/>
          <w:sz w:val="24"/>
          <w:szCs w:val="24"/>
        </w:rPr>
        <w:t xml:space="preserve"> </w:t>
      </w:r>
      <w:proofErr w:type="spellStart"/>
      <w:r w:rsidR="00B54D67" w:rsidRPr="00B54D67">
        <w:rPr>
          <w:rFonts w:ascii="Times New Roman" w:hAnsi="Times New Roman" w:cs="Times New Roman"/>
          <w:color w:val="2E74B5" w:themeColor="accent1" w:themeShade="BF"/>
          <w:sz w:val="24"/>
          <w:szCs w:val="24"/>
        </w:rPr>
        <w:t>Alam</w:t>
      </w:r>
      <w:proofErr w:type="spellEnd"/>
      <w:r w:rsidR="00B54D67" w:rsidRPr="00B54D67">
        <w:rPr>
          <w:rFonts w:ascii="Times New Roman" w:hAnsi="Times New Roman" w:cs="Times New Roman"/>
          <w:color w:val="2E74B5" w:themeColor="accent1" w:themeShade="BF"/>
          <w:sz w:val="24"/>
          <w:szCs w:val="24"/>
        </w:rPr>
        <w:t xml:space="preserve"> </w:t>
      </w:r>
      <w:proofErr w:type="spellStart"/>
      <w:r w:rsidR="00B54D67" w:rsidRPr="00B54D67">
        <w:rPr>
          <w:rFonts w:ascii="Times New Roman" w:hAnsi="Times New Roman" w:cs="Times New Roman"/>
          <w:color w:val="2E74B5" w:themeColor="accent1" w:themeShade="BF"/>
          <w:sz w:val="24"/>
          <w:szCs w:val="24"/>
        </w:rPr>
        <w:t>Begh</w:t>
      </w:r>
      <w:proofErr w:type="spellEnd"/>
    </w:p>
    <w:p w:rsidR="00B54D67" w:rsidRPr="00B54D67" w:rsidRDefault="00B54D67" w:rsidP="001B4DC9">
      <w:pPr>
        <w:spacing w:after="0" w:line="276" w:lineRule="auto"/>
        <w:jc w:val="both"/>
        <w:rPr>
          <w:rFonts w:ascii="Times New Roman" w:hAnsi="Times New Roman" w:cs="Times New Roman"/>
          <w:b/>
          <w:sz w:val="24"/>
          <w:szCs w:val="24"/>
        </w:rPr>
      </w:pPr>
      <w:r w:rsidRPr="00B54D67">
        <w:rPr>
          <w:rFonts w:ascii="Times New Roman" w:hAnsi="Times New Roman" w:cs="Times New Roman"/>
          <w:b/>
          <w:sz w:val="24"/>
          <w:szCs w:val="24"/>
        </w:rPr>
        <w:t>Abstract:</w:t>
      </w:r>
    </w:p>
    <w:p w:rsidR="00B54D67" w:rsidRPr="00B54D67" w:rsidRDefault="00B54D67" w:rsidP="001B4DC9">
      <w:pPr>
        <w:jc w:val="both"/>
        <w:rPr>
          <w:rFonts w:ascii="Times New Roman" w:hAnsi="Times New Roman" w:cs="Times New Roman"/>
          <w:sz w:val="24"/>
          <w:szCs w:val="24"/>
        </w:rPr>
      </w:pPr>
      <w:r w:rsidRPr="00B54D67">
        <w:rPr>
          <w:rFonts w:ascii="Times New Roman" w:hAnsi="Times New Roman" w:cs="Times New Roman"/>
          <w:sz w:val="24"/>
          <w:szCs w:val="24"/>
        </w:rPr>
        <w:t xml:space="preserve">From the archaic times </w:t>
      </w:r>
      <w:proofErr w:type="spellStart"/>
      <w:r w:rsidRPr="00B54D67">
        <w:rPr>
          <w:rFonts w:ascii="Times New Roman" w:hAnsi="Times New Roman" w:cs="Times New Roman"/>
          <w:sz w:val="24"/>
          <w:szCs w:val="24"/>
        </w:rPr>
        <w:t>Rhynchotechum</w:t>
      </w:r>
      <w:proofErr w:type="spellEnd"/>
      <w:r w:rsidRPr="00B54D67">
        <w:rPr>
          <w:rFonts w:ascii="Times New Roman" w:hAnsi="Times New Roman" w:cs="Times New Roman"/>
          <w:sz w:val="24"/>
          <w:szCs w:val="24"/>
        </w:rPr>
        <w:t xml:space="preserve"> </w:t>
      </w:r>
      <w:proofErr w:type="spellStart"/>
      <w:r w:rsidRPr="00B54D67">
        <w:rPr>
          <w:rFonts w:ascii="Times New Roman" w:hAnsi="Times New Roman" w:cs="Times New Roman"/>
          <w:sz w:val="24"/>
          <w:szCs w:val="24"/>
        </w:rPr>
        <w:t>ellipticum</w:t>
      </w:r>
      <w:proofErr w:type="spellEnd"/>
      <w:r w:rsidRPr="00B54D67">
        <w:rPr>
          <w:rFonts w:ascii="Times New Roman" w:hAnsi="Times New Roman" w:cs="Times New Roman"/>
          <w:sz w:val="24"/>
          <w:szCs w:val="24"/>
        </w:rPr>
        <w:t xml:space="preserve"> (</w:t>
      </w:r>
      <w:proofErr w:type="spellStart"/>
      <w:r w:rsidRPr="00B54D67">
        <w:rPr>
          <w:rFonts w:ascii="Times New Roman" w:hAnsi="Times New Roman" w:cs="Times New Roman"/>
          <w:sz w:val="24"/>
          <w:szCs w:val="24"/>
        </w:rPr>
        <w:t>Gesneriaceae</w:t>
      </w:r>
      <w:proofErr w:type="spellEnd"/>
      <w:r w:rsidRPr="00B54D67">
        <w:rPr>
          <w:rFonts w:ascii="Times New Roman" w:hAnsi="Times New Roman" w:cs="Times New Roman"/>
          <w:sz w:val="24"/>
          <w:szCs w:val="24"/>
        </w:rPr>
        <w:t xml:space="preserve">) used locally as alleviates coughs in children. It is available in Chittagong and </w:t>
      </w:r>
      <w:proofErr w:type="spellStart"/>
      <w:r w:rsidRPr="00B54D67">
        <w:rPr>
          <w:rFonts w:ascii="Times New Roman" w:hAnsi="Times New Roman" w:cs="Times New Roman"/>
          <w:sz w:val="24"/>
          <w:szCs w:val="24"/>
        </w:rPr>
        <w:t>Sylhet</w:t>
      </w:r>
      <w:proofErr w:type="spellEnd"/>
      <w:r w:rsidRPr="00B54D67">
        <w:rPr>
          <w:rFonts w:ascii="Times New Roman" w:hAnsi="Times New Roman" w:cs="Times New Roman"/>
          <w:sz w:val="24"/>
          <w:szCs w:val="24"/>
        </w:rPr>
        <w:t xml:space="preserve">, Bangladesh. The present study was carried out to investigate phytochemical, cytotoxic and thrombolytic activity of </w:t>
      </w:r>
      <w:proofErr w:type="spellStart"/>
      <w:r w:rsidRPr="00B54D67">
        <w:rPr>
          <w:rFonts w:ascii="Times New Roman" w:hAnsi="Times New Roman" w:cs="Times New Roman"/>
          <w:sz w:val="24"/>
          <w:szCs w:val="24"/>
        </w:rPr>
        <w:t>Rhynchotechum</w:t>
      </w:r>
      <w:proofErr w:type="spellEnd"/>
      <w:r w:rsidRPr="00B54D67">
        <w:rPr>
          <w:rFonts w:ascii="Times New Roman" w:hAnsi="Times New Roman" w:cs="Times New Roman"/>
          <w:sz w:val="24"/>
          <w:szCs w:val="24"/>
        </w:rPr>
        <w:t xml:space="preserve"> </w:t>
      </w:r>
      <w:proofErr w:type="spellStart"/>
      <w:r w:rsidRPr="00B54D67">
        <w:rPr>
          <w:rFonts w:ascii="Times New Roman" w:hAnsi="Times New Roman" w:cs="Times New Roman"/>
          <w:sz w:val="24"/>
          <w:szCs w:val="24"/>
        </w:rPr>
        <w:t>ellipticum</w:t>
      </w:r>
      <w:proofErr w:type="spellEnd"/>
      <w:r w:rsidRPr="00B54D67">
        <w:rPr>
          <w:rFonts w:ascii="Times New Roman" w:hAnsi="Times New Roman" w:cs="Times New Roman"/>
          <w:sz w:val="24"/>
          <w:szCs w:val="24"/>
        </w:rPr>
        <w:t xml:space="preserve"> leaf and stem of </w:t>
      </w:r>
      <w:proofErr w:type="spellStart"/>
      <w:r w:rsidRPr="00B54D67">
        <w:rPr>
          <w:rFonts w:ascii="Times New Roman" w:hAnsi="Times New Roman" w:cs="Times New Roman"/>
          <w:sz w:val="24"/>
          <w:szCs w:val="24"/>
        </w:rPr>
        <w:t>acetonic</w:t>
      </w:r>
      <w:proofErr w:type="spellEnd"/>
      <w:r w:rsidRPr="00B54D67">
        <w:rPr>
          <w:rFonts w:ascii="Times New Roman" w:hAnsi="Times New Roman" w:cs="Times New Roman"/>
          <w:sz w:val="24"/>
          <w:szCs w:val="24"/>
        </w:rPr>
        <w:t xml:space="preserve"> </w:t>
      </w:r>
      <w:proofErr w:type="gramStart"/>
      <w:r w:rsidRPr="00B54D67">
        <w:rPr>
          <w:rFonts w:ascii="Times New Roman" w:hAnsi="Times New Roman" w:cs="Times New Roman"/>
          <w:sz w:val="24"/>
          <w:szCs w:val="24"/>
        </w:rPr>
        <w:t>extracts .</w:t>
      </w:r>
      <w:proofErr w:type="gramEnd"/>
      <w:r w:rsidRPr="00B54D67">
        <w:rPr>
          <w:rFonts w:ascii="Times New Roman" w:hAnsi="Times New Roman" w:cs="Times New Roman"/>
          <w:sz w:val="24"/>
          <w:szCs w:val="24"/>
        </w:rPr>
        <w:t xml:space="preserve"> The cytotoxic activity was determined by using brine </w:t>
      </w:r>
      <w:proofErr w:type="spellStart"/>
      <w:r w:rsidRPr="00B54D67">
        <w:rPr>
          <w:rFonts w:ascii="Times New Roman" w:hAnsi="Times New Roman" w:cs="Times New Roman"/>
          <w:sz w:val="24"/>
          <w:szCs w:val="24"/>
        </w:rPr>
        <w:t>shirmp</w:t>
      </w:r>
      <w:proofErr w:type="spellEnd"/>
      <w:r w:rsidRPr="00B54D67">
        <w:rPr>
          <w:rFonts w:ascii="Times New Roman" w:hAnsi="Times New Roman" w:cs="Times New Roman"/>
          <w:sz w:val="24"/>
          <w:szCs w:val="24"/>
        </w:rPr>
        <w:t xml:space="preserve"> lethality bioassay and thrombolytic activity was determined in accordance with clot disruption method. For cytotoxic activity, leaf and stem extracts showed LC 50 value 71.70 and 55 µg/ml; respectively. On the </w:t>
      </w:r>
      <w:proofErr w:type="spellStart"/>
      <w:r w:rsidRPr="00B54D67">
        <w:rPr>
          <w:rFonts w:ascii="Times New Roman" w:hAnsi="Times New Roman" w:cs="Times New Roman"/>
          <w:sz w:val="24"/>
          <w:szCs w:val="24"/>
        </w:rPr>
        <w:t>otherhand</w:t>
      </w:r>
      <w:proofErr w:type="spellEnd"/>
      <w:r w:rsidRPr="00B54D67">
        <w:rPr>
          <w:rFonts w:ascii="Times New Roman" w:hAnsi="Times New Roman" w:cs="Times New Roman"/>
          <w:sz w:val="24"/>
          <w:szCs w:val="24"/>
        </w:rPr>
        <w:t xml:space="preserve">, the reference standard Vincristine </w:t>
      </w:r>
      <w:proofErr w:type="spellStart"/>
      <w:r w:rsidRPr="00B54D67">
        <w:rPr>
          <w:rFonts w:ascii="Times New Roman" w:hAnsi="Times New Roman" w:cs="Times New Roman"/>
          <w:sz w:val="24"/>
          <w:szCs w:val="24"/>
        </w:rPr>
        <w:t>sulphate</w:t>
      </w:r>
      <w:proofErr w:type="spellEnd"/>
      <w:r w:rsidRPr="00B54D67">
        <w:rPr>
          <w:rFonts w:ascii="Times New Roman" w:hAnsi="Times New Roman" w:cs="Times New Roman"/>
          <w:sz w:val="24"/>
          <w:szCs w:val="24"/>
        </w:rPr>
        <w:t xml:space="preserve"> showed LC 50 value was 2.63 µg/ml. In the thrombolytic activity of leaf and stem extracts showed clot </w:t>
      </w:r>
      <w:proofErr w:type="spellStart"/>
      <w:r w:rsidRPr="00B54D67">
        <w:rPr>
          <w:rFonts w:ascii="Times New Roman" w:hAnsi="Times New Roman" w:cs="Times New Roman"/>
          <w:sz w:val="24"/>
          <w:szCs w:val="24"/>
        </w:rPr>
        <w:t>lysis</w:t>
      </w:r>
      <w:proofErr w:type="spellEnd"/>
      <w:r w:rsidRPr="00B54D67">
        <w:rPr>
          <w:rFonts w:ascii="Times New Roman" w:hAnsi="Times New Roman" w:cs="Times New Roman"/>
          <w:sz w:val="24"/>
          <w:szCs w:val="24"/>
        </w:rPr>
        <w:t xml:space="preserve"> (41.98%) and (34.21%); respectively. The standard of Streptokinase showed clot </w:t>
      </w:r>
      <w:proofErr w:type="spellStart"/>
      <w:r w:rsidRPr="00B54D67">
        <w:rPr>
          <w:rFonts w:ascii="Times New Roman" w:hAnsi="Times New Roman" w:cs="Times New Roman"/>
          <w:sz w:val="24"/>
          <w:szCs w:val="24"/>
        </w:rPr>
        <w:t>lysis</w:t>
      </w:r>
      <w:proofErr w:type="spellEnd"/>
      <w:r w:rsidRPr="00B54D67">
        <w:rPr>
          <w:rFonts w:ascii="Times New Roman" w:hAnsi="Times New Roman" w:cs="Times New Roman"/>
          <w:sz w:val="24"/>
          <w:szCs w:val="24"/>
        </w:rPr>
        <w:t xml:space="preserve"> (68.42%). The extracts also showed moderate antibacterial activity. It can be revealed that the extract of </w:t>
      </w:r>
      <w:proofErr w:type="spellStart"/>
      <w:r w:rsidRPr="00B54D67">
        <w:rPr>
          <w:rFonts w:ascii="Times New Roman" w:hAnsi="Times New Roman" w:cs="Times New Roman"/>
          <w:sz w:val="24"/>
          <w:szCs w:val="24"/>
        </w:rPr>
        <w:t>Rhynchotechum</w:t>
      </w:r>
      <w:proofErr w:type="spellEnd"/>
      <w:r w:rsidRPr="00B54D67">
        <w:rPr>
          <w:rFonts w:ascii="Times New Roman" w:hAnsi="Times New Roman" w:cs="Times New Roman"/>
          <w:sz w:val="24"/>
          <w:szCs w:val="24"/>
        </w:rPr>
        <w:t xml:space="preserve"> </w:t>
      </w:r>
      <w:proofErr w:type="spellStart"/>
      <w:r w:rsidRPr="00B54D67">
        <w:rPr>
          <w:rFonts w:ascii="Times New Roman" w:hAnsi="Times New Roman" w:cs="Times New Roman"/>
          <w:sz w:val="24"/>
          <w:szCs w:val="24"/>
        </w:rPr>
        <w:t>ellipticum</w:t>
      </w:r>
      <w:proofErr w:type="spellEnd"/>
      <w:r w:rsidRPr="00B54D67">
        <w:rPr>
          <w:rFonts w:ascii="Times New Roman" w:hAnsi="Times New Roman" w:cs="Times New Roman"/>
          <w:sz w:val="24"/>
          <w:szCs w:val="24"/>
        </w:rPr>
        <w:t xml:space="preserve"> (</w:t>
      </w:r>
      <w:proofErr w:type="spellStart"/>
      <w:r w:rsidRPr="00B54D67">
        <w:rPr>
          <w:rFonts w:ascii="Times New Roman" w:hAnsi="Times New Roman" w:cs="Times New Roman"/>
          <w:sz w:val="24"/>
          <w:szCs w:val="24"/>
        </w:rPr>
        <w:t>Gesneriaceae</w:t>
      </w:r>
      <w:proofErr w:type="spellEnd"/>
      <w:r w:rsidRPr="00B54D67">
        <w:rPr>
          <w:rFonts w:ascii="Times New Roman" w:hAnsi="Times New Roman" w:cs="Times New Roman"/>
          <w:sz w:val="24"/>
          <w:szCs w:val="24"/>
        </w:rPr>
        <w:t>) possess cytotoxic and thrombolytic activity. The potential of these activities may be due to the presence of most of the phytochemicals which supports previous claims and validate its uses as an expected folk medicine.</w:t>
      </w:r>
    </w:p>
    <w:p w:rsidR="00B54D67" w:rsidRDefault="00B54D67" w:rsidP="008B2798">
      <w:pPr>
        <w:spacing w:after="0" w:line="276" w:lineRule="auto"/>
        <w:rPr>
          <w:rFonts w:ascii="Times New Roman" w:hAnsi="Times New Roman" w:cs="Times New Roman"/>
          <w:sz w:val="24"/>
          <w:szCs w:val="24"/>
        </w:rPr>
      </w:pPr>
      <w:r w:rsidRPr="00B54D67">
        <w:rPr>
          <w:rFonts w:ascii="Times New Roman" w:hAnsi="Times New Roman" w:cs="Times New Roman"/>
          <w:b/>
          <w:sz w:val="24"/>
          <w:szCs w:val="24"/>
        </w:rPr>
        <w:t>Conference / Journal Link:</w:t>
      </w:r>
    </w:p>
    <w:p w:rsidR="00B54D67" w:rsidRPr="00B54D67" w:rsidRDefault="00B54D67" w:rsidP="00B54D67">
      <w:pPr>
        <w:rPr>
          <w:rFonts w:ascii="Times New Roman" w:hAnsi="Times New Roman" w:cs="Times New Roman"/>
          <w:sz w:val="24"/>
          <w:szCs w:val="24"/>
        </w:rPr>
      </w:pPr>
      <w:hyperlink r:id="rId4" w:history="1">
        <w:r w:rsidRPr="00B54D67">
          <w:rPr>
            <w:rStyle w:val="Hyperlink"/>
            <w:rFonts w:ascii="Times New Roman" w:hAnsi="Times New Roman" w:cs="Times New Roman"/>
            <w:sz w:val="24"/>
            <w:szCs w:val="24"/>
          </w:rPr>
          <w:t>https://pharmacologyonline.silae.it/files/archives/2019/vol2/PhOL_2019_2_A018_Faysal.pdf</w:t>
        </w:r>
      </w:hyperlink>
      <w:bookmarkStart w:id="0" w:name="_GoBack"/>
      <w:bookmarkEnd w:id="0"/>
    </w:p>
    <w:p w:rsidR="00B54D67" w:rsidRPr="00B54D67" w:rsidRDefault="00B54D67">
      <w:pPr>
        <w:rPr>
          <w:rFonts w:ascii="Helvetica" w:hAnsi="Helvetica" w:cs="Helvetica"/>
          <w:b/>
          <w:bCs/>
          <w:color w:val="4C4C4C"/>
          <w:sz w:val="20"/>
          <w:szCs w:val="20"/>
          <w:shd w:val="clear" w:color="auto" w:fill="FFFFFF"/>
        </w:rPr>
      </w:pPr>
    </w:p>
    <w:sectPr w:rsidR="00B54D67" w:rsidRPr="00B54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D67"/>
    <w:rsid w:val="001B4DC9"/>
    <w:rsid w:val="008B2798"/>
    <w:rsid w:val="00B54D67"/>
    <w:rsid w:val="00BD2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4024C-75A1-4251-BBE1-F7FBB7AA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4D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2/PhOL_2019_2_A018_Fays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2021-09-21T09:01:00Z</dcterms:created>
  <dcterms:modified xsi:type="dcterms:W3CDTF">2021-09-21T09:15:00Z</dcterms:modified>
</cp:coreProperties>
</file>