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067" w:rsidRPr="00C60862" w:rsidRDefault="00C60862" w:rsidP="00C60862">
      <w:pPr>
        <w:jc w:val="both"/>
        <w:rPr>
          <w:rFonts w:ascii="Times New Roman" w:hAnsi="Times New Roman" w:cs="Times New Roman"/>
          <w:b/>
          <w:sz w:val="44"/>
          <w:szCs w:val="44"/>
        </w:rPr>
      </w:pPr>
      <w:bookmarkStart w:id="0" w:name="_GoBack"/>
      <w:r w:rsidRPr="00C60862">
        <w:rPr>
          <w:rFonts w:ascii="Times New Roman" w:hAnsi="Times New Roman" w:cs="Times New Roman"/>
          <w:b/>
          <w:sz w:val="44"/>
          <w:szCs w:val="44"/>
        </w:rPr>
        <w:t xml:space="preserve">Phytochemical Investigation, Evaluation of Antioxidant and Cytotoxic Activity of the Methanol Extract of </w:t>
      </w:r>
      <w:proofErr w:type="spellStart"/>
      <w:r w:rsidRPr="00C60862">
        <w:rPr>
          <w:rFonts w:ascii="Times New Roman" w:hAnsi="Times New Roman" w:cs="Times New Roman"/>
          <w:b/>
          <w:sz w:val="44"/>
          <w:szCs w:val="44"/>
        </w:rPr>
        <w:t>Cuscuta</w:t>
      </w:r>
      <w:proofErr w:type="spellEnd"/>
      <w:r w:rsidRPr="00C60862">
        <w:rPr>
          <w:rFonts w:ascii="Times New Roman" w:hAnsi="Times New Roman" w:cs="Times New Roman"/>
          <w:b/>
          <w:sz w:val="44"/>
          <w:szCs w:val="44"/>
        </w:rPr>
        <w:t xml:space="preserve"> </w:t>
      </w:r>
      <w:proofErr w:type="spellStart"/>
      <w:r w:rsidRPr="00C60862">
        <w:rPr>
          <w:rFonts w:ascii="Times New Roman" w:hAnsi="Times New Roman" w:cs="Times New Roman"/>
          <w:b/>
          <w:sz w:val="44"/>
          <w:szCs w:val="44"/>
        </w:rPr>
        <w:t>Reflexa</w:t>
      </w:r>
      <w:proofErr w:type="spellEnd"/>
      <w:r w:rsidRPr="00C60862">
        <w:rPr>
          <w:rFonts w:ascii="Times New Roman" w:hAnsi="Times New Roman" w:cs="Times New Roman"/>
          <w:b/>
          <w:sz w:val="44"/>
          <w:szCs w:val="44"/>
        </w:rPr>
        <w:t xml:space="preserve"> (Stem)</w:t>
      </w:r>
    </w:p>
    <w:bookmarkEnd w:id="0"/>
    <w:p w:rsidR="00C60862" w:rsidRPr="00C60862" w:rsidRDefault="00C60862" w:rsidP="00C60862">
      <w:pPr>
        <w:jc w:val="both"/>
        <w:rPr>
          <w:rFonts w:ascii="Times New Roman" w:hAnsi="Times New Roman" w:cs="Times New Roman"/>
          <w:color w:val="2E74B5" w:themeColor="accent1" w:themeShade="BF"/>
          <w:sz w:val="24"/>
          <w:szCs w:val="24"/>
        </w:rPr>
      </w:pPr>
      <w:r w:rsidRPr="00C60862">
        <w:rPr>
          <w:rFonts w:ascii="Times New Roman" w:hAnsi="Times New Roman" w:cs="Times New Roman"/>
          <w:color w:val="2E74B5" w:themeColor="accent1" w:themeShade="BF"/>
          <w:sz w:val="24"/>
          <w:szCs w:val="24"/>
        </w:rPr>
        <w:t xml:space="preserve">Md. </w:t>
      </w:r>
      <w:proofErr w:type="spellStart"/>
      <w:r w:rsidRPr="00C60862">
        <w:rPr>
          <w:rFonts w:ascii="Times New Roman" w:hAnsi="Times New Roman" w:cs="Times New Roman"/>
          <w:color w:val="2E74B5" w:themeColor="accent1" w:themeShade="BF"/>
          <w:sz w:val="24"/>
          <w:szCs w:val="24"/>
        </w:rPr>
        <w:t>Mamunur</w:t>
      </w:r>
      <w:proofErr w:type="spellEnd"/>
      <w:r w:rsidRPr="00C60862">
        <w:rPr>
          <w:rFonts w:ascii="Times New Roman" w:hAnsi="Times New Roman" w:cs="Times New Roman"/>
          <w:color w:val="2E74B5" w:themeColor="accent1" w:themeShade="BF"/>
          <w:sz w:val="24"/>
          <w:szCs w:val="24"/>
        </w:rPr>
        <w:t xml:space="preserve"> Rashid </w:t>
      </w:r>
      <w:proofErr w:type="spellStart"/>
      <w:r w:rsidRPr="00C60862">
        <w:rPr>
          <w:rFonts w:ascii="Times New Roman" w:hAnsi="Times New Roman" w:cs="Times New Roman"/>
          <w:color w:val="2E74B5" w:themeColor="accent1" w:themeShade="BF"/>
          <w:sz w:val="24"/>
          <w:szCs w:val="24"/>
        </w:rPr>
        <w:t>Munna</w:t>
      </w:r>
      <w:proofErr w:type="spellEnd"/>
      <w:r w:rsidRPr="00C60862">
        <w:rPr>
          <w:rFonts w:ascii="Times New Roman" w:hAnsi="Times New Roman" w:cs="Times New Roman"/>
          <w:color w:val="2E74B5" w:themeColor="accent1" w:themeShade="BF"/>
          <w:sz w:val="24"/>
          <w:szCs w:val="24"/>
        </w:rPr>
        <w:t xml:space="preserve">, A.K. Azad, </w:t>
      </w:r>
      <w:proofErr w:type="spellStart"/>
      <w:r w:rsidRPr="00C60862">
        <w:rPr>
          <w:rFonts w:ascii="Times New Roman" w:hAnsi="Times New Roman" w:cs="Times New Roman"/>
          <w:color w:val="2E74B5" w:themeColor="accent1" w:themeShade="BF"/>
          <w:sz w:val="24"/>
          <w:szCs w:val="24"/>
        </w:rPr>
        <w:t>Fahadul</w:t>
      </w:r>
      <w:proofErr w:type="spellEnd"/>
      <w:r w:rsidRPr="00C60862">
        <w:rPr>
          <w:rFonts w:ascii="Times New Roman" w:hAnsi="Times New Roman" w:cs="Times New Roman"/>
          <w:color w:val="2E74B5" w:themeColor="accent1" w:themeShade="BF"/>
          <w:sz w:val="24"/>
          <w:szCs w:val="24"/>
        </w:rPr>
        <w:t xml:space="preserve"> Islam, </w:t>
      </w:r>
      <w:proofErr w:type="spellStart"/>
      <w:r w:rsidRPr="00C60862">
        <w:rPr>
          <w:rFonts w:ascii="Times New Roman" w:hAnsi="Times New Roman" w:cs="Times New Roman"/>
          <w:color w:val="2E74B5" w:themeColor="accent1" w:themeShade="BF"/>
          <w:sz w:val="24"/>
          <w:szCs w:val="24"/>
        </w:rPr>
        <w:t>Md</w:t>
      </w:r>
      <w:proofErr w:type="spellEnd"/>
      <w:r w:rsidRPr="00C60862">
        <w:rPr>
          <w:rFonts w:ascii="Times New Roman" w:hAnsi="Times New Roman" w:cs="Times New Roman"/>
          <w:color w:val="2E74B5" w:themeColor="accent1" w:themeShade="BF"/>
          <w:sz w:val="24"/>
          <w:szCs w:val="24"/>
        </w:rPr>
        <w:t xml:space="preserve"> </w:t>
      </w:r>
      <w:proofErr w:type="spellStart"/>
      <w:r w:rsidRPr="00C60862">
        <w:rPr>
          <w:rFonts w:ascii="Times New Roman" w:hAnsi="Times New Roman" w:cs="Times New Roman"/>
          <w:color w:val="2E74B5" w:themeColor="accent1" w:themeShade="BF"/>
          <w:sz w:val="24"/>
          <w:szCs w:val="24"/>
        </w:rPr>
        <w:t>Faruk</w:t>
      </w:r>
      <w:proofErr w:type="spellEnd"/>
      <w:r w:rsidRPr="00C60862">
        <w:rPr>
          <w:rFonts w:ascii="Times New Roman" w:hAnsi="Times New Roman" w:cs="Times New Roman"/>
          <w:color w:val="2E74B5" w:themeColor="accent1" w:themeShade="BF"/>
          <w:sz w:val="24"/>
          <w:szCs w:val="24"/>
        </w:rPr>
        <w:t xml:space="preserve"> Ahmed, Anwar </w:t>
      </w:r>
      <w:proofErr w:type="spellStart"/>
      <w:r w:rsidRPr="00C60862">
        <w:rPr>
          <w:rFonts w:ascii="Times New Roman" w:hAnsi="Times New Roman" w:cs="Times New Roman"/>
          <w:color w:val="2E74B5" w:themeColor="accent1" w:themeShade="BF"/>
          <w:sz w:val="24"/>
          <w:szCs w:val="24"/>
        </w:rPr>
        <w:t>Parvez</w:t>
      </w:r>
      <w:proofErr w:type="spellEnd"/>
      <w:r w:rsidRPr="00C60862">
        <w:rPr>
          <w:rFonts w:ascii="Times New Roman" w:hAnsi="Times New Roman" w:cs="Times New Roman"/>
          <w:color w:val="2E74B5" w:themeColor="accent1" w:themeShade="BF"/>
          <w:sz w:val="24"/>
          <w:szCs w:val="24"/>
        </w:rPr>
        <w:t xml:space="preserve">, Md. </w:t>
      </w:r>
      <w:proofErr w:type="spellStart"/>
      <w:r w:rsidRPr="00C60862">
        <w:rPr>
          <w:rFonts w:ascii="Times New Roman" w:hAnsi="Times New Roman" w:cs="Times New Roman"/>
          <w:color w:val="2E74B5" w:themeColor="accent1" w:themeShade="BF"/>
          <w:sz w:val="24"/>
          <w:szCs w:val="24"/>
        </w:rPr>
        <w:t>Mizanur</w:t>
      </w:r>
      <w:proofErr w:type="spellEnd"/>
      <w:r w:rsidRPr="00C60862">
        <w:rPr>
          <w:rFonts w:ascii="Times New Roman" w:hAnsi="Times New Roman" w:cs="Times New Roman"/>
          <w:color w:val="2E74B5" w:themeColor="accent1" w:themeShade="BF"/>
          <w:sz w:val="24"/>
          <w:szCs w:val="24"/>
        </w:rPr>
        <w:t xml:space="preserve"> Rahman, Md. </w:t>
      </w:r>
      <w:proofErr w:type="spellStart"/>
      <w:r w:rsidRPr="00C60862">
        <w:rPr>
          <w:rFonts w:ascii="Times New Roman" w:hAnsi="Times New Roman" w:cs="Times New Roman"/>
          <w:color w:val="2E74B5" w:themeColor="accent1" w:themeShade="BF"/>
          <w:sz w:val="24"/>
          <w:szCs w:val="24"/>
        </w:rPr>
        <w:t>Sarowar</w:t>
      </w:r>
      <w:proofErr w:type="spellEnd"/>
      <w:r w:rsidRPr="00C60862">
        <w:rPr>
          <w:rFonts w:ascii="Times New Roman" w:hAnsi="Times New Roman" w:cs="Times New Roman"/>
          <w:color w:val="2E74B5" w:themeColor="accent1" w:themeShade="BF"/>
          <w:sz w:val="24"/>
          <w:szCs w:val="24"/>
        </w:rPr>
        <w:t xml:space="preserve"> Hossain</w:t>
      </w:r>
    </w:p>
    <w:p w:rsidR="00C60862" w:rsidRPr="00C60862" w:rsidRDefault="00C60862" w:rsidP="00C60862">
      <w:pPr>
        <w:spacing w:after="0" w:line="276" w:lineRule="auto"/>
        <w:jc w:val="both"/>
        <w:rPr>
          <w:rFonts w:ascii="Times New Roman" w:hAnsi="Times New Roman" w:cs="Times New Roman"/>
          <w:b/>
          <w:sz w:val="24"/>
          <w:szCs w:val="24"/>
        </w:rPr>
      </w:pPr>
      <w:r w:rsidRPr="00C60862">
        <w:rPr>
          <w:rFonts w:ascii="Times New Roman" w:hAnsi="Times New Roman" w:cs="Times New Roman"/>
          <w:b/>
          <w:sz w:val="24"/>
          <w:szCs w:val="24"/>
        </w:rPr>
        <w:t>Abstract:</w:t>
      </w:r>
    </w:p>
    <w:p w:rsidR="00C60862" w:rsidRPr="00C60862" w:rsidRDefault="00C60862" w:rsidP="00C60862">
      <w:pPr>
        <w:jc w:val="both"/>
        <w:rPr>
          <w:rFonts w:ascii="Times New Roman" w:hAnsi="Times New Roman" w:cs="Times New Roman"/>
          <w:sz w:val="24"/>
          <w:szCs w:val="24"/>
        </w:rPr>
      </w:pPr>
      <w:proofErr w:type="spellStart"/>
      <w:r w:rsidRPr="00C60862">
        <w:rPr>
          <w:rFonts w:ascii="Times New Roman" w:hAnsi="Times New Roman" w:cs="Times New Roman"/>
          <w:sz w:val="24"/>
          <w:szCs w:val="24"/>
        </w:rPr>
        <w:t>Cuscuta</w:t>
      </w:r>
      <w:proofErr w:type="spellEnd"/>
      <w:r w:rsidRPr="00C60862">
        <w:rPr>
          <w:rFonts w:ascii="Times New Roman" w:hAnsi="Times New Roman" w:cs="Times New Roman"/>
          <w:sz w:val="24"/>
          <w:szCs w:val="24"/>
        </w:rPr>
        <w:t xml:space="preserve"> </w:t>
      </w:r>
      <w:proofErr w:type="spellStart"/>
      <w:r w:rsidRPr="00C60862">
        <w:rPr>
          <w:rFonts w:ascii="Times New Roman" w:hAnsi="Times New Roman" w:cs="Times New Roman"/>
          <w:sz w:val="24"/>
          <w:szCs w:val="24"/>
        </w:rPr>
        <w:t>reflexa</w:t>
      </w:r>
      <w:proofErr w:type="spellEnd"/>
      <w:r w:rsidRPr="00C60862">
        <w:rPr>
          <w:rFonts w:ascii="Times New Roman" w:hAnsi="Times New Roman" w:cs="Times New Roman"/>
          <w:sz w:val="24"/>
          <w:szCs w:val="24"/>
        </w:rPr>
        <w:t xml:space="preserve"> is used for treating constipation, flatulence, body pains, itchy skin, frequent urination, dry eyes, ringing in the ears, lower back pain, blurred vision, tired eyes, hair growth promoters ability to prevent certain cancer cells and thus reduce the incidence of cancer. Its can build protection from cerebral ischemia, advance heart blood, </w:t>
      </w:r>
      <w:proofErr w:type="spellStart"/>
      <w:r w:rsidRPr="00C60862">
        <w:rPr>
          <w:rFonts w:ascii="Times New Roman" w:hAnsi="Times New Roman" w:cs="Times New Roman"/>
          <w:sz w:val="24"/>
          <w:szCs w:val="24"/>
        </w:rPr>
        <w:t>tonify</w:t>
      </w:r>
      <w:proofErr w:type="spellEnd"/>
      <w:r w:rsidRPr="00C60862">
        <w:rPr>
          <w:rFonts w:ascii="Times New Roman" w:hAnsi="Times New Roman" w:cs="Times New Roman"/>
          <w:sz w:val="24"/>
          <w:szCs w:val="24"/>
        </w:rPr>
        <w:t xml:space="preserve"> kidney. The present study was carried out to investigate phytochemical, antioxidant and cytotoxic activity of stem of </w:t>
      </w:r>
      <w:proofErr w:type="spellStart"/>
      <w:r w:rsidRPr="00C60862">
        <w:rPr>
          <w:rFonts w:ascii="Times New Roman" w:hAnsi="Times New Roman" w:cs="Times New Roman"/>
          <w:sz w:val="24"/>
          <w:szCs w:val="24"/>
        </w:rPr>
        <w:t>Cuscuta</w:t>
      </w:r>
      <w:proofErr w:type="spellEnd"/>
      <w:r w:rsidRPr="00C60862">
        <w:rPr>
          <w:rFonts w:ascii="Times New Roman" w:hAnsi="Times New Roman" w:cs="Times New Roman"/>
          <w:sz w:val="24"/>
          <w:szCs w:val="24"/>
        </w:rPr>
        <w:t xml:space="preserve"> </w:t>
      </w:r>
      <w:proofErr w:type="spellStart"/>
      <w:r w:rsidRPr="00C60862">
        <w:rPr>
          <w:rFonts w:ascii="Times New Roman" w:hAnsi="Times New Roman" w:cs="Times New Roman"/>
          <w:sz w:val="24"/>
          <w:szCs w:val="24"/>
        </w:rPr>
        <w:t>reflexa</w:t>
      </w:r>
      <w:proofErr w:type="spellEnd"/>
      <w:r w:rsidRPr="00C60862">
        <w:rPr>
          <w:rFonts w:ascii="Times New Roman" w:hAnsi="Times New Roman" w:cs="Times New Roman"/>
          <w:sz w:val="24"/>
          <w:szCs w:val="24"/>
        </w:rPr>
        <w:t xml:space="preserve"> </w:t>
      </w:r>
      <w:proofErr w:type="spellStart"/>
      <w:r w:rsidRPr="00C60862">
        <w:rPr>
          <w:rFonts w:ascii="Times New Roman" w:hAnsi="Times New Roman" w:cs="Times New Roman"/>
          <w:sz w:val="24"/>
          <w:szCs w:val="24"/>
        </w:rPr>
        <w:t>methanolic</w:t>
      </w:r>
      <w:proofErr w:type="spellEnd"/>
      <w:r w:rsidRPr="00C60862">
        <w:rPr>
          <w:rFonts w:ascii="Times New Roman" w:hAnsi="Times New Roman" w:cs="Times New Roman"/>
          <w:sz w:val="24"/>
          <w:szCs w:val="24"/>
        </w:rPr>
        <w:t xml:space="preserve"> extracts. The cytotoxic activity was determined by using brine </w:t>
      </w:r>
      <w:proofErr w:type="spellStart"/>
      <w:r w:rsidRPr="00C60862">
        <w:rPr>
          <w:rFonts w:ascii="Times New Roman" w:hAnsi="Times New Roman" w:cs="Times New Roman"/>
          <w:sz w:val="24"/>
          <w:szCs w:val="24"/>
        </w:rPr>
        <w:t>shirmp</w:t>
      </w:r>
      <w:proofErr w:type="spellEnd"/>
      <w:r w:rsidRPr="00C60862">
        <w:rPr>
          <w:rFonts w:ascii="Times New Roman" w:hAnsi="Times New Roman" w:cs="Times New Roman"/>
          <w:sz w:val="24"/>
          <w:szCs w:val="24"/>
        </w:rPr>
        <w:t xml:space="preserve"> lethality bioassay. For cytotoxic activity, extracts showed LC 50 183.64 µg/ml. On the other hand, the reference standard Vincristine </w:t>
      </w:r>
      <w:proofErr w:type="spellStart"/>
      <w:r w:rsidRPr="00C60862">
        <w:rPr>
          <w:rFonts w:ascii="Times New Roman" w:hAnsi="Times New Roman" w:cs="Times New Roman"/>
          <w:sz w:val="24"/>
          <w:szCs w:val="24"/>
        </w:rPr>
        <w:t>sulphate</w:t>
      </w:r>
      <w:proofErr w:type="spellEnd"/>
      <w:r w:rsidRPr="00C60862">
        <w:rPr>
          <w:rFonts w:ascii="Times New Roman" w:hAnsi="Times New Roman" w:cs="Times New Roman"/>
          <w:sz w:val="24"/>
          <w:szCs w:val="24"/>
        </w:rPr>
        <w:t xml:space="preserve"> showed LC 50 value was 7.27 µg/ml. It is also revealed that the extract of </w:t>
      </w:r>
      <w:proofErr w:type="spellStart"/>
      <w:r w:rsidRPr="00C60862">
        <w:rPr>
          <w:rFonts w:ascii="Times New Roman" w:hAnsi="Times New Roman" w:cs="Times New Roman"/>
          <w:sz w:val="24"/>
          <w:szCs w:val="24"/>
        </w:rPr>
        <w:t>Cuscuta</w:t>
      </w:r>
      <w:proofErr w:type="spellEnd"/>
      <w:r w:rsidRPr="00C60862">
        <w:rPr>
          <w:rFonts w:ascii="Times New Roman" w:hAnsi="Times New Roman" w:cs="Times New Roman"/>
          <w:sz w:val="24"/>
          <w:szCs w:val="24"/>
        </w:rPr>
        <w:t xml:space="preserve"> </w:t>
      </w:r>
      <w:proofErr w:type="spellStart"/>
      <w:r w:rsidRPr="00C60862">
        <w:rPr>
          <w:rFonts w:ascii="Times New Roman" w:hAnsi="Times New Roman" w:cs="Times New Roman"/>
          <w:sz w:val="24"/>
          <w:szCs w:val="24"/>
        </w:rPr>
        <w:t>reflexa</w:t>
      </w:r>
      <w:proofErr w:type="spellEnd"/>
      <w:r w:rsidRPr="00C60862">
        <w:rPr>
          <w:rFonts w:ascii="Times New Roman" w:hAnsi="Times New Roman" w:cs="Times New Roman"/>
          <w:sz w:val="24"/>
          <w:szCs w:val="24"/>
        </w:rPr>
        <w:t xml:space="preserve"> possess antioxidant activity IC50 157.80 µg/ml compare to standard IC50 64.38 µg/ml. The potential of these activities may be due to the presence of most of the phytochemicals which supports previous claims and validate its uses as an expected folk medicine.</w:t>
      </w:r>
    </w:p>
    <w:p w:rsidR="00C60862" w:rsidRPr="00C60862" w:rsidRDefault="00C60862" w:rsidP="00C60862">
      <w:pPr>
        <w:rPr>
          <w:rFonts w:ascii="Times New Roman" w:hAnsi="Times New Roman" w:cs="Times New Roman"/>
          <w:sz w:val="24"/>
          <w:szCs w:val="24"/>
        </w:rPr>
      </w:pPr>
      <w:r w:rsidRPr="00C60862">
        <w:rPr>
          <w:rFonts w:ascii="Times New Roman" w:hAnsi="Times New Roman" w:cs="Times New Roman"/>
          <w:b/>
          <w:sz w:val="24"/>
          <w:szCs w:val="24"/>
        </w:rPr>
        <w:t>Conference / Journal Link:</w:t>
      </w:r>
      <w:r w:rsidRPr="00C60862">
        <w:rPr>
          <w:rFonts w:ascii="Times New Roman" w:hAnsi="Times New Roman" w:cs="Times New Roman"/>
          <w:sz w:val="24"/>
          <w:szCs w:val="24"/>
        </w:rPr>
        <w:t xml:space="preserve"> </w:t>
      </w:r>
      <w:hyperlink r:id="rId4" w:history="1">
        <w:r w:rsidRPr="00C60862">
          <w:rPr>
            <w:rStyle w:val="Hyperlink"/>
            <w:rFonts w:ascii="Times New Roman" w:hAnsi="Times New Roman" w:cs="Times New Roman"/>
            <w:sz w:val="24"/>
            <w:szCs w:val="24"/>
          </w:rPr>
          <w:t>https://pharmacologyonline.silae.it/files/archives/2019/vol3/PhOL_2019_3_A012_Munna.pdf</w:t>
        </w:r>
      </w:hyperlink>
    </w:p>
    <w:sectPr w:rsidR="00C60862" w:rsidRPr="00C60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862"/>
    <w:rsid w:val="00986067"/>
    <w:rsid w:val="00C60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B99879-F919-4DDD-B451-C00B3771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08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harmacologyonline.silae.it/files/archives/2019/vol3/PhOL_2019_3_A012_Munn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2021-09-22T04:12:00Z</dcterms:created>
  <dcterms:modified xsi:type="dcterms:W3CDTF">2021-09-22T04:20:00Z</dcterms:modified>
</cp:coreProperties>
</file>