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2D8" w:rsidRPr="00FD1817" w:rsidRDefault="00FD1817" w:rsidP="00FD1817">
      <w:pPr>
        <w:jc w:val="both"/>
        <w:rPr>
          <w:rFonts w:ascii="Times New Roman" w:hAnsi="Times New Roman" w:cs="Times New Roman"/>
          <w:b/>
          <w:sz w:val="44"/>
          <w:szCs w:val="44"/>
        </w:rPr>
      </w:pPr>
      <w:bookmarkStart w:id="0" w:name="_GoBack"/>
      <w:r w:rsidRPr="00FD1817">
        <w:rPr>
          <w:rFonts w:ascii="Times New Roman" w:hAnsi="Times New Roman" w:cs="Times New Roman"/>
          <w:b/>
          <w:sz w:val="44"/>
          <w:szCs w:val="44"/>
        </w:rPr>
        <w:t xml:space="preserve">Phytochemical Screening and Anthelmintic Activity of Alcoholic Extract of Fruits of </w:t>
      </w:r>
      <w:proofErr w:type="spellStart"/>
      <w:r w:rsidRPr="00FD1817">
        <w:rPr>
          <w:rFonts w:ascii="Times New Roman" w:hAnsi="Times New Roman" w:cs="Times New Roman"/>
          <w:b/>
          <w:sz w:val="44"/>
          <w:szCs w:val="44"/>
        </w:rPr>
        <w:t>Eleocharis</w:t>
      </w:r>
      <w:proofErr w:type="spellEnd"/>
      <w:r w:rsidRPr="00FD1817">
        <w:rPr>
          <w:rFonts w:ascii="Times New Roman" w:hAnsi="Times New Roman" w:cs="Times New Roman"/>
          <w:b/>
          <w:sz w:val="44"/>
          <w:szCs w:val="44"/>
        </w:rPr>
        <w:t xml:space="preserve"> </w:t>
      </w:r>
      <w:proofErr w:type="spellStart"/>
      <w:r w:rsidRPr="00FD1817">
        <w:rPr>
          <w:rFonts w:ascii="Times New Roman" w:hAnsi="Times New Roman" w:cs="Times New Roman"/>
          <w:b/>
          <w:sz w:val="44"/>
          <w:szCs w:val="44"/>
        </w:rPr>
        <w:t>Dulcis</w:t>
      </w:r>
      <w:proofErr w:type="spellEnd"/>
    </w:p>
    <w:bookmarkEnd w:id="0"/>
    <w:p w:rsidR="00FD1817" w:rsidRPr="00FD1817" w:rsidRDefault="00E63175" w:rsidP="00FD1817">
      <w:pPr>
        <w:jc w:val="both"/>
        <w:rPr>
          <w:rFonts w:ascii="Times New Roman" w:hAnsi="Times New Roman" w:cs="Times New Roman"/>
          <w:color w:val="2E74B5" w:themeColor="accent1" w:themeShade="BF"/>
          <w:sz w:val="24"/>
          <w:szCs w:val="24"/>
        </w:rPr>
      </w:pPr>
      <w:proofErr w:type="spellStart"/>
      <w:r>
        <w:rPr>
          <w:rFonts w:ascii="Times New Roman" w:hAnsi="Times New Roman" w:cs="Times New Roman"/>
          <w:color w:val="2E74B5" w:themeColor="accent1" w:themeShade="BF"/>
          <w:sz w:val="24"/>
          <w:szCs w:val="24"/>
        </w:rPr>
        <w:t>Fahadul</w:t>
      </w:r>
      <w:proofErr w:type="spellEnd"/>
      <w:r>
        <w:rPr>
          <w:rFonts w:ascii="Times New Roman" w:hAnsi="Times New Roman" w:cs="Times New Roman"/>
          <w:color w:val="2E74B5" w:themeColor="accent1" w:themeShade="BF"/>
          <w:sz w:val="24"/>
          <w:szCs w:val="24"/>
        </w:rPr>
        <w:t xml:space="preserve"> Islam, Md. </w:t>
      </w:r>
      <w:proofErr w:type="spellStart"/>
      <w:r>
        <w:rPr>
          <w:rFonts w:ascii="Times New Roman" w:hAnsi="Times New Roman" w:cs="Times New Roman"/>
          <w:color w:val="2E74B5" w:themeColor="accent1" w:themeShade="BF"/>
          <w:sz w:val="24"/>
          <w:szCs w:val="24"/>
        </w:rPr>
        <w:t>Faysal</w:t>
      </w:r>
      <w:proofErr w:type="spellEnd"/>
      <w:r>
        <w:rPr>
          <w:rFonts w:ascii="Times New Roman" w:hAnsi="Times New Roman" w:cs="Times New Roman"/>
          <w:color w:val="2E74B5" w:themeColor="accent1" w:themeShade="BF"/>
          <w:sz w:val="24"/>
          <w:szCs w:val="24"/>
        </w:rPr>
        <w:t>,</w:t>
      </w:r>
      <w:r w:rsidR="00FD1817" w:rsidRPr="00FD1817">
        <w:rPr>
          <w:rFonts w:ascii="Times New Roman" w:hAnsi="Times New Roman" w:cs="Times New Roman"/>
          <w:color w:val="2E74B5" w:themeColor="accent1" w:themeShade="BF"/>
          <w:sz w:val="24"/>
          <w:szCs w:val="24"/>
        </w:rPr>
        <w:t xml:space="preserve"> </w:t>
      </w:r>
      <w:proofErr w:type="spellStart"/>
      <w:r w:rsidR="00FD1817" w:rsidRPr="00FD1817">
        <w:rPr>
          <w:rFonts w:ascii="Times New Roman" w:hAnsi="Times New Roman" w:cs="Times New Roman"/>
          <w:color w:val="2E74B5" w:themeColor="accent1" w:themeShade="BF"/>
          <w:sz w:val="24"/>
          <w:szCs w:val="24"/>
        </w:rPr>
        <w:t>Tasnim</w:t>
      </w:r>
      <w:proofErr w:type="spellEnd"/>
      <w:r w:rsidR="00FD1817" w:rsidRPr="00FD1817">
        <w:rPr>
          <w:rFonts w:ascii="Times New Roman" w:hAnsi="Times New Roman" w:cs="Times New Roman"/>
          <w:color w:val="2E74B5" w:themeColor="accent1" w:themeShade="BF"/>
          <w:sz w:val="24"/>
          <w:szCs w:val="24"/>
        </w:rPr>
        <w:t xml:space="preserve"> </w:t>
      </w:r>
      <w:proofErr w:type="spellStart"/>
      <w:r w:rsidR="00FD1817" w:rsidRPr="00FD1817">
        <w:rPr>
          <w:rFonts w:ascii="Times New Roman" w:hAnsi="Times New Roman" w:cs="Times New Roman"/>
          <w:color w:val="2E74B5" w:themeColor="accent1" w:themeShade="BF"/>
          <w:sz w:val="24"/>
          <w:szCs w:val="24"/>
        </w:rPr>
        <w:t>Aktar</w:t>
      </w:r>
      <w:proofErr w:type="spellEnd"/>
      <w:r w:rsidR="00FD1817" w:rsidRPr="00FD1817">
        <w:rPr>
          <w:rFonts w:ascii="Times New Roman" w:hAnsi="Times New Roman" w:cs="Times New Roman"/>
          <w:color w:val="2E74B5" w:themeColor="accent1" w:themeShade="BF"/>
          <w:sz w:val="24"/>
          <w:szCs w:val="24"/>
        </w:rPr>
        <w:t xml:space="preserve"> Trina, Md. </w:t>
      </w:r>
      <w:proofErr w:type="spellStart"/>
      <w:r w:rsidR="00FD1817" w:rsidRPr="00FD1817">
        <w:rPr>
          <w:rFonts w:ascii="Times New Roman" w:hAnsi="Times New Roman" w:cs="Times New Roman"/>
          <w:color w:val="2E74B5" w:themeColor="accent1" w:themeShade="BF"/>
          <w:sz w:val="24"/>
          <w:szCs w:val="24"/>
        </w:rPr>
        <w:t>Zamshed</w:t>
      </w:r>
      <w:proofErr w:type="spellEnd"/>
      <w:r w:rsidR="00FD1817" w:rsidRPr="00FD1817">
        <w:rPr>
          <w:rFonts w:ascii="Times New Roman" w:hAnsi="Times New Roman" w:cs="Times New Roman"/>
          <w:color w:val="2E74B5" w:themeColor="accent1" w:themeShade="BF"/>
          <w:sz w:val="24"/>
          <w:szCs w:val="24"/>
        </w:rPr>
        <w:t xml:space="preserve"> </w:t>
      </w:r>
      <w:proofErr w:type="spellStart"/>
      <w:r w:rsidR="00FD1817" w:rsidRPr="00FD1817">
        <w:rPr>
          <w:rFonts w:ascii="Times New Roman" w:hAnsi="Times New Roman" w:cs="Times New Roman"/>
          <w:color w:val="2E74B5" w:themeColor="accent1" w:themeShade="BF"/>
          <w:sz w:val="24"/>
          <w:szCs w:val="24"/>
        </w:rPr>
        <w:t>Alam</w:t>
      </w:r>
      <w:proofErr w:type="spellEnd"/>
      <w:r w:rsidR="00FD1817" w:rsidRPr="00FD1817">
        <w:rPr>
          <w:rFonts w:ascii="Times New Roman" w:hAnsi="Times New Roman" w:cs="Times New Roman"/>
          <w:color w:val="2E74B5" w:themeColor="accent1" w:themeShade="BF"/>
          <w:sz w:val="24"/>
          <w:szCs w:val="24"/>
        </w:rPr>
        <w:t xml:space="preserve"> </w:t>
      </w:r>
      <w:proofErr w:type="spellStart"/>
      <w:r w:rsidR="00FD1817" w:rsidRPr="00FD1817">
        <w:rPr>
          <w:rFonts w:ascii="Times New Roman" w:hAnsi="Times New Roman" w:cs="Times New Roman"/>
          <w:color w:val="2E74B5" w:themeColor="accent1" w:themeShade="BF"/>
          <w:sz w:val="24"/>
          <w:szCs w:val="24"/>
        </w:rPr>
        <w:t>Begh</w:t>
      </w:r>
      <w:proofErr w:type="spellEnd"/>
      <w:r w:rsidR="00FD1817" w:rsidRPr="00FD1817">
        <w:rPr>
          <w:rFonts w:ascii="Times New Roman" w:hAnsi="Times New Roman" w:cs="Times New Roman"/>
          <w:color w:val="2E74B5" w:themeColor="accent1" w:themeShade="BF"/>
          <w:sz w:val="24"/>
          <w:szCs w:val="24"/>
        </w:rPr>
        <w:t xml:space="preserve">, Md. Al Amin, Md. </w:t>
      </w:r>
      <w:proofErr w:type="spellStart"/>
      <w:r w:rsidR="00FD1817" w:rsidRPr="00FD1817">
        <w:rPr>
          <w:rFonts w:ascii="Times New Roman" w:hAnsi="Times New Roman" w:cs="Times New Roman"/>
          <w:color w:val="2E74B5" w:themeColor="accent1" w:themeShade="BF"/>
          <w:sz w:val="24"/>
          <w:szCs w:val="24"/>
        </w:rPr>
        <w:t>Mamunur</w:t>
      </w:r>
      <w:proofErr w:type="spellEnd"/>
      <w:r w:rsidR="00FD1817" w:rsidRPr="00FD1817">
        <w:rPr>
          <w:rFonts w:ascii="Times New Roman" w:hAnsi="Times New Roman" w:cs="Times New Roman"/>
          <w:color w:val="2E74B5" w:themeColor="accent1" w:themeShade="BF"/>
          <w:sz w:val="24"/>
          <w:szCs w:val="24"/>
        </w:rPr>
        <w:t xml:space="preserve"> Rashid, Md. </w:t>
      </w:r>
      <w:proofErr w:type="spellStart"/>
      <w:r w:rsidR="00FD1817" w:rsidRPr="00FD1817">
        <w:rPr>
          <w:rFonts w:ascii="Times New Roman" w:hAnsi="Times New Roman" w:cs="Times New Roman"/>
          <w:color w:val="2E74B5" w:themeColor="accent1" w:themeShade="BF"/>
          <w:sz w:val="24"/>
          <w:szCs w:val="24"/>
        </w:rPr>
        <w:t>Mizanur</w:t>
      </w:r>
      <w:proofErr w:type="spellEnd"/>
      <w:r w:rsidR="00FD1817" w:rsidRPr="00FD1817">
        <w:rPr>
          <w:rFonts w:ascii="Times New Roman" w:hAnsi="Times New Roman" w:cs="Times New Roman"/>
          <w:color w:val="2E74B5" w:themeColor="accent1" w:themeShade="BF"/>
          <w:sz w:val="24"/>
          <w:szCs w:val="24"/>
        </w:rPr>
        <w:t xml:space="preserve"> Rahman</w:t>
      </w:r>
    </w:p>
    <w:p w:rsidR="00FD1817" w:rsidRPr="00FD1817" w:rsidRDefault="00FD1817" w:rsidP="00FD1817">
      <w:pPr>
        <w:spacing w:after="0" w:line="276" w:lineRule="auto"/>
        <w:jc w:val="both"/>
        <w:rPr>
          <w:rFonts w:ascii="Times New Roman" w:hAnsi="Times New Roman" w:cs="Times New Roman"/>
          <w:b/>
          <w:sz w:val="24"/>
          <w:szCs w:val="24"/>
        </w:rPr>
      </w:pPr>
      <w:r w:rsidRPr="00FD1817">
        <w:rPr>
          <w:rFonts w:ascii="Times New Roman" w:hAnsi="Times New Roman" w:cs="Times New Roman"/>
          <w:b/>
          <w:sz w:val="24"/>
          <w:szCs w:val="24"/>
        </w:rPr>
        <w:t>Abstract:</w:t>
      </w:r>
    </w:p>
    <w:p w:rsidR="00FD1817" w:rsidRPr="00E63175" w:rsidRDefault="00FD1817" w:rsidP="00FD1817">
      <w:pPr>
        <w:jc w:val="both"/>
        <w:rPr>
          <w:rFonts w:ascii="Times New Roman" w:hAnsi="Times New Roman" w:cs="Times New Roman"/>
          <w:sz w:val="24"/>
          <w:szCs w:val="24"/>
        </w:rPr>
      </w:pPr>
      <w:proofErr w:type="spellStart"/>
      <w:r w:rsidRPr="00E63175">
        <w:rPr>
          <w:rFonts w:ascii="Times New Roman" w:hAnsi="Times New Roman" w:cs="Times New Roman"/>
          <w:sz w:val="24"/>
          <w:szCs w:val="24"/>
        </w:rPr>
        <w:t>Eleocharis</w:t>
      </w:r>
      <w:proofErr w:type="spellEnd"/>
      <w:r w:rsidRPr="00E63175">
        <w:rPr>
          <w:rFonts w:ascii="Times New Roman" w:hAnsi="Times New Roman" w:cs="Times New Roman"/>
          <w:sz w:val="24"/>
          <w:szCs w:val="24"/>
        </w:rPr>
        <w:t xml:space="preserve"> </w:t>
      </w:r>
      <w:proofErr w:type="spellStart"/>
      <w:r w:rsidRPr="00E63175">
        <w:rPr>
          <w:rFonts w:ascii="Times New Roman" w:hAnsi="Times New Roman" w:cs="Times New Roman"/>
          <w:sz w:val="24"/>
          <w:szCs w:val="24"/>
        </w:rPr>
        <w:t>dulcis</w:t>
      </w:r>
      <w:proofErr w:type="spellEnd"/>
      <w:r w:rsidRPr="00E63175">
        <w:rPr>
          <w:rFonts w:ascii="Times New Roman" w:hAnsi="Times New Roman" w:cs="Times New Roman"/>
          <w:sz w:val="24"/>
          <w:szCs w:val="24"/>
        </w:rPr>
        <w:t xml:space="preserve"> is the scientific name of a plant which are locally known as Chinese water chestnut or water chestnut or </w:t>
      </w:r>
      <w:proofErr w:type="spellStart"/>
      <w:r w:rsidRPr="00E63175">
        <w:rPr>
          <w:rFonts w:ascii="Times New Roman" w:hAnsi="Times New Roman" w:cs="Times New Roman"/>
          <w:sz w:val="24"/>
          <w:szCs w:val="24"/>
        </w:rPr>
        <w:t>pani</w:t>
      </w:r>
      <w:proofErr w:type="spellEnd"/>
      <w:r w:rsidRPr="00E63175">
        <w:rPr>
          <w:rFonts w:ascii="Times New Roman" w:hAnsi="Times New Roman" w:cs="Times New Roman"/>
          <w:sz w:val="24"/>
          <w:szCs w:val="24"/>
        </w:rPr>
        <w:t xml:space="preserve"> </w:t>
      </w:r>
      <w:proofErr w:type="spellStart"/>
      <w:r w:rsidRPr="00E63175">
        <w:rPr>
          <w:rFonts w:ascii="Times New Roman" w:hAnsi="Times New Roman" w:cs="Times New Roman"/>
          <w:sz w:val="24"/>
          <w:szCs w:val="24"/>
        </w:rPr>
        <w:t>faul</w:t>
      </w:r>
      <w:proofErr w:type="spellEnd"/>
      <w:r w:rsidRPr="00E63175">
        <w:rPr>
          <w:rFonts w:ascii="Times New Roman" w:hAnsi="Times New Roman" w:cs="Times New Roman"/>
          <w:sz w:val="24"/>
          <w:szCs w:val="24"/>
        </w:rPr>
        <w:t xml:space="preserve">, belongs to family of </w:t>
      </w:r>
      <w:proofErr w:type="spellStart"/>
      <w:proofErr w:type="gramStart"/>
      <w:r w:rsidRPr="00E63175">
        <w:rPr>
          <w:rFonts w:ascii="Times New Roman" w:hAnsi="Times New Roman" w:cs="Times New Roman"/>
          <w:sz w:val="24"/>
          <w:szCs w:val="24"/>
        </w:rPr>
        <w:t>Cyperaceae</w:t>
      </w:r>
      <w:proofErr w:type="spellEnd"/>
      <w:r w:rsidRPr="00E63175">
        <w:rPr>
          <w:rFonts w:ascii="Times New Roman" w:hAnsi="Times New Roman" w:cs="Times New Roman"/>
          <w:sz w:val="24"/>
          <w:szCs w:val="24"/>
        </w:rPr>
        <w:t xml:space="preserve"> .</w:t>
      </w:r>
      <w:proofErr w:type="gramEnd"/>
      <w:r w:rsidRPr="00E63175">
        <w:rPr>
          <w:rFonts w:ascii="Times New Roman" w:hAnsi="Times New Roman" w:cs="Times New Roman"/>
          <w:sz w:val="24"/>
          <w:szCs w:val="24"/>
        </w:rPr>
        <w:t xml:space="preserve"> The plant is indigenous to eastern Asia and China, Indonesia and Australia are grown. Usually, it is grown in the tropical, subtropical, and warming areas. This plant is grown in natively to eastern Asia and China, Indonesia and </w:t>
      </w:r>
      <w:proofErr w:type="gramStart"/>
      <w:r w:rsidRPr="00E63175">
        <w:rPr>
          <w:rFonts w:ascii="Times New Roman" w:hAnsi="Times New Roman" w:cs="Times New Roman"/>
          <w:sz w:val="24"/>
          <w:szCs w:val="24"/>
        </w:rPr>
        <w:t>Australia .</w:t>
      </w:r>
      <w:proofErr w:type="gramEnd"/>
      <w:r w:rsidRPr="00E63175">
        <w:rPr>
          <w:rFonts w:ascii="Times New Roman" w:hAnsi="Times New Roman" w:cs="Times New Roman"/>
          <w:sz w:val="24"/>
          <w:szCs w:val="24"/>
        </w:rPr>
        <w:t xml:space="preserve"> The eatable part of this plant is the underground corm, which is typically harvested. It was especially used for treating jaundice, abdominal mass, </w:t>
      </w:r>
      <w:proofErr w:type="spellStart"/>
      <w:r w:rsidRPr="00E63175">
        <w:rPr>
          <w:rFonts w:ascii="Times New Roman" w:hAnsi="Times New Roman" w:cs="Times New Roman"/>
          <w:sz w:val="24"/>
          <w:szCs w:val="24"/>
        </w:rPr>
        <w:t>conjunctival</w:t>
      </w:r>
      <w:proofErr w:type="spellEnd"/>
      <w:r w:rsidRPr="00E63175">
        <w:rPr>
          <w:rFonts w:ascii="Times New Roman" w:hAnsi="Times New Roman" w:cs="Times New Roman"/>
          <w:sz w:val="24"/>
          <w:szCs w:val="24"/>
        </w:rPr>
        <w:t xml:space="preserve"> congestion, throat swelling and pain, excrescence, bloody </w:t>
      </w:r>
      <w:proofErr w:type="spellStart"/>
      <w:r w:rsidRPr="00E63175">
        <w:rPr>
          <w:rFonts w:ascii="Times New Roman" w:hAnsi="Times New Roman" w:cs="Times New Roman"/>
          <w:sz w:val="24"/>
          <w:szCs w:val="24"/>
        </w:rPr>
        <w:t>diarrhoea</w:t>
      </w:r>
      <w:proofErr w:type="spellEnd"/>
      <w:r w:rsidRPr="00E63175">
        <w:rPr>
          <w:rFonts w:ascii="Times New Roman" w:hAnsi="Times New Roman" w:cs="Times New Roman"/>
          <w:sz w:val="24"/>
          <w:szCs w:val="24"/>
        </w:rPr>
        <w:t xml:space="preserve">, hypertension, chronic nephritis, constipation. For anthelmintic activity, methanol fruit extract of </w:t>
      </w:r>
      <w:proofErr w:type="spellStart"/>
      <w:r w:rsidRPr="00E63175">
        <w:rPr>
          <w:rFonts w:ascii="Times New Roman" w:hAnsi="Times New Roman" w:cs="Times New Roman"/>
          <w:sz w:val="24"/>
          <w:szCs w:val="24"/>
        </w:rPr>
        <w:t>Eleocharis</w:t>
      </w:r>
      <w:proofErr w:type="spellEnd"/>
      <w:r w:rsidRPr="00E63175">
        <w:rPr>
          <w:rFonts w:ascii="Times New Roman" w:hAnsi="Times New Roman" w:cs="Times New Roman"/>
          <w:sz w:val="24"/>
          <w:szCs w:val="24"/>
        </w:rPr>
        <w:t xml:space="preserve"> </w:t>
      </w:r>
      <w:proofErr w:type="spellStart"/>
      <w:r w:rsidRPr="00E63175">
        <w:rPr>
          <w:rFonts w:ascii="Times New Roman" w:hAnsi="Times New Roman" w:cs="Times New Roman"/>
          <w:sz w:val="24"/>
          <w:szCs w:val="24"/>
        </w:rPr>
        <w:t>dulcis</w:t>
      </w:r>
      <w:proofErr w:type="spellEnd"/>
      <w:r w:rsidRPr="00E63175">
        <w:rPr>
          <w:rFonts w:ascii="Times New Roman" w:hAnsi="Times New Roman" w:cs="Times New Roman"/>
          <w:sz w:val="24"/>
          <w:szCs w:val="24"/>
        </w:rPr>
        <w:t xml:space="preserve"> was investigated for their action against </w:t>
      </w:r>
      <w:proofErr w:type="spellStart"/>
      <w:r w:rsidRPr="00E63175">
        <w:rPr>
          <w:rFonts w:ascii="Times New Roman" w:hAnsi="Times New Roman" w:cs="Times New Roman"/>
          <w:sz w:val="24"/>
          <w:szCs w:val="24"/>
        </w:rPr>
        <w:t>Paramphistomum</w:t>
      </w:r>
      <w:proofErr w:type="spellEnd"/>
      <w:r w:rsidRPr="00E63175">
        <w:rPr>
          <w:rFonts w:ascii="Times New Roman" w:hAnsi="Times New Roman" w:cs="Times New Roman"/>
          <w:sz w:val="24"/>
          <w:szCs w:val="24"/>
        </w:rPr>
        <w:t xml:space="preserve"> </w:t>
      </w:r>
      <w:proofErr w:type="spellStart"/>
      <w:r w:rsidRPr="00E63175">
        <w:rPr>
          <w:rFonts w:ascii="Times New Roman" w:hAnsi="Times New Roman" w:cs="Times New Roman"/>
          <w:sz w:val="24"/>
          <w:szCs w:val="24"/>
        </w:rPr>
        <w:t>cervi</w:t>
      </w:r>
      <w:proofErr w:type="spellEnd"/>
      <w:r w:rsidRPr="00E63175">
        <w:rPr>
          <w:rFonts w:ascii="Times New Roman" w:hAnsi="Times New Roman" w:cs="Times New Roman"/>
          <w:sz w:val="24"/>
          <w:szCs w:val="24"/>
        </w:rPr>
        <w:t xml:space="preserve">. Different doses of each extract were examined in the bioassay, which included assurance of time of paralysis and time of death of the worms. The reference standard </w:t>
      </w:r>
      <w:proofErr w:type="spellStart"/>
      <w:r w:rsidRPr="00E63175">
        <w:rPr>
          <w:rFonts w:ascii="Times New Roman" w:hAnsi="Times New Roman" w:cs="Times New Roman"/>
          <w:sz w:val="24"/>
          <w:szCs w:val="24"/>
        </w:rPr>
        <w:t>albendazole</w:t>
      </w:r>
      <w:proofErr w:type="spellEnd"/>
      <w:r w:rsidRPr="00E63175">
        <w:rPr>
          <w:rFonts w:ascii="Times New Roman" w:hAnsi="Times New Roman" w:cs="Times New Roman"/>
          <w:sz w:val="24"/>
          <w:szCs w:val="24"/>
        </w:rPr>
        <w:t xml:space="preserve"> showed paralysis time 14.6 minutes and death time 16.8 minutes. On the other hand, methanol extract showed at dose 150 mg/ml significant effect which has paralysis time 23.0 minutes and death time 29.8 minutes. The potential of these activities may be due to the presence of most of the phytochemicals which supports previous claims and validate its uses as an expected folk medicine.</w:t>
      </w:r>
    </w:p>
    <w:p w:rsidR="00FD1817" w:rsidRPr="00FD1817" w:rsidRDefault="00FD1817" w:rsidP="00FD1817">
      <w:r w:rsidRPr="00E63175">
        <w:rPr>
          <w:rFonts w:ascii="Times New Roman" w:hAnsi="Times New Roman" w:cs="Times New Roman"/>
          <w:b/>
          <w:sz w:val="24"/>
          <w:szCs w:val="24"/>
        </w:rPr>
        <w:t xml:space="preserve">Conference / Journal Link: </w:t>
      </w:r>
      <w:hyperlink r:id="rId4" w:history="1">
        <w:r w:rsidRPr="00FD1817">
          <w:rPr>
            <w:rStyle w:val="Hyperlink"/>
          </w:rPr>
          <w:t>https://pharmacologyonline.silae.it/files/archives/2019/vol3/PhOL_2019_3_A009_Fahadul.pdf</w:t>
        </w:r>
      </w:hyperlink>
    </w:p>
    <w:p w:rsidR="00FD1817" w:rsidRDefault="00FD1817" w:rsidP="00FD1817"/>
    <w:sectPr w:rsidR="00FD18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817"/>
    <w:rsid w:val="002C42D8"/>
    <w:rsid w:val="00E63175"/>
    <w:rsid w:val="00FD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50156-6BEB-4BB3-A2FA-670A2F12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18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3/PhOL_2019_3_A009_Fahadu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2021-09-22T06:42:00Z</dcterms:created>
  <dcterms:modified xsi:type="dcterms:W3CDTF">2021-09-22T06:56:00Z</dcterms:modified>
</cp:coreProperties>
</file>